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 Impression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 (incl. DGS module init + ImpressionService wiring)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11–18d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 entity reference (recommended, PO-gated). Test coverage/parity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(PRODUCT-BE-B-01)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✏️ Mutations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[be-03-schema.graphql](./be-03-schema.graphql).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attachment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so clients get file metadata without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attachment: Attachment (declare the `Attachment @extends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unchanged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Null-safe when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is absent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Impression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0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getBomDataAndImpressions</w:t>
            </w:r>
            <w:r>
              <w:rPr>
                <w:color w:val="373737"/>
                <w:sz w:val="18"/>
              </w:rPr>
              <w:t xml:space="preserve"> (with BOM wave)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getCarryForwardFormData</w:t>
            </w:r>
            <w:r>
              <w:rPr>
                <w:color w:val="373737"/>
                <w:sz w:val="18"/>
              </w:rPr>
              <w:t xml:space="preserve"> (with Product wave)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(2–3d)&lt;br&gt;🟢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FederatedGqlBreakDown-impression.md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