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14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2026-07-19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>), permission-check and own-domain-token call sites stay resolver-local (context-only, unchanged); measurement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 (BLOCKED-BY product/sample)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32–55d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7–11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G-04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G-01–G-02, G-04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(G-04 recommended, PO-gated). Test coverage/parity tracked outside this Jira pipeline, created manually.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H-01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~42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measurementTemplate, sizeTemplate, tightFit,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SampleMeasurementSet.sample</w:t>
            </w:r>
            <w:r>
              <w:rPr>
                <w:color w:val="373737"/>
                <w:sz w:val="17"/>
              </w:rPr>
              <w:t xml:space="preserve"> forward reference (recommended, PO-gated)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B-02 (carries B-05 `getSampleMeasurement`, grouped-XS merged)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sample { … }</w:t>
            </w:r>
            <w:r>
              <w:rPr>
                <w:color w:val="373737"/>
                <w:sz w:val="17"/>
              </w:rPr>
              <w:t xml:space="preserve"> on the sample measurement set — the forward twin of the existing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sample: SampleV2 on SampleMeasurementSet; resolver emits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sampleId</w:t>
            </w:r>
            <w:r>
              <w:rPr>
                <w:color w:val="373737"/>
                <w:sz w:val="17"/>
              </w:rPr>
              <w:t xml:space="preserve">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Pairs cleanly with MST-BE-H-01 (no circular resolution at the gateway — verified by a two-hop smoke query)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 operation-to-root-field rows · 4 client files · 7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2026-07-19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(4–6d)&lt;br&gt;🟢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FederatedGqlBreakDown-measurement.md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