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2026-07-16  ·  8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6 Very High · 🟠 13 High · 🟡 76 Medium · 🟢 105 Low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2026-07-16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Per the program-level working decision,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— each domain service performs its own access control. Each complex case carries a scenario ADR (</w:t>
      </w:r>
      <w:r>
        <w:rPr>
          <w:rFonts w:ascii="Courier New" w:hAnsi="Courier New"/>
          <w:sz w:val="19"/>
        </w:rPr>
        <w:t>complexStories/*/02-adr-noacl-*.md</w:t>
      </w:r>
      <w:r>
        <w:rPr>
          <w:color w:val="373737"/>
          <w:sz w:val="19"/>
        </w:rPr>
        <w:t>) recording this assumption's impact; those ratify together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04/05/06a/06b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E-02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(brief + draft ADR-013)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Draft ADR-013 proposed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, per-step policy)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>; ratify the assembly pattern under federation.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E-03/E-04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  <w:r>
              <w:rPr>
                <w:color w:val="373737"/>
                <w:sz w:val="18"/>
              </w:rPr>
              <w:t xml:space="preserve"> (brief + draft ADR-015)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ADR-015 proposed (facade-then-federate, ADR-015 Option B = catalogue "Option D (hybrid)")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  <w:r>
              <w:rPr>
                <w:color w:val="373737"/>
                <w:sz w:val="18"/>
              </w:rPr>
              <w:t xml:space="preserve"> (brief + draft ADR-012)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ADR-012 proposed (owner-orchestrated saga + participant contract) — ratification pending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·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  <w:r>
              <w:rPr>
                <w:color w:val="373737"/>
                <w:sz w:val="18"/>
              </w:rPr>
              <w:t xml:space="preserve"> (brief + draft ADR-016)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ADR-016 proposed (owner-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lane aggregation) — ratification pending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(+ sample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search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later phase)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  <w:r>
              <w:rPr>
                <w:color w:val="373737"/>
                <w:sz w:val="18"/>
              </w:rPr>
              <w:t xml:space="preserve"> (brief + draft ADR-017)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ADR-017 proposed (per-site ports + CI conformance gate) — code→type table to confirm at ratification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SPIKE-06a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Hydration</w:t>
            </w:r>
            <w:r>
              <w:rPr>
                <w:color w:val="373737"/>
                <w:sz w:val="18"/>
              </w:rPr>
              <w:t xml:space="preserve"> — how a domain </w:t>
            </w:r>
            <w:r>
              <w:rPr>
                <w:i/>
                <w:color w:val="373737"/>
                <w:sz w:val="18"/>
              </w:rPr>
              <w:t>reads</w:t>
            </w:r>
            <w:r>
              <w:rPr>
                <w:color w:val="373737"/>
                <w:sz w:val="18"/>
              </w:rPr>
              <w:t xml:space="preserve">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S-02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) · bom </w:t>
            </w:r>
            <w:r>
              <w:rPr>
                <w:rFonts w:ascii="Courier New" w:hAnsi="Courier New"/>
                <w:sz w:val="18"/>
              </w:rPr>
              <w:t>B-05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hydration + rollout (reads)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 (no draft ADR yet)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SPIKE-06b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</w:t>
            </w:r>
            <w:r>
              <w:rPr>
                <w:color w:val="373737"/>
                <w:sz w:val="18"/>
              </w:rPr>
              <w:t xml:space="preserve"> — one pattern for a mutation that also </w:t>
            </w:r>
            <w:r>
              <w:rPr>
                <w:i/>
                <w:color w:val="373737"/>
                <w:sz w:val="18"/>
              </w:rPr>
              <w:t>links</w:t>
            </w:r>
            <w:r>
              <w:rPr>
                <w:color w:val="373737"/>
                <w:sz w:val="18"/>
              </w:rPr>
              <w:t xml:space="preserve"> its record into a sibling domain (workspace/attachment), incl. sync-vs-async and partial-failure handling.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is a pure passthrough (no cross-domain call);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D-11</w:t>
            </w:r>
            <w:r>
              <w:rPr>
                <w:color w:val="373737"/>
                <w:sz w:val="18"/>
              </w:rPr>
              <w:t xml:space="preserve"> are single-backend writes — the product backend owns all endpoints, no sibling service called (draft ADR-011 §1).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S-01</w:t>
            </w:r>
            <w:r>
              <w:rPr>
                <w:color w:val="373737"/>
                <w:sz w:val="18"/>
              </w:rPr>
              <w:t xml:space="preserve"> (gates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only — see scope note)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association-side writes (D-01/D-02/D-04)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  <w:r>
              <w:rPr>
                <w:color w:val="373737"/>
                <w:sz w:val="18"/>
              </w:rPr>
              <w:t xml:space="preserve"> (brief + draft ADR-011)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🟠 Draft ADR-011 proposed (sync orchestration + shared association component) — ratification pending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04/05/06a/06b</w:t>
      </w:r>
      <w:r>
        <w:rPr>
          <w:color w:val="444444"/>
          <w:sz w:val="18"/>
        </w:rPr>
        <w:t xml:space="preserve"> block specific reads/writes and can run in parallel. Each spike concludes with the decision recorded back into the affected domain stories.</w:t>
      </w:r>
    </w:p>
    <w:p>
      <w:pPr>
        <w:spacing w:after="60"/>
      </w:pPr>
      <w:r>
        <w:rPr>
          <w:color w:val="373737"/>
          <w:sz w:val="19"/>
        </w:rPr>
        <w:t>&gt;</w:t>
      </w:r>
    </w:p>
    <w:p>
      <w:pPr>
        <w:spacing w:after="40"/>
      </w:pPr>
      <w:r>
        <w:rPr>
          <w:b/>
          <w:color w:val="444444"/>
          <w:sz w:val="18"/>
        </w:rPr>
        <w:t>Note on `06a`/`06b`:</w:t>
      </w:r>
      <w:r>
        <w:rPr>
          <w:color w:val="444444"/>
          <w:sz w:val="18"/>
        </w:rPr>
        <w:t xml:space="preserve"> these were originally tracked as one </w:t>
      </w:r>
      <w:r>
        <w:rPr>
          <w:rFonts w:ascii="Courier New" w:hAnsi="Courier New"/>
          <w:sz w:val="18"/>
        </w:rPr>
        <w:t>SPIKE-06</w:t>
      </w:r>
      <w:r>
        <w:rPr>
          <w:color w:val="444444"/>
          <w:sz w:val="18"/>
        </w:rPr>
        <w:t xml:space="preserve"> id. They're split because they answer different questions — 06a is "how do I </w:t>
      </w:r>
      <w:r>
        <w:rPr>
          <w:i/>
          <w:color w:val="444444"/>
          <w:sz w:val="18"/>
        </w:rPr>
        <w:t>read</w:t>
      </w:r>
      <w:r>
        <w:rPr>
          <w:color w:val="444444"/>
          <w:sz w:val="18"/>
        </w:rPr>
        <w:t xml:space="preserve"> another domain's data," 06b is "how does my </w:t>
      </w:r>
      <w:r>
        <w:rPr>
          <w:i/>
          <w:color w:val="444444"/>
          <w:sz w:val="18"/>
        </w:rPr>
        <w:t>write</w:t>
      </w:r>
      <w:r>
        <w:rPr>
          <w:color w:val="444444"/>
          <w:sz w:val="18"/>
        </w:rPr>
        <w:t xml:space="preserve"> also link into another domain" — and a story should only cite the one it actually needs.</w:t>
      </w:r>
    </w:p>
    <w:p>
      <w:pPr>
        <w:spacing w:before="240" w:after="80"/>
      </w:pPr>
      <w:r>
        <w:rPr>
          <w:b/>
          <w:color w:val="373737"/>
          <w:sz w:val="24"/>
        </w:rPr>
        <w:t>Non-spike complex cases (read pattern applied at cutover — no research decision needed)</w:t>
      </w:r>
    </w:p>
    <w:p>
      <w:pPr>
        <w:spacing w:after="40"/>
      </w:pPr>
      <w:r>
        <w:rPr>
          <w:color w:val="444444"/>
          <w:sz w:val="18"/>
        </w:rPr>
        <w:t xml:space="preserve">These recur across domains too, but the shape of the fix is already known (per-domain contribution + fan-out merge) — there's nothing to research, just build. They still get one </w:t>
      </w:r>
      <w:r>
        <w:rPr>
          <w:rFonts w:ascii="Courier New" w:hAnsi="Courier New"/>
          <w:sz w:val="18"/>
        </w:rPr>
        <w:t>complexStories/</w:t>
      </w:r>
      <w:r>
        <w:rPr>
          <w:color w:val="444444"/>
          <w:sz w:val="18"/>
        </w:rPr>
        <w:t xml:space="preserve"> brief each so the pattern is documented once instead of per-domain.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Generic Problem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attachmentsWithMetaData</w:t>
            </w:r>
            <w:r>
              <w:rPr>
                <w:color w:val="373737"/>
                <w:sz w:val="18"/>
              </w:rPr>
              <w:t xml:space="preserve"> enrichment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📎 </w:t>
            </w:r>
            <w:r>
              <w:rPr>
                <w:b/>
                <w:color w:val="373737"/>
                <w:sz w:val="18"/>
              </w:rPr>
              <w:t>One attachments tab, three sources</w:t>
            </w:r>
            <w:r>
              <w:rPr>
                <w:color w:val="373737"/>
                <w:sz w:val="18"/>
              </w:rPr>
              <w:t xml:space="preserve"> — files, discussion files, and sample files must merge into one ordered, ACL-filtered feed without a Relationship-Service walk.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G-01/G-03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complexStories/attachments-enrichment/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components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counts</w:t>
            </w:r>
            <w:r>
              <w:rPr>
                <w:color w:val="373737"/>
                <w:sz w:val="18"/>
              </w:rPr>
              <w:t xml:space="preserve"> rollups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🧮 </w:t>
            </w:r>
            <w:r>
              <w:rPr>
                <w:b/>
                <w:color w:val="373737"/>
                <w:sz w:val="18"/>
              </w:rPr>
              <w:t>Five domains, one dashboard number</w:t>
            </w:r>
            <w:r>
              <w:rPr>
                <w:color w:val="373737"/>
                <w:sz w:val="18"/>
              </w:rPr>
              <w:t xml:space="preserve"> — a product's component list and a workspace's counts strip both roll up parallel per-domain fan-outs plus a batched ACL call into a single screen's worth of data.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G-02/G-04</w:t>
            </w:r>
            <w:r>
              <w:rPr>
                <w:color w:val="373737"/>
                <w:sz w:val="18"/>
              </w:rPr>
              <w:t xml:space="preserve"> (later phase)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complexStories/components-and-counts-rollups/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87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4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25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FederatedGqlBreakDown-BE-bom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FederatedGqlBreakDown-BE-claims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FederatedGqlBreakDown-BE-watchlist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76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CLAIM-BE-E-01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MST-BE-E-01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PKG-BE-E-01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PDTL-BE-E-01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WATCHLIST-BE-E-01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Ratify the assembly pattern and each domain’s contribution. Draft ADR-015 proposes </w:t>
      </w:r>
      <w:r>
        <w:rPr>
          <w:b/>
          <w:color w:val="373737"/>
          <w:sz w:val="19"/>
        </w:rPr>
        <w:t>facade-then-federate</w:t>
      </w:r>
      <w:r>
        <w:rPr>
          <w:color w:val="373737"/>
          <w:sz w:val="19"/>
        </w:rPr>
        <w:t xml:space="preserve"> (ADR-015 Option B; the catalogue label is "Option D (hybrid)"): a frozen aggregation facade serves all 11 fields day 1 (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>/</w:t>
      </w:r>
      <w:r>
        <w:rPr>
          <w:rFonts w:ascii="Courier New" w:hAnsi="Courier New"/>
          <w:sz w:val="19"/>
        </w:rPr>
        <w:t>E-04</w:t>
      </w:r>
      <w:r>
        <w:rPr>
          <w:color w:val="373737"/>
          <w:sz w:val="19"/>
        </w:rPr>
        <w:t>); each domain re-homes its slice as its subgraph ships (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>–</w:t>
      </w:r>
      <w:r>
        <w:rPr>
          <w:rFonts w:ascii="Courier New" w:hAnsi="Courier New"/>
          <w:sz w:val="19"/>
        </w:rPr>
        <w:t>F-08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extend type ResourcesCount</w:t>
      </w:r>
      <w:r>
        <w:rPr>
          <w:color w:val="373737"/>
          <w:sz w:val="19"/>
        </w:rPr>
        <w:t>); the facade retires last (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).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1 (`E-03`/`E-04`)</w:t>
      </w:r>
      <w:r>
        <w:rPr>
          <w:color w:val="373737"/>
          <w:sz w:val="19"/>
        </w:rPr>
        <w:t xml:space="preserve"> — thin </w:t>
      </w:r>
      <w:r>
        <w:rPr>
          <w:rFonts w:ascii="Courier New" w:hAnsi="Courier New"/>
          <w:sz w:val="19"/>
        </w:rPr>
        <w:t>@DgsQuery</w:t>
      </w:r>
      <w:r>
        <w:rPr>
          <w:color w:val="373737"/>
          <w:sz w:val="19"/>
        </w:rPr>
        <w:t xml:space="preserve"> stub in </w:t>
      </w:r>
      <w:r>
        <w:rPr>
          <w:rFonts w:ascii="Courier New" w:hAnsi="Courier New"/>
          <w:sz w:val="19"/>
        </w:rPr>
        <w:t>plm-product</w:t>
      </w:r>
      <w:r>
        <w:rPr>
          <w:color w:val="373737"/>
          <w:sz w:val="19"/>
        </w:rPr>
        <w:t xml:space="preserve"> → frozen aggregation facade answers all 11 </w:t>
      </w:r>
      <w:r>
        <w:rPr>
          <w:rFonts w:ascii="Courier New" w:hAnsi="Courier New"/>
          <w:sz w:val="19"/>
        </w:rPr>
        <w:t>ResourcesCount</w:t>
      </w:r>
      <w:r>
        <w:rPr>
          <w:color w:val="373737"/>
          <w:sz w:val="19"/>
        </w:rPr>
        <w:t xml:space="preserve"> fields (works day 1, before any sibling federates)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Phase 2 (`F-01`–`F-08`)</w:t>
      </w:r>
      <w:r>
        <w:rPr>
          <w:color w:val="373737"/>
          <w:sz w:val="19"/>
        </w:rPr>
        <w:t xml:space="preserve"> — as each owning subgraph ships, it contributes its slice via </w:t>
      </w:r>
      <w:r>
        <w:rPr>
          <w:rFonts w:ascii="Courier New" w:hAnsi="Courier New"/>
          <w:sz w:val="19"/>
        </w:rPr>
        <w:t>extend type ResourcesCount @key(fields: "productId partnerId")</w:t>
      </w:r>
      <w:r>
        <w:rPr>
          <w:color w:val="373737"/>
          <w:sz w:val="19"/>
        </w:rPr>
        <w:t>; the facade stops serving that field (per-slice parity fixture gates the flip)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field; co-located domains (bom/measurement/construction/watchlist) contribute in-process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Phase 3 (`F-09`)</w:t>
      </w:r>
      <w:r>
        <w:rPr>
          <w:color w:val="373737"/>
          <w:sz w:val="19"/>
        </w:rPr>
        <w:t xml:space="preserve"> — facade retired; the gateway resolves the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shell and fans out </w:t>
      </w:r>
      <w:r>
        <w:rPr>
          <w:rFonts w:ascii="Courier New" w:hAnsi="Courier New"/>
          <w:sz w:val="19"/>
        </w:rPr>
        <w:t>_entities</w:t>
      </w:r>
      <w:r>
        <w:rPr>
          <w:color w:val="373737"/>
          <w:sz w:val="19"/>
        </w:rPr>
        <w:t xml:space="preserve"> to the contributors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(facade-then-federate,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PRODUCT-BE-E-01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PRODUCT-BE-G-11-1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Product.notRemovablePartnerIds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notRemovableWorkspaceIds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 figure out which partners/workspaces can't be removed from a product (e.g. because they're the last remaining owner), today's code calls into 4-5 other field…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BOM-BE-A-04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`SPIKE-06a` ·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to </w:t>
      </w:r>
      <w:r>
        <w:rPr>
          <w:b/>
          <w:color w:val="373737"/>
          <w:sz w:val="18"/>
        </w:rPr>
        <w:t>read</w:t>
      </w:r>
      <w:r>
        <w:rPr>
          <w:color w:val="373737"/>
          <w:sz w:val="18"/>
        </w:rPr>
        <w:t xml:space="preserve">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BOM-BE-B-05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PRODUCT-BE-C-01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`SPIKE-06b` · Cross-Domain Association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A mutation on one domain’s record often also has to </w:t>
      </w:r>
      <w:r>
        <w:rPr>
          <w:b/>
          <w:color w:val="373737"/>
          <w:sz w:val="18"/>
        </w:rPr>
        <w:t>link</w:t>
      </w:r>
      <w:r>
        <w:rPr>
          <w:color w:val="373737"/>
          <w:sz w:val="18"/>
        </w:rPr>
        <w:t xml:space="preserve"> that record into a sibling domain — attach files, put it in a workspace, add teams, add partners.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the one pattern every such mutation should follow (sync direct call / event-driven / shared </w:t>
      </w:r>
      <w:r>
        <w:rPr>
          <w:rFonts w:ascii="Courier New" w:hAnsi="Courier New"/>
          <w:sz w:val="18"/>
        </w:rPr>
        <w:t>AssociationService</w:t>
      </w:r>
      <w:r>
        <w:rPr>
          <w:color w:val="373737"/>
          <w:sz w:val="18"/>
        </w:rPr>
        <w:t>), instead of each mutation inventing its own “write, then also link” logic.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Unlike </w:t>
      </w:r>
      <w:r>
        <w:rPr>
          <w:rFonts w:ascii="Courier New" w:hAnsi="Courier New"/>
          <w:sz w:val="18"/>
        </w:rPr>
        <w:t>06a</w:t>
      </w:r>
      <w:r>
        <w:rPr>
          <w:color w:val="373737"/>
          <w:sz w:val="18"/>
        </w:rPr>
        <w:t xml:space="preserve">, there is no read-hydration or federated-reference question here — this is purely about how a </w:t>
      </w:r>
      <w:r>
        <w:rPr>
          <w:i/>
          <w:color w:val="373737"/>
          <w:sz w:val="18"/>
        </w:rPr>
        <w:t>write</w:t>
      </w:r>
      <w:r>
        <w:rPr>
          <w:color w:val="373737"/>
          <w:sz w:val="18"/>
        </w:rPr>
        <w:t xml:space="preserve"> fans out to a sibling domain. </w:t>
      </w:r>
      <w:r>
        <w:rPr>
          <w:b/>
          <w:color w:val="373737"/>
          <w:sz w:val="18"/>
        </w:rPr>
        <w:t>Scope (per draft ADR-011 §1):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D-03</w:t>
      </w:r>
      <w:r>
        <w:rPr>
          <w:color w:val="373737"/>
          <w:sz w:val="18"/>
        </w:rPr>
        <w:t xml:space="preserve"> (</w:t>
      </w:r>
      <w:r>
        <w:rPr>
          <w:rFonts w:ascii="Courier New" w:hAnsi="Courier New"/>
          <w:sz w:val="18"/>
        </w:rPr>
        <w:t>bulkUpdateProducts</w:t>
      </w:r>
      <w:r>
        <w:rPr>
          <w:color w:val="373737"/>
          <w:sz w:val="18"/>
        </w:rPr>
        <w:t>) is a pure passthrough — no cross-domain call.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rFonts w:ascii="Courier New" w:hAnsi="Courier New"/>
          <w:sz w:val="18"/>
        </w:rPr>
        <w:t>D-06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D-07</w:t>
      </w:r>
      <w:r>
        <w:rPr>
          <w:color w:val="373737"/>
          <w:sz w:val="18"/>
        </w:rPr>
        <w:t>/</w:t>
      </w:r>
      <w:r>
        <w:rPr>
          <w:rFonts w:ascii="Courier New" w:hAnsi="Courier New"/>
          <w:sz w:val="18"/>
        </w:rPr>
        <w:t>D-11</w:t>
      </w:r>
      <w:r>
        <w:rPr>
          <w:color w:val="373737"/>
          <w:sz w:val="18"/>
        </w:rPr>
        <w:t xml:space="preserve"> ("Collab Canvas") are cross-domain in concept but all their endpoints are on the product backend; no external workspace/partner service is called.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Only </w:t>
      </w:r>
      <w:r>
        <w:rPr>
          <w:b/>
          <w:color w:val="373737"/>
          <w:sz w:val="18"/>
        </w:rPr>
        <w:t>D-01, D-02, D-04</w:t>
      </w:r>
      <w:r>
        <w:rPr>
          <w:color w:val="373737"/>
          <w:sz w:val="18"/>
        </w:rPr>
        <w:t xml:space="preserve"> are in scope.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the association pattern (see </w:t>
      </w:r>
      <w:r>
        <w:rPr>
          <w:rFonts w:ascii="Courier New" w:hAnsi="Courier New"/>
          <w:sz w:val="19"/>
        </w:rPr>
        <w:t>PRODUCT-BE-S-01</w:t>
      </w:r>
      <w:r>
        <w:rPr>
          <w:color w:val="373737"/>
          <w:sz w:val="19"/>
        </w:rPr>
        <w:t>'s three candidates) and how a mid-flight association failure is handled.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Primary mutation writes its own record (product create/update)</w:t>
      </w:r>
    </w:p>
    <w:p>
      <w:pPr>
        <w:spacing w:after="60"/>
      </w:pPr>
      <w:r>
        <w:rPr>
          <w:color w:val="373737"/>
          <w:sz w:val="19"/>
        </w:rPr>
        <w:t>2. If the input carries a cross-domain link (</w:t>
      </w:r>
      <w:r>
        <w:rPr>
          <w:rFonts w:ascii="Courier New" w:hAnsi="Courier New"/>
          <w:sz w:val="19"/>
        </w:rPr>
        <w:t>workspaceId</w:t>
      </w:r>
      <w:r>
        <w:rPr>
          <w:color w:val="373737"/>
          <w:sz w:val="19"/>
        </w:rPr>
        <w:t xml:space="preserve">, </w:t>
      </w:r>
      <w:r>
        <w:rPr>
          <w:rFonts w:ascii="Courier New" w:hAnsi="Courier New"/>
          <w:sz w:val="19"/>
        </w:rPr>
        <w:t>copyProduct</w:t>
      </w:r>
      <w:r>
        <w:rPr>
          <w:color w:val="373737"/>
          <w:sz w:val="19"/>
        </w:rPr>
        <w:t xml:space="preserve">, template attachments) → build the association per the </w:t>
      </w:r>
      <w:r>
        <w:rPr>
          <w:b/>
          <w:color w:val="373737"/>
          <w:sz w:val="19"/>
        </w:rPr>
        <w:t>chosen S-01 pattern</w:t>
      </w:r>
      <w:r>
        <w:rPr>
          <w:color w:val="373737"/>
          <w:sz w:val="19"/>
        </w:rPr>
        <w:t xml:space="preserve"> (draft ADR-011: shared association component, sync, service-to-service REST)</w:t>
      </w:r>
    </w:p>
    <w:p>
      <w:pPr>
        <w:spacing w:after="60"/>
      </w:pPr>
      <w:r>
        <w:rPr>
          <w:color w:val="373737"/>
          <w:sz w:val="19"/>
        </w:rPr>
        <w:t>3. Apply the link to the target domain (workspace, attachment)</w:t>
      </w:r>
    </w:p>
    <w:p>
      <w:pPr>
        <w:spacing w:after="60"/>
      </w:pPr>
      <w:r>
        <w:rPr>
          <w:color w:val="373737"/>
          <w:sz w:val="19"/>
        </w:rPr>
        <w:t>4. Record what happens if the link step fails after the primary write succeeded (today: mostly silent/undocumented; per-mutation failure policy is declared explicitly under ADR-011)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PRODUCT-BE-D-04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