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BOM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4 High · 🟡 1 Medium · 🟢 1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27–42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4 client files · 7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2026-07-16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BOM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Statically expand BOM fragment factories (pre-cutover)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search and elastic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getBomElastic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master-data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getBomPackagingSubstrates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getBomPackagingUnitOfMeasure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supplier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getComboSupplierForBom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getValidTrimSuppliersForBom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getValidRawMaterialSuppliersForBom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BOM mutations including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updateBomComponentStatus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FederatedGqlBreakDown-BE-bom.md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