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Claims</w:t>
      </w:r>
    </w:p>
    <w:p>
      <w:pPr>
        <w:spacing w:after="160"/>
      </w:pPr>
      <w:r>
        <w:rPr>
          <w:i/>
          <w:color w:val="444444"/>
          <w:sz w:val="22"/>
        </w:rPr>
        <w:t>Target DGS: spark-claims (separate)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20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L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2  🟡 9  🟢 9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spark-claims (separate)</w:t>
      </w:r>
      <w:r>
        <w:rPr>
          <w:color w:val="444444"/>
          <w:sz w:val="18"/>
        </w:rPr>
        <w:t xml:space="preserve">   |   Generated: 2026-07-16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We are moving the </w:t>
      </w:r>
      <w:r>
        <w:rPr>
          <w:b/>
          <w:color w:val="373737"/>
          <w:sz w:val="20"/>
        </w:rPr>
        <w:t>Claims</w:t>
      </w:r>
      <w:r>
        <w:rPr>
          <w:color w:val="373737"/>
          <w:sz w:val="20"/>
        </w:rPr>
        <w:t xml:space="preserve"> domain — a product's marketing/technical claims (claim details, guest-facing copy, substantiation, per-partner access, exports)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its </w:t>
      </w:r>
      <w:r>
        <w:rPr>
          <w:b/>
          <w:color w:val="373737"/>
          <w:sz w:val="20"/>
        </w:rPr>
        <w:t>own `claims` DGS subgraph</w:t>
      </w:r>
      <w:r>
        <w:rPr>
          <w:color w:val="373737"/>
          <w:sz w:val="20"/>
        </w:rPr>
        <w:t xml:space="preserve">. Unlike BOM/Measurement/ProductDetails, claims is </w:t>
      </w:r>
      <w:r>
        <w:rPr>
          <w:b/>
          <w:color w:val="373737"/>
          <w:sz w:val="20"/>
        </w:rPr>
        <w:t>not</w:t>
      </w:r>
      <w:r>
        <w:rPr>
          <w:color w:val="373737"/>
          <w:sz w:val="20"/>
        </w:rPr>
        <w:t xml:space="preserve"> part of the plm-product monorepo, so its links to Product, search, workspace, user-profile and VMM are all </w:t>
      </w:r>
      <w:r>
        <w:rPr>
          <w:b/>
          <w:color w:val="373737"/>
          <w:sz w:val="20"/>
        </w:rPr>
        <w:t>cross-subgraph</w:t>
      </w:r>
      <w:r>
        <w:rPr>
          <w:color w:val="373737"/>
          <w:sz w:val="20"/>
        </w:rPr>
        <w:t xml:space="preserve"> (federation / gateway stitch), and it </w:t>
      </w:r>
      <w:r>
        <w:rPr>
          <w:b/>
          <w:color w:val="373737"/>
          <w:sz w:val="20"/>
        </w:rPr>
        <w:t>contributes</w:t>
      </w:r>
      <w:r>
        <w:rPr>
          <w:color w:val="373737"/>
          <w:sz w:val="20"/>
        </w:rPr>
        <w:t xml:space="preserve"> the </w:t>
      </w:r>
      <w:r>
        <w:rPr>
          <w:rFonts w:ascii="Courier New" w:hAnsi="Courier New"/>
          <w:sz w:val="20"/>
        </w:rPr>
        <w:t>Product.claims</w:t>
      </w:r>
      <w:r>
        <w:rPr>
          <w:color w:val="373737"/>
          <w:sz w:val="20"/>
        </w:rPr>
        <w:t xml:space="preserve"> field and the TechPack </w:t>
      </w:r>
      <w:r>
        <w:rPr>
          <w:rFonts w:ascii="Courier New" w:hAnsi="Courier New"/>
          <w:sz w:val="20"/>
        </w:rPr>
        <w:t>ResourcesCount.claims</w:t>
      </w:r>
      <w:r>
        <w:rPr>
          <w:color w:val="373737"/>
          <w:sz w:val="20"/>
        </w:rPr>
        <w:t xml:space="preserve"> count back to plm-product.</w:t>
      </w:r>
    </w:p>
    <w:p>
      <w:pPr>
        <w:spacing w:after="80"/>
      </w:pPr>
      <w:r>
        <w:rPr>
          <w:color w:val="373737"/>
          <w:sz w:val="20"/>
        </w:rPr>
        <w:t xml:space="preserve">It is </w:t>
      </w:r>
      <w:r>
        <w:rPr>
          <w:b/>
          <w:color w:val="373737"/>
          <w:sz w:val="20"/>
        </w:rPr>
        <w:t>mid-sized and mid-risk</w:t>
      </w:r>
      <w:r>
        <w:rPr>
          <w:color w:val="373737"/>
          <w:sz w:val="20"/>
        </w:rPr>
        <w:t xml:space="preserve">: 7 queries, 6 mutations, 17 field resolvers on a 164-line resolver, with </w:t>
      </w:r>
      <w:r>
        <w:rPr>
          <w:b/>
          <w:color w:val="373737"/>
          <w:sz w:val="20"/>
        </w:rPr>
        <w:t>no polymorphism</w:t>
      </w:r>
      <w:r>
        <w:rPr>
          <w:color w:val="373737"/>
          <w:sz w:val="20"/>
        </w:rPr>
        <w:t xml:space="preserve">. The one genuinely harder piece is </w:t>
      </w:r>
      <w:r>
        <w:rPr>
          <w:b/>
          <w:color w:val="373737"/>
          <w:sz w:val="20"/>
        </w:rPr>
        <w:t>`updateClaim`</w:t>
      </w:r>
      <w:r>
        <w:rPr>
          <w:color w:val="373737"/>
          <w:sz w:val="20"/>
        </w:rPr>
        <w:t xml:space="preserve">, a multi-step write that uses the </w:t>
      </w:r>
      <w:r>
        <w:rPr>
          <w:b/>
          <w:color w:val="373737"/>
          <w:sz w:val="20"/>
        </w:rPr>
        <w:t>proxy/external ACL</w:t>
      </w:r>
      <w:r>
        <w:rPr>
          <w:color w:val="373737"/>
          <w:sz w:val="20"/>
        </w:rPr>
        <w:t xml:space="preserve"> path plus workspace association, with no rollback today.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capability tokens via ACL (including the proxy variant for update); Per the program-level working decision, </w:t>
      </w:r>
      <w:r>
        <w:rPr>
          <w:b/>
          <w:color w:val="373737"/>
          <w:sz w:val="20"/>
        </w:rPr>
        <w:t>the DGS layer carries no ACL plumbing story</w:t>
      </w:r>
      <w:r>
        <w:rPr>
          <w:color w:val="373737"/>
          <w:sz w:val="20"/>
        </w:rPr>
        <w:t xml:space="preserve"> — each domain service performs its own access control; scenario ADRs (</w:t>
      </w:r>
      <w:r>
        <w:rPr>
          <w:rFonts w:ascii="Courier New" w:hAnsi="Courier New"/>
          <w:sz w:val="20"/>
        </w:rPr>
        <w:t>complexStories/*/02-adr-noacl-*.md</w:t>
      </w:r>
      <w:r>
        <w:rPr>
          <w:color w:val="373737"/>
          <w:sz w:val="20"/>
        </w:rPr>
        <w:t>) record the assumption's impact and ratify with the global decision. ACL is noted in stories for context only.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cacheable master-data; 1 elastic (🔴 search)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5 simple + </w:t>
            </w:r>
            <w:r>
              <w:rPr>
                <w:rFonts w:ascii="Courier New" w:hAnsi="Courier New"/>
                <w:sz w:val="18"/>
              </w:rPr>
              <w:t>updateClaim</w:t>
            </w:r>
            <w:r>
              <w:rPr>
                <w:color w:val="373737"/>
                <w:sz w:val="18"/>
              </w:rPr>
              <w:t xml:space="preserve"> (proxy-ACL multi-step)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Claims</w:t>
            </w:r>
            <w:r>
              <w:rPr>
                <w:color w:val="373737"/>
                <w:sz w:val="18"/>
              </w:rPr>
              <w:t xml:space="preserve"> (11), </w:t>
            </w:r>
            <w:r>
              <w:rPr>
                <w:rFonts w:ascii="Courier New" w:hAnsi="Courier New"/>
                <w:sz w:val="18"/>
              </w:rPr>
              <w:t>ParentDetails</w:t>
            </w:r>
            <w:r>
              <w:rPr>
                <w:color w:val="373737"/>
                <w:sz w:val="18"/>
              </w:rPr>
              <w:t xml:space="preserve"> (3), substantiate (1), claimDetails (1)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 keys (1 🔴 · 3 🟡 · 2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🔴; product/user-profile/workspace 🟡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(Product.claims, ResourcesCount.claims)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BLOCKED-BY product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20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green-field; separate subgraph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CLAIM-BE-E-01 — updateClaim (proxy ACL + multi-step write)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5–9d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7–12d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</w:t>
            </w:r>
            <w:r>
              <w:rPr>
                <w:rFonts w:ascii="Courier New" w:hAnsi="Courier New"/>
                <w:sz w:val="18"/>
              </w:rPr>
              <w:t>updateClaim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 (BLOCKED-BY product)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12–20d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20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36–62d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8–13 sprints</w:t>
      </w:r>
      <w:r>
        <w:rPr>
          <w:color w:val="444444"/>
          <w:sz w:val="18"/>
        </w:rPr>
        <w:t>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~9–15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~5–8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 after B-01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service port,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C-01/C-02 + D-01–D-05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+ 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E-01 + G-01/G-02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updateClaim</w:t>
            </w:r>
            <w:r>
              <w:rPr>
                <w:color w:val="373737"/>
                <w:sz w:val="18"/>
              </w:rPr>
              <w:t xml:space="preserve"> + ACL/partner field resolvers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G-03/G-04 + G-05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parent/elastic + misc fields + tests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post-launch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F-01, F-02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 (unblocked by product)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>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G-04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SPIKE-01&lt;br&gt;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→ ⛔ BLOCKED-BY product&lt;br&gt;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 → ⛔ BLOCKED-BY product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G-05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G-05</w:t>
      </w:r>
      <w:r>
        <w:rPr>
          <w:color w:val="373737"/>
          <w:sz w:val="19"/>
        </w:rPr>
        <w:t xml:space="preserve"> — 3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getClaims(parentHumanId, claimHumanIds, partnerIds)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claims for a product / set of partners.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claim.getClaims GET … (filtered) → camelCase. No ACL token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filters by the 3 args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getClaimByIds(claimHumanIds)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specific claims by their ids.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GET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claims for ids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CLAIM-BE-B-03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getCommunicationChannels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communication-channel lookup list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channels; cached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CLAIM-BE-B-04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getAllClaimsAbout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'claims about' lookup list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list; cached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CLAIM-BE-B-05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getClaimExports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the claim export jobs.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export records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CLAIM-BE-B-01: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claims.graphqls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[be-03-schema.graphql](./be-03-schema.graphql).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searchGuestFacing(queryParam)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the guest-facing (external-partner) claims view.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query-string built from </w:t>
            </w:r>
            <w:r>
              <w:rPr>
                <w:rFonts w:ascii="Courier New" w:hAnsi="Courier New"/>
                <w:sz w:val="17"/>
              </w:rPr>
              <w:t>queryParam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CLAIM-BE-C-02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getClaimsElastic(parentHumanId)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a product's claims via elastic.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search.getClaimsElastic. EXT: search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parentId:</w:t>
            </w:r>
            <w:r>
              <w:rPr>
                <w:color w:val="373737"/>
                <w:sz w:val="17"/>
              </w:rPr>
              <w:t xml:space="preserve"> elastic query built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createClaim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new claim.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… (snake_case). If validationErrors/message → throw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 claim(s)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validation error → exception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bulkUpdateClaim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many claims in one call.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 Error contract: result is array → return; status_code&gt;400 → throw; else throw "unhandled". Latent: source snake-cases the response — fix to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array result returned (camelCase)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error status → exception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CLAIM-BE-D-03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requestClaimExport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Kick off a claim export job.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… → response.request_id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the request id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CLAIM-BE-D-04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lockClaim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Lock a claim from edits.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PUT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locks the claim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CLAIM-BE-D-05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unlockClaim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Unlock a claim for edits.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PUT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unlocks the claim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CLAIM-BE-E-01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updateClaim</w:t>
            </w:r>
            <w:r>
              <w:rPr>
                <w:color w:val="373737"/>
                <w:sz w:val="17"/>
              </w:rPr>
              <w:t xml:space="preserve"> (proxy ACL + multi-step write)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claim — a multi-step write (permissions + workspace + body) that has no rollback today.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getUserPermissionsJWTByProxy({id:humanId, proxyIds:[parentId], basePermissions:true}) (proxy/external ACL path — context only); 2) if workspaceContext.{add,remove}…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workspace assoc runs when present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body update + throw-on-error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partial-failure strategy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body-only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+workspace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validation-error→throw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partial-failure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CLAIM-BE-F-01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Product.claims</w:t>
            </w:r>
            <w:r>
              <w:rPr>
                <w:color w:val="373737"/>
                <w:sz w:val="17"/>
              </w:rPr>
              <w:t xml:space="preserve"> (federation contribution)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a product's claims on the Product type (federation contribution).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extend type Product @key(fields:"id") { claims(partnerIds:[String], includeClaims:Boolean): [Claims] } with a @DgsEntityFetcher; the claims subgraph fills `Product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Product.claims</w:t>
            </w:r>
            <w:r>
              <w:rPr>
                <w:color w:val="373737"/>
                <w:sz w:val="17"/>
              </w:rPr>
              <w:t xml:space="preserve"> resolves via federation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vs the current in-gateway resolver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CLAIM-BE-F-02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ResourcesCount.claims</w:t>
            </w:r>
            <w:r>
              <w:rPr>
                <w:color w:val="373737"/>
                <w:sz w:val="17"/>
              </w:rPr>
              <w:t xml:space="preserve"> (TechPack — claims side of PRODUCT-BE-F-05)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Contribute the claims count to the product TechPack rollup.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extend type ResourcesCount @key(fields:"productId partnerId") { claims: [ID] } with a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field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parity vs facade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access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currentUserPermissions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participantDetails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userGroup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claim's access / permission / participant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resolves; null-safe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updatedBy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businessPartner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designPartner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userAttributes, vmm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people and partner fields on a claim.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users via user-profile; businessPartner 3-way fallback (partnerId \|\| {bpId:0,bpName:'Target'} when no dpPartnerId \|\| dpPartnerId); designPartner dpPartnerId or…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all 3 BP branches correct (incl. </w:t>
            </w:r>
            <w:r>
              <w:rPr>
                <w:rFonts w:ascii="Courier New" w:hAnsi="Courier New"/>
                <w:sz w:val="17"/>
              </w:rPr>
              <w:t>bpId:0</w:t>
            </w:r>
            <w:r>
              <w:rPr>
                <w:color w:val="373737"/>
                <w:sz w:val="17"/>
              </w:rPr>
              <w:t xml:space="preserve"> Target)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null id → null user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CLAIM-BE-G-03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parentDetails</w:t>
            </w:r>
            <w:r>
              <w:rPr>
                <w:color w:val="373737"/>
                <w:sz w:val="17"/>
              </w:rPr>
              <w:t xml:space="preserve"> (otherClaimBps / systemTeams / droppedPartnerIds)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product, 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parent product and its related-partner context on a claim.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(product, only if parentId starts 'PID'); parentDetails → - product.getByID(parentId) (the product feeds ParentDetails): otherClaimBps (search getClaimsElastic…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not </w:t>
            </w:r>
            <w:r>
              <w:rPr>
                <w:rFonts w:ascii="Courier New" w:hAnsi="Courier New"/>
                <w:sz w:val="17"/>
              </w:rPr>
              <w:t>PID*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otherClaimBps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systemTeams</w:t>
            </w:r>
            <w:r>
              <w:rPr>
                <w:color w:val="373737"/>
                <w:sz w:val="17"/>
              </w:rPr>
              <w:t xml:space="preserve"> elastic queries match source; empty-BP → </w:t>
            </w:r>
            <w:r>
              <w:rPr>
                <w:rFonts w:ascii="Courier New" w:hAnsi="Courier New"/>
                <w:sz w:val="17"/>
              </w:rPr>
              <w:t>{content:[]}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product branch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otherClaimBps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systemTeams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empty BPs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CLAIM-BE-G-04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ClaimSubstantiate.substantiatedBy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ClaimDetails.claimName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userAttributes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workspace links and a few computed claim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each resolves; </w:t>
            </w: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null when empty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claimName</w:t>
            </w:r>
            <w:r>
              <w:rPr>
                <w:color w:val="373737"/>
                <w:sz w:val="17"/>
              </w:rPr>
              <w:t xml:space="preserve"> mirrors </w:t>
            </w:r>
            <w:r>
              <w:rPr>
                <w:rFonts w:ascii="Courier New" w:hAnsi="Courier New"/>
                <w:sz w:val="17"/>
              </w:rPr>
              <w:t>guestFacingClaim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CLAIM-BE-G-05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Tests, parity harness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Tests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B-01, E-01, G-02, G-03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Prove the claims subgraph matches the old gateway.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≥80% unit coverage; parity fixtures (incl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unit ≥80%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green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schema-diff intentional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