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Claims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spark-claims (separate)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2 High · 🟡 2 Medium · 🟢 0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17–27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 operation-to-root-field rows · 6 client files · 8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2026-07-16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Claims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spark-claims (separate)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Split the claim fragment factory and re-target claim fragments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Refactor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claim reads (first cross-subgraph cutover)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getClaims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getClaimByIds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getCommunicationChannels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getAllClaimsAbout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getClaimComponentStatus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claim simple mutations and export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requestClaimExport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multi-step write handling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CLAIM-BE-E-01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CLAIM-BE-D-04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CLAIM-BE-E-01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CLAIM-FE-001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CLAIM-FE-004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FederatedGqlBreakDown-BE-claims.md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