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Measurement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3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 operation-to-root-field rows · 4 client files · 7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Measurement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measurement reads and retire </w:t>
            </w:r>
            <w:r>
              <w:rPr>
                <w:rFonts w:ascii="Courier New" w:hAnsi="Courier New"/>
                <w:sz w:val="18"/>
              </w:rPr>
              <w:t>humanId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getMeasurementsElastic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getUnitsOfMeasure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getThicknessUnitsOfMeasure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putSampleMeasurementSet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deleteSampleMeasurementSet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FederatedGqlBreakDown-BE-measurement.md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