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Product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(host)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3 High · 🟡 8 Medium · 🟢 0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63–97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 operation-to-root-field rows · 20 client files · 48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2026-07-16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Product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(host)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 documents in product-queries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10–15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shared-library </w:t>
            </w: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 consumers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getProductVersions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list and bulk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getProductsByIds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status and workspace-context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getProductStatus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template library and categories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getProductTemplates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getCategories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rules administration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getProductRulesById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getAllAvailableRules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getProductDeptRules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getProductBPRules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deleteProductRule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simple product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carryForwardProduct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updateViewToggle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linkProduct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unlinkProduct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team and partner assignment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addTeamsToProduct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addBusinessPartnersToProductWithType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updateProductTeamsWorkspaceContext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partner drop/undrop orchestration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updateBusinessPartnerStatuses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TechPack count queries (facade-then-federate)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 (staged)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 (step 1) + 4–6 days (step 2)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component status rollups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updateComponentStatus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updateComponentStatuses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PRODUCT-BE-B-04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 (+5)&lt;br&gt;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(+4)&lt;br&gt;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PRODUCT-BE-D-09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PRODUCT-FE-001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PRODUCT-FE-009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FederatedGqlBreakDown-BE-product.md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