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69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27  🟢 33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~200-line, 14-step aggregation spanning 8 domains' data via 4 physical services, which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facade-then-federate</w:t>
      </w:r>
      <w:r>
        <w:rPr>
          <w:color w:val="373737"/>
          <w:sz w:val="20"/>
        </w:rPr>
        <w:t xml:space="preserve"> approach for TechPack (draft </w:t>
      </w:r>
      <w:r>
        <w:rPr>
          <w:b/>
          <w:color w:val="373737"/>
          <w:sz w:val="20"/>
        </w:rPr>
        <w:t>ADR-015</w:t>
      </w:r>
      <w:r>
        <w:rPr>
          <w:color w:val="373737"/>
          <w:sz w:val="20"/>
        </w:rPr>
        <w:t xml:space="preserve"> Option B; the pattern </w:t>
      </w:r>
      <w:r>
        <w:rPr>
          <w:rFonts w:ascii="Courier New" w:hAnsi="Courier New"/>
          <w:sz w:val="20"/>
        </w:rPr>
        <w:t>techpack-migration-options.md</w:t>
      </w:r>
      <w:r>
        <w:rPr>
          <w:color w:val="373737"/>
          <w:sz w:val="20"/>
        </w:rPr>
        <w:t xml:space="preserve"> labels "Option D (hybrid)"): ship a thin query over a temporary aggregation facade so it works on day 1, then federate each piece to its owning domain, then retire the facade (</w:t>
      </w:r>
      <w:r>
        <w:rPr>
          <w:rFonts w:ascii="Courier New" w:hAnsi="Courier New"/>
          <w:sz w:val="20"/>
        </w:rPr>
        <w:t>F-09</w:t>
      </w:r>
      <w:r>
        <w:rPr>
          <w:color w:val="373737"/>
          <w:sz w:val="20"/>
        </w:rPr>
        <w:t>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legacy gateway obtains per-resource capability tokens via ACL on nearly every call.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= +1). The 3 Phase-0 spike stubs (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S-03</w:t>
            </w:r>
            <w:r>
              <w:rPr>
                <w:color w:val="373737"/>
                <w:sz w:val="18"/>
              </w:rPr>
              <w:t xml:space="preserve">)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PRODUCT-BE-D-01 — addProduct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PRODUCT-BE-D-02 — addProducts (bulk)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PRODUCT-BE-D-04 — updateProduct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PRODUCT-BE-E-00 — WriteSaga shared module (Sprint 0, critical path)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PRODUCT-BE-E-01 — productBusinessPartnerActions (REMOVE/DROP/UNDROP)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SPIKE-03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PRODUCT-BE-E-02 — updateComponentStatuses (5-loader fan-out)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PRODUCT-BE-E-03 — getProductTechPackCountV1 stub + aggregation facade (facade-then-federate, Phase 1)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PRODUCT-BE-E-04 — getProductTechPackBulkCountV1 (bulk wrapper, ordering fix)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PRODUCT-BE-G-07 — Product.vendorAttributes + businessPartners + droppedPartners + unDroppablePartners + status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PRODUCT-BE-G-11-1 — Product.notRemovablePartnerIds + notRemovableWorkspaceIds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11–18d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17–29d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B-01; C-01 gated on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(Hydration,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25–40d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B-01; D-01/D-02/D-04 gated on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(Association, via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>); D-03/D-06/D-07/D-11 unblocked (single-backend, per ADR-011 scope)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(partner/components/TechPack)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33–56d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E-01 gated on </w:t>
            </w:r>
            <w:r>
              <w:rPr>
                <w:rFonts w:ascii="Courier New" w:hAnsi="Courier New"/>
                <w:sz w:val="18"/>
              </w:rPr>
              <w:t>SPIKE-03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22–40d (most BLOCKED-BY siblings)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E-03 / siblings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Resolvers, Bug-fixes, Utils,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86–143d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B-01.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(16 → 17)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194–326d</w:t>
            </w:r>
            <w:r>
              <w:rPr>
                <w:color w:val="373737"/>
                <w:sz w:val="18"/>
              </w:rPr>
              <w:t xml:space="preserve"> (buffered; sum of phase rows)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39–66 sprints</w:t>
      </w:r>
      <w:r>
        <w:rPr>
          <w:color w:val="444444"/>
          <w:sz w:val="18"/>
        </w:rPr>
        <w:t>. Heavily parallelizable after B-01; 2–3 engineers strongly recommended.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~39–66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B-01–B-11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(C-01 needs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(D-01/D-02/D-04 need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concluded; D-03/D-06/D-07/D-11 unblocked)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E-03/E-04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facade-then-federate direction already resolved, draft ADR-015)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E-01/E-02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G-01–G-10, G-11-1, G-11-2, G-12–G-14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(G-01/G-02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G-15 + G-16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+ tests/parity/load/cut-over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F-01–F-09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F-10–F-12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Federation &amp; Stitching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~200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getProductsByIds(ids)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primes single-id loader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product statuses (dropdown options).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getStatus master status list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getProductVersions(id)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saved versions of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getVersions GET ${v1}/{id}/versions?page=0&amp;size=10000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versions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getCopyStatus(id)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Tells you whether a product copy is still in progress or done.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getCopyStatus GET ${v2}/count/resource-type?copyId={id}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copy status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 or empty object (not null)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product business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getAllRules GET $… → content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rules content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one business rule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getRuleById GET $…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rules that are available to apply.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getProductDeptRules(productIds, departmentIds, activeOnly)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selects the correct backend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getProductBPRules(productIds, businessPartnerIds, activeOnly)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business-partner-level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B-10 with businessPartnerIds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honored; BP filter applied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SPIKE-06a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 via the shared association component (no bespoke fan-out code)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failure after create (link or copy fails) surfaces per the mutation's declared failure policy — default fail-fast, no rollback, documented (ADR-011 §4)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attachment links applied via the shared association component; no-rollback behaviour documented (compensation deferred to the shared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module, </w:t>
            </w:r>
            <w:r>
              <w:rPr>
                <w:rFonts w:ascii="Courier New" w:hAnsi="Courier New"/>
                <w:sz w:val="17"/>
              </w:rPr>
              <w:t>PRODUCT-BE-E-00</w:t>
            </w:r>
            <w:r>
              <w:rPr>
                <w:color w:val="373737"/>
                <w:sz w:val="17"/>
              </w:rPr>
              <w:t>, per ADR-011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resolver import remains; the formerly fire-and-forget attachment re-point is awaited and its failure visible (accepted deviations per ADR-011 §4)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 archiving applied via the shared association component (no bespoke fan-out code)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teams + new partners + workspace links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partner-add failure exits early with a thrown typed error (today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— standardized per ADR-011 §4 pin-down 4, accepted deviation); teams are not added after a failed partner add (legacy order preserved)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business partners to a product with a given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${v1}/{productId}/partners-add/bulk; success = response has product_id and no status_code; failure = log + return new Error(...) (returned, not thrown — surfaces…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partners with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throws a typed </w:t>
            </w:r>
            <w:r>
              <w:rPr>
                <w:rFonts w:ascii="Courier New" w:hAnsi="Courier New"/>
                <w:sz w:val="17"/>
              </w:rPr>
              <w:t>DgsException</w:t>
            </w:r>
            <w:r>
              <w:rPr>
                <w:color w:val="373737"/>
                <w:sz w:val="17"/>
              </w:rPr>
              <w:t xml:space="preserve"> instead of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(accepted parity deviation, ADR-011 §4 pin-down 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removeProductResources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resources (links) from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${v1}/{productId}/resources/bulk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removes resources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business partners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statuses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toggles hidden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product's workspace attributes.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 workspace attrs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workspace attrs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updateProductTeamsWorkspaceContext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team↔workspace pairings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team-workspace add/remove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team-workspace pairs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Links a parent and child product together.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unlinks parent/child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…/spark_rules/v1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rule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…/spark_rules/v1/{id}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deletes; returns Boolean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shared module (Sprint 0, critical path)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"ordered steps + per-step failure policy" mechanism every multi-step write in the program will use, instead of nine domains each guessing their 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executes ordered steps, stops at the first non-retryable failure, and runs declared compensations (in reverse order) for every already-completed step that has one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Every step's response is checked by construction — there is no code path where a step's result is silently ignored (closes ADR-013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finish()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COMMITTED</w:t>
            </w:r>
            <w:r>
              <w:rPr>
                <w:color w:val="373737"/>
                <w:sz w:val="17"/>
              </w:rPr>
              <w:t xml:space="preserve"> (all steps succeeded),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(a step failed, compensations ran, no net change),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(a step failed, some compensations don't exist or also failed) — always with per-step detail, never a bare generic error (ADR-013 pin-down 6; surfaced via GraphQL error extensions by each consumer)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Parallel fan-out steps isolate per-branch failures and aggregate a per-branch result — a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>-style first-rejection-wins is not possible through this API (ADR-013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Compensation inventory completed and recorded before any consumer story starts: for every step kind in the §4-B policy table, confirm the declared inverse actually exists (workspace associate↔dissociate, relationship add↔remove); anything without a confirmed inverse defaults to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>, never assumed (ADR-013 pin-down 1 — this is a blocking pre-condition on every consumer story, not optional polish)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Injected mid-sequence failures in unit tests yield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correct per-step detail for at least one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, one </w:t>
            </w:r>
            <w:r>
              <w:rPr>
                <w:rFonts w:ascii="Courier New" w:hAnsi="Courier New"/>
                <w:sz w:val="17"/>
              </w:rPr>
              <w:t>RETRY</w:t>
            </w:r>
            <w:r>
              <w:rPr>
                <w:color w:val="373737"/>
                <w:sz w:val="17"/>
              </w:rPr>
              <w:t xml:space="preserve">, and one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step in the same saga run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Zero consumer-facing API changes are needed if a later step kind's policy is refined (e.g. Option D's backend-composed atomic endpoints replace a saga step with one call) — the saga's public contract is step-name + action + compensation + policy, nothing consumer-specific leaks in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ships alone — no domain's E-phase mutation story is modified here; </w:t>
            </w:r>
            <w:r>
              <w:rPr>
                <w:rFonts w:ascii="Courier New" w:hAnsi="Courier New"/>
                <w:sz w:val="17"/>
              </w:rPr>
              <w:t>MST-BE-E-01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, the smallest real case) is the designated pilot adopter in its own story, followed by </w:t>
            </w:r>
            <w:r>
              <w:rPr>
                <w:rFonts w:ascii="Courier New" w:hAnsi="Courier New"/>
                <w:sz w:val="17"/>
              </w:rPr>
              <w:t>BOM-BE-E-01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PKG-BE-E-01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PDTL-BE-E-01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WATCHLIST-BE-E-01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CLAIM-BE-E-01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PRODUCT-BE-E-02</w:t>
            </w:r>
            <w:r>
              <w:rPr>
                <w:color w:val="373737"/>
                <w:sz w:val="17"/>
              </w:rPr>
              <w:t>, and the later-phase sample mutations, each per their own story's acceptance criteria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3-step saga where step 2 fails → step 1's compensation runs, step 3 never runs, result is </w:t>
            </w:r>
            <w:r>
              <w:rPr>
                <w:rFonts w:ascii="Courier New" w:hAnsi="Courier New"/>
                <w:sz w:val="17"/>
              </w:rPr>
              <w:t>COMPENSATED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RETRY(n)</w:t>
            </w:r>
            <w:r>
              <w:rPr>
                <w:color w:val="373737"/>
                <w:sz w:val="17"/>
              </w:rPr>
              <w:t xml:space="preserve"> policy fails </w:t>
            </w:r>
            <w:r>
              <w:rPr>
                <w:rFonts w:ascii="Courier New" w:hAnsi="Courier New"/>
                <w:sz w:val="17"/>
              </w:rPr>
              <w:t>n</w:t>
            </w:r>
            <w:r>
              <w:rPr>
                <w:color w:val="373737"/>
                <w:sz w:val="17"/>
              </w:rPr>
              <w:t xml:space="preserve"> times then still fails → result is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that step's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policy fails → saga continues past it (not a hard stop), failure recorded in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declares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 but its own compensation call also fails → surfaced as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>, not silently swallowed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a 5-branch parallel fan-out where 1 branch fails → the other 4 branches' results are still returned, aggregated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compensation inventory checklist (pin-down 1) run and recorded against real backend endpoints before this story closes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SPIKE-03 (Partner Drop/Undrop + Ownership)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SPIKE-03, E-00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fixtures), incl. the design-partner branch (</w:t>
            </w:r>
            <w:r>
              <w:rPr>
                <w:rFonts w:ascii="Courier New" w:hAnsi="Courier New"/>
                <w:sz w:val="17"/>
              </w:rPr>
              <w:t>skipSamples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partnerType == DESIGN_PARTNER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SPIKE-03</w:t>
            </w:r>
            <w:r>
              <w:rPr>
                <w:color w:val="373737"/>
                <w:sz w:val="17"/>
              </w:rPr>
              <w:t>'s decision (draft ADR-012: per-step policy — partner-status compensate · ACL retry-then-fail · activity/profile retry+reconcile)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on DROP, ACL revocation completes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mutation returns success; on UNDROP, ACL restore precedes participant undrops — proven by an automated test, not convention (ADR-012 §4 ordering constraint)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Relationship-Service traversal and no </w:t>
            </w:r>
            <w:r>
              <w:rPr>
                <w:rFonts w:ascii="Courier New" w:hAnsi="Courier New"/>
                <w:sz w:val="17"/>
              </w:rPr>
              <w:t>UserProfileAttributes</w:t>
            </w:r>
            <w:r>
              <w:rPr>
                <w:color w:val="373737"/>
                <w:sz w:val="17"/>
              </w:rPr>
              <w:t xml:space="preserve"> resolver import remain in the ported flow (replaced by participant enumeration + a user-profile client call).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ADR-012 pin-down 4 (async-refinement scope — recentlyViewed/todo/favorite/user-profile only, never &gt; ACL or partner status) and pin-down 6 (keep the </w:t>
            </w:r>
            <w:r>
              <w:rPr>
                <w:rFonts w:ascii="Courier New" w:hAnsi="Courier New"/>
                <w:sz w:val="17"/>
              </w:rPr>
              <w:t>actionType</w:t>
            </w:r>
            <w:r>
              <w:rPr>
                <w:color w:val="373737"/>
                <w:sz w:val="17"/>
              </w:rPr>
              <w:t xml:space="preserve"> dispatcher shape for phase-1 parity; splitting &gt; is a v2 API question) are scope/architecture statements, not independently testable behavior — no dedicated &gt; AC needed; honored by construction in the service shape above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design-partner branch (samples skipped)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 per step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ACL-before-return ordering invariant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E-00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(facade-then-federate,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a fully populated 11-field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 for a valid </w:t>
            </w:r>
            <w:r>
              <w:rPr>
                <w:rFonts w:ascii="Courier New" w:hAnsi="Courier New"/>
                <w:sz w:val="17"/>
              </w:rPr>
              <w:t>(productId, partnerId, workspaceContext, parentProductId)</w:t>
            </w:r>
            <w:r>
              <w:rPr>
                <w:color w:val="373737"/>
                <w:sz w:val="17"/>
              </w:rPr>
              <w:t xml:space="preserve"> input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@DgsEntityFetcher(name="ResourcesCount")</w:t>
            </w:r>
            <w:r>
              <w:rPr>
                <w:color w:val="373737"/>
                <w:sz w:val="17"/>
              </w:rPr>
              <w:t xml:space="preserve"> reconstructs the entity from key + context on an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query (federation-ready shell)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Recorded-fixture parity vs </w:t>
            </w:r>
            <w:r>
              <w:rPr>
                <w:rFonts w:ascii="Courier New" w:hAnsi="Courier New"/>
                <w:sz w:val="17"/>
              </w:rPr>
              <w:t>spark-internal-graphql</w:t>
            </w:r>
            <w:r>
              <w:rPr>
                <w:color w:val="373737"/>
                <w:sz w:val="17"/>
              </w:rPr>
              <w:t xml:space="preserve"> for ≥ 5 pinned inputs, including: a product </w:t>
            </w:r>
            <w:r>
              <w:rPr>
                <w:b/>
                <w:color w:val="373737"/>
                <w:sz w:val="17"/>
              </w:rPr>
              <w:t>with a parent</w:t>
            </w:r>
            <w:r>
              <w:rPr>
                <w:color w:val="373737"/>
                <w:sz w:val="17"/>
              </w:rPr>
              <w:t xml:space="preserve"> (double-walk), &gt; 100 walked ids (chunked ACL), a 3D attachment, and a critical thread whose parent discussion is outside the walk — 100% field-value match modulo the ADR-015 §4 deviation list (parallelized elastic/ACL calls; counts unchanged)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observable: per-slice latency + error metrics and a health endpoint exist (they gate the </w:t>
            </w:r>
            <w:r>
              <w:rPr>
                <w:rFonts w:ascii="Courier New" w:hAnsi="Courier New"/>
                <w:sz w:val="17"/>
              </w:rPr>
              <w:t>H-01</w:t>
            </w:r>
            <w:r>
              <w:rPr>
                <w:color w:val="373737"/>
                <w:sz w:val="17"/>
              </w:rPr>
              <w:t>–</w:t>
            </w:r>
            <w:r>
              <w:rPr>
                <w:rFonts w:ascii="Courier New" w:hAnsi="Courier New"/>
                <w:sz w:val="17"/>
              </w:rPr>
              <w:t>H-05</w:t>
            </w:r>
            <w:r>
              <w:rPr>
                <w:color w:val="373737"/>
                <w:sz w:val="17"/>
              </w:rPr>
              <w:t xml:space="preserve"> re-homings and the </w:t>
            </w:r>
            <w:r>
              <w:rPr>
                <w:rFonts w:ascii="Courier New" w:hAnsi="Courier New"/>
                <w:sz w:val="17"/>
              </w:rPr>
              <w:t>F-09</w:t>
            </w:r>
            <w:r>
              <w:rPr>
                <w:color w:val="373737"/>
                <w:sz w:val="17"/>
              </w:rPr>
              <w:t xml:space="preserve"> retirement check)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behavior-frozen: deviations limited to ADR-015 §4 pin-downs; </w:t>
            </w:r>
            <w:r>
              <w:rPr>
                <w:rFonts w:ascii="Courier New" w:hAnsi="Courier New"/>
                <w:sz w:val="17"/>
              </w:rPr>
              <w:t>CODEOWNERS</w:t>
            </w:r>
            <w:r>
              <w:rPr>
                <w:color w:val="373737"/>
                <w:sz w:val="17"/>
              </w:rPr>
              <w:t xml:space="preserve"> guard in place so new feature work lands in the owning domain's </w:t>
            </w:r>
            <w:r>
              <w:rPr>
                <w:rFonts w:ascii="Courier New" w:hAnsi="Courier New"/>
                <w:sz w:val="17"/>
              </w:rPr>
              <w:t>F0x</w:t>
            </w:r>
            <w:r>
              <w:rPr>
                <w:color w:val="373737"/>
                <w:sz w:val="17"/>
              </w:rPr>
              <w:t xml:space="preserve"> story instead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 returns 11 populated fields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entity fetcher via </w:t>
            </w:r>
            <w:r>
              <w:rPr>
                <w:rFonts w:ascii="Courier New" w:hAnsi="Courier New"/>
                <w:sz w:val="17"/>
              </w:rPr>
              <w:t>_entities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≥ 5 pinned inputs (incl. parent double-walk, &gt;100 ids, 3D attachment, out-of-walk critical thread)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per-slice metrics emitted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SPIKE-02, 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PRODUCT-BE-E-01: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ADR-012 pin-down 4 (async-refinement scope — recentlyViewed/todo/favorite/user-profile only, never</w:t>
        <w:br/>
        <w:t xml:space="preserve">&gt; ACL or partner status) and pin-down 6 (keep the </w:t>
      </w:r>
      <w:r>
        <w:rPr>
          <w:rFonts w:ascii="Courier New" w:hAnsi="Courier New"/>
          <w:sz w:val="17"/>
        </w:rPr>
        <w:t>actionType</w:t>
      </w:r>
      <w:r>
        <w:rPr>
          <w:color w:val="444444"/>
          <w:sz w:val="17"/>
        </w:rPr>
        <w:t xml:space="preserve"> dispatcher shape for phase-1 parity; splitting</w:t>
        <w:br/>
        <w:t>&gt; is a v2 API question) are scope/architecture statements, not independently testable behavior — no dedicated</w:t>
        <w:br/>
        <w:t>&gt; AC needed; honored by construction in the service shape above.</w:t>
      </w:r>
    </w:p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(internal, from Measurement)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(internal, from BOM)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BOM counts — answered in-process by the co-located BOM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(internal, from Watchlist)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watchlist count — answered in-process by the co-located Watchlist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H-01, H-02, H-03, F-04, H-04, F-06, H-05, F-08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H-06, F-14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composition runs as a CI gate on every schema change (not a one-off) and fails on any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/type-name mismatch between subgraphs (regression guard for federation-review/03 §R1–R5)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zero remaining contract mismatches: </w:t>
            </w:r>
            <w:r>
              <w:rPr>
                <w:rFonts w:ascii="Courier New" w:hAnsi="Courier New"/>
                <w:sz w:val="17"/>
              </w:rPr>
              <w:t>VMM_BusinessPartner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VMM_Brand</w:t>
            </w:r>
            <w:r>
              <w:rPr>
                <w:color w:val="373737"/>
                <w:sz w:val="17"/>
              </w:rPr>
              <w:t xml:space="preserve">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; every entity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(Claims/Packaging/Watchlist/Dieline synthesize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from humanId — program decision 2026-07-17);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MeasurementPaged</w:t>
            </w:r>
            <w:r>
              <w:rPr>
                <w:color w:val="373737"/>
                <w:sz w:val="17"/>
              </w:rPr>
              <w:t xml:space="preserve"> names aligned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F-10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Cross-subgraph contract alignment (keys, type names, paged wrappers)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Fixes the naming/key mismatches between product's stubs and the owning schemas so the supergraph can actually compose.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plm-product</w:t>
            </w:r>
            <w:r>
              <w:rPr>
                <w:color w:val="373737"/>
                <w:sz w:val="17"/>
              </w:rPr>
              <w:t xml:space="preserve"> schema compiles standalone with every referenced type declared (including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TeamPagedV2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WorkspacesPagedV2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DiscussionElastic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hive compose</w:t>
            </w:r>
            <w:r>
              <w:rPr>
                <w:color w:val="373737"/>
                <w:sz w:val="17"/>
              </w:rPr>
              <w:t xml:space="preserve"> over plm-product + spark-claims + platform stubs reports zero key/name conflicts, including zero 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field-shape conflicts on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(must match claims' declaration exactly)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CORONA_ItemDetails</w:t>
            </w:r>
            <w:r>
              <w:rPr>
                <w:color w:val="373737"/>
                <w:sz w:val="17"/>
              </w:rPr>
              <w:t xml:space="preserve"> entity form implemented per the 2026-07-17 decision (keyed </w:t>
            </w:r>
            <w:r>
              <w:rPr>
                <w:rFonts w:ascii="Courier New" w:hAnsi="Courier New"/>
                <w:sz w:val="17"/>
              </w:rPr>
              <w:t>tcinId</w:t>
            </w:r>
            <w:r>
              <w:rPr>
                <w:color w:val="373737"/>
                <w:sz w:val="17"/>
              </w:rPr>
              <w:t>; Corona inflates via the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Blocks released: F-10, CLAIM-BE-H-01, CLAIM-BE-H-02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side hydrates both v2 and v3 attachment ids (no v2-ignoring gap) — the workspace-side v2-ignoring behaviour (ADR-018 pin-down 2) does not apply here; confirmed by fixture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thread→parent-discussion lookup guarded — a thread whose parent discussion falls outside the walk is skipped + logged, not a crash (accepted deviation, ADR-018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discussion data sourced via a direct discussion-service client + one batched replies call — the cross-resolver import and the per-discussion reply N+1 are both gone (ADR-018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attachmentElasticResponseFeatureFlag</w:t>
            </w:r>
            <w:r>
              <w:rPr>
                <w:color w:val="373737"/>
                <w:sz w:val="17"/>
              </w:rPr>
              <w:t xml:space="preserve"> state surveyed across every environment BEFORE fixtures are recorded — blocking precondition on fixture recording (ADR-018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draft-filter TODO ("ACL should be doing this") kept verbatim in the ported code — filter not removed; ACL-enforcement backlog item filed separately (ADR-018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createAttachmentPaged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precedence bug preserved exactly as today's output — pinned by a fixture using a row with its own non-empty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(ADR-018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independent fetches (token, discussions, threads, samples) run in parallel — accepted performance fix (ADR-018 pin-down 10).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the missing-ACL skip+log behaviour here is intentionally asymmetric with </w:t>
            </w:r>
            <w:r>
              <w:rPr>
                <w:rFonts w:ascii="Courier New" w:hAnsi="Courier New"/>
                <w:sz w:val="17"/>
              </w:rPr>
              <w:t>G-02</w:t>
            </w:r>
            <w:r>
              <w:rPr>
                <w:color w:val="373737"/>
                <w:sz w:val="17"/>
              </w:rPr>
              <w:t>'s missing-ACL throw (ADR-014 pin-down 2) — each surface's UI is calibrated to its own behaviour; this asymmetry is by design (ADR-018 pin-down 8) and should not be "fixed" to match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components, incl. a product with &gt; 100 components (chunked ACL) and a claim with a missing ACL record (throw path preserved, ADR-014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 exactly (incl. name/status fallbacks and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ACL batched — exactly one 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 xml:space="preserve"> call per resolution (no N+1), asserted by a call-count test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read; explicit field args confirmed against UI queries (contract test, ADR-014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sample→discussion </w:t>
            </w:r>
            <w:r>
              <w:rPr>
                <w:b/>
                <w:color w:val="373737"/>
                <w:sz w:val="17"/>
              </w:rPr>
              <w:t>+1</w:t>
            </w:r>
            <w:r>
              <w:rPr>
                <w:color w:val="373737"/>
                <w:sz w:val="17"/>
              </w:rPr>
              <w:t xml:space="preserve"> roll-up quirk preserved exactly, not "fixed" to real counts — pinned by a dedicated fixture documenting the quirk as intentional (ADR-014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packaging elastic query joins the 4-way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 xml:space="preserve"> (5-way parallel) instead of running sequentially after — accepted performance fix, not a behaviour change (ADR-014 pin-down 7).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ADR-014 pin-downs 3 (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scalar-</w:t>
            </w:r>
            <w:r>
              <w:rPr>
                <w:rFonts w:ascii="Courier New" w:hAnsi="Courier New"/>
                <w:sz w:val="17"/>
              </w:rPr>
              <w:t>0</w:t>
            </w:r>
            <w:r>
              <w:rPr>
                <w:color w:val="373737"/>
                <w:sz w:val="17"/>
              </w:rPr>
              <w:t xml:space="preserve"> → zeros-object fix) and 8 (</w:t>
            </w:r>
            <w:r>
              <w:rPr>
                <w:rFonts w:ascii="Courier New" w:hAnsi="Courier New"/>
                <w:sz w:val="17"/>
              </w:rPr>
              <w:t>WorkspaceV2.products</w:t>
            </w:r>
            <w:r>
              <w:rPr>
                <w:color w:val="373737"/>
                <w:sz w:val="17"/>
              </w:rPr>
              <w:t xml:space="preserve"> include-flags delegation) are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-side, not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-side — they belong to the later-phase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 twin story (</w:t>
            </w:r>
            <w:r>
              <w:rPr>
                <w:rFonts w:ascii="Courier New" w:hAnsi="Courier New"/>
                <w:sz w:val="17"/>
              </w:rPr>
              <w:t>WORKSPACE-BE-G-02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G-04</w:t>
            </w:r>
            <w:r>
              <w:rPr>
                <w:color w:val="373737"/>
                <w:sz w:val="17"/>
              </w:rPr>
              <w:t>), not here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(G-01)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G-01 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thin fields inherit all of </w:t>
            </w:r>
            <w:r>
              <w:rPr>
                <w:rFonts w:ascii="Courier New" w:hAnsi="Courier New"/>
                <w:sz w:val="17"/>
              </w:rPr>
              <w:t>G-01</w:t>
            </w:r>
            <w:r>
              <w:rPr>
                <w:color w:val="373737"/>
                <w:sz w:val="17"/>
              </w:rPr>
              <w:t>'s fixtures/pin-downs by construction (no separate fixture set)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draft discussion attachment fixture (draft filter)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workspace-v2-only-attachments fixture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both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modes (args-present elastic vs args-absent walk/flag) produce parity output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samples lane's </w:t>
            </w:r>
            <w:r>
              <w:rPr>
                <w:rFonts w:ascii="Courier New" w:hAnsi="Courier New"/>
                <w:sz w:val="17"/>
              </w:rPr>
              <w:t>variableValues</w:t>
            </w:r>
            <w:r>
              <w:rPr>
                <w:color w:val="373737"/>
                <w:sz w:val="17"/>
              </w:rPr>
              <w:t xml:space="preserve"> coupling contract-checked against the UI's samples queries BEFORE cutover — this is a blocking pre-condition, not a nice-to-have (ADR-016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5 sequential source fetches (discussions/attachments/components/samples/watchlists) parallelize — accepted deviation, union output is order-insensitive (ADR-016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serial ACL chunk loop (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>) parallelizes — same fix family as ADR-015 pin-down 3 (ADR-016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watchlist lane's </w:t>
            </w:r>
            <w:r>
              <w:rPr>
                <w:rFonts w:ascii="Courier New" w:hAnsi="Courier New"/>
                <w:sz w:val="17"/>
              </w:rPr>
              <w:t>productWorkspaceInfo[0]</w:t>
            </w:r>
            <w:r>
              <w:rPr>
                <w:color w:val="373737"/>
                <w:sz w:val="17"/>
              </w:rPr>
              <w:t>-only / first-workspace-only scope preserved exactly as today's semantics (ADR-016 pin-down 8)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Relationship-Service walk inside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>'s owner-enumeration client is a quarantined interim — each lane's future arrival deletes its own share of the walk (ADR-016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gate proves no lane field (</w:t>
            </w:r>
            <w:r>
              <w:rPr>
                <w:rFonts w:ascii="Courier New" w:hAnsi="Courier New"/>
                <w:sz w:val="17"/>
              </w:rPr>
              <w:t>…PartnerIds</w:t>
            </w:r>
            <w:r>
              <w:rPr>
                <w:color w:val="373737"/>
                <w:sz w:val="17"/>
              </w:rPr>
              <w:t xml:space="preserve"> naming + externals until fed-2/</w:t>
            </w:r>
            <w:r>
              <w:rPr>
                <w:rFonts w:ascii="Courier New" w:hAnsi="Courier New"/>
                <w:sz w:val="17"/>
              </w:rPr>
              <w:t>@inaccessible</w:t>
            </w:r>
            <w:r>
              <w:rPr>
                <w:color w:val="373737"/>
                <w:sz w:val="17"/>
              </w:rPr>
              <w:t xml:space="preserve"> is usable) is exposed to clients (ADR-016 pin-down 10)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Simple user/status fields + trivial pass-throughs (bundle)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simple people / status fields and trivial pass-throughs.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createdBy/updatedBy/versionCreatedBy (user-profile), ProductComponentStatus.updatedBy, SPARK_ResourcesCount.productThumbnailId (re-fetch product), plus ~60 direct…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scalars mapped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PRODUCT-BE-G-17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Entity references on partner/lineage value types (recommended, PO-gated)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product { … }</w:t>
            </w:r>
            <w:r>
              <w:rPr>
                <w:color w:val="373737"/>
                <w:sz w:val="17"/>
              </w:rPr>
              <w:t xml:space="preserve"> object fields next to the existing ids on the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(emit {id} key stub — the gateway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New object fields resolve; all existing id fields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lineage refs batch via DataLoader (no N+1 on </w:t>
            </w:r>
            <w:r>
              <w:rPr>
                <w:rFonts w:ascii="Courier New" w:hAnsi="Courier New"/>
                <w:sz w:val="17"/>
              </w:rPr>
              <w:t>ancestryProducts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Codegen/contract parity suite passes with the additive fields present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the missing-ACL skip+log behaviour here is intentionally asymmetric with </w:t>
      </w:r>
      <w:r>
        <w:rPr>
          <w:rFonts w:ascii="Courier New" w:hAnsi="Courier New"/>
          <w:sz w:val="17"/>
        </w:rPr>
        <w:t>G-02</w:t>
      </w:r>
      <w:r>
        <w:rPr>
          <w:color w:val="444444"/>
          <w:sz w:val="17"/>
        </w:rPr>
        <w:t>'s missing-ACL throw (ADR-014 pin-down 2) — each surface's UI is calibrated to its own behaviour; this asymmetry is by design (ADR-018 pin-down 8) and should not be "fixed" to match.</w:t>
      </w:r>
    </w:p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PRODUCT-BE-G-02: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ADR-014 pin-downs 3 (</w:t>
      </w:r>
      <w:r>
        <w:rPr>
          <w:rFonts w:ascii="Courier New" w:hAnsi="Courier New"/>
          <w:sz w:val="17"/>
        </w:rPr>
        <w:t>counts</w:t>
      </w:r>
      <w:r>
        <w:rPr>
          <w:color w:val="444444"/>
          <w:sz w:val="17"/>
        </w:rPr>
        <w:t xml:space="preserve"> scalar-</w:t>
      </w:r>
      <w:r>
        <w:rPr>
          <w:rFonts w:ascii="Courier New" w:hAnsi="Courier New"/>
          <w:sz w:val="17"/>
        </w:rPr>
        <w:t>0</w:t>
      </w:r>
      <w:r>
        <w:rPr>
          <w:color w:val="444444"/>
          <w:sz w:val="17"/>
        </w:rPr>
        <w:t xml:space="preserve"> → zeros-object fix) and 8 (</w:t>
      </w:r>
      <w:r>
        <w:rPr>
          <w:rFonts w:ascii="Courier New" w:hAnsi="Courier New"/>
          <w:sz w:val="17"/>
        </w:rPr>
        <w:t>WorkspaceV2.products</w:t>
      </w:r>
      <w:r>
        <w:rPr>
          <w:color w:val="444444"/>
          <w:sz w:val="17"/>
        </w:rPr>
        <w:t xml:space="preserve"> include-flags delegation) are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-side, not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-side — they belong to the later-phase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 twin story (</w:t>
      </w:r>
      <w:r>
        <w:rPr>
          <w:rFonts w:ascii="Courier New" w:hAnsi="Courier New"/>
          <w:sz w:val="17"/>
        </w:rPr>
        <w:t>WORKSPACE-BE-G-02</w:t>
      </w:r>
      <w:r>
        <w:rPr>
          <w:color w:val="444444"/>
          <w:sz w:val="17"/>
        </w:rPr>
        <w:t>/</w:t>
      </w:r>
      <w:r>
        <w:rPr>
          <w:rFonts w:ascii="Courier New" w:hAnsi="Courier New"/>
          <w:sz w:val="17"/>
        </w:rPr>
        <w:t>G-04</w:t>
      </w:r>
      <w:r>
        <w:rPr>
          <w:color w:val="444444"/>
          <w:sz w:val="17"/>
        </w:rPr>
        <w:t>), not here.</w:t>
      </w:r>
    </w:p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E-03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entity fetcher (</w:t>
            </w:r>
            <w:r>
              <w:rPr>
                <w:rFonts w:ascii="Courier New" w:hAnsi="Courier New"/>
                <w:sz w:val="17"/>
              </w:rPr>
              <w:t>@DgsEntityFetcher</w:t>
            </w:r>
            <w:r>
              <w:rPr>
                <w:color w:val="373737"/>
                <w:sz w:val="17"/>
              </w:rPr>
              <w:t>) for cross-subgraph references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Lets </w:t>
            </w:r>
            <w:r>
              <w:rPr>
                <w:i/>
                <w:color w:val="373737"/>
                <w:sz w:val="17"/>
              </w:rPr>
              <w:t>other</w:t>
            </w:r>
            <w:r>
              <w:rPr>
                <w:color w:val="373737"/>
                <w:sz w:val="17"/>
              </w:rPr>
              <w:t xml:space="preserve"> subgraphs (today: claims) turn a bare </w:t>
            </w:r>
            <w:r>
              <w:rPr>
                <w:rFonts w:ascii="Courier New" w:hAnsi="Courier New"/>
                <w:sz w:val="17"/>
              </w:rPr>
              <w:t>Product{id}</w:t>
            </w:r>
            <w:r>
              <w:rPr>
                <w:color w:val="373737"/>
                <w:sz w:val="17"/>
              </w:rPr>
              <w:t xml:space="preserve"> reference into a full product through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@DgsEntityFetcher(name = "Product") → `productService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resolves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representations with a single batched backend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Unknown ids yield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entries without failing the whole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response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End-to-end: a claims-subgraph query </w:t>
            </w:r>
            <w:r>
              <w:rPr>
                <w:rFonts w:ascii="Courier New" w:hAnsi="Courier New"/>
                <w:sz w:val="17"/>
              </w:rPr>
              <w:t>{ getClaims { product { description } } }</w:t>
            </w:r>
            <w:r>
              <w:rPr>
                <w:color w:val="373737"/>
                <w:sz w:val="17"/>
              </w:rPr>
              <w:t xml:space="preserve"> hydrates through the gateway (pairs with CLAIM-BE-G-03)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(host)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3 High · 🟡 9 Medium · 🟢 0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66–102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 operation-to-root-field rows · 20 client files · 48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(host)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documents in product-queries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shared-library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consumers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getProductVersions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list and bulk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getProductsByIds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status and workspace-context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template library and categories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getProductTemplates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getCategories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rules administration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PRODUCT-BE-D-17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getProductRulesById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getAllAvailableRules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getProductDeptRules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getProductBPRules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deleteProductRule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simple product mutations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carryForwardProduct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updateViewToggle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linkProduct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unlinkProduct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team and partner assignment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updateProductTeamsWorkspaceContext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partner drop/undrop orchestration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updateBusinessPartnerStatuses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TechPack count queries (facade-then-federate)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 (staged)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 (step 1) + 4–6 days (step 2)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PRODUCT-BE-H-05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component status rollups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Verify fragment type-conditions, </w:t>
            </w:r>
            <w:r>
              <w:rPr>
                <w:rFonts w:ascii="Courier New" w:hAnsi="Courier New"/>
                <w:sz w:val="18"/>
              </w:rPr>
              <w:t>__typename</w:t>
            </w:r>
            <w:r>
              <w:rPr>
                <w:color w:val="373737"/>
                <w:sz w:val="18"/>
              </w:rPr>
              <w:t xml:space="preserve"> logic and cache keys against federated type names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Verification / refactor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cross-cutting (no single operation)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 (+5)&lt;br&gt;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(+4)&lt;br&gt;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PRODUCT-BE-H-02</w:t>
            </w:r>
            <w:r>
              <w:rPr>
                <w:color w:val="373737"/>
                <w:sz w:val="18"/>
              </w:rPr>
              <w:t xml:space="preserve"> (+3)&lt;br&gt;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(10–15d)&lt;br&gt;🟡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(5–8d)&lt;br&gt;🟡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(6–10d)&lt;br&gt;🟡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~84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