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updateWatchlistEntries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 + TechPack,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 +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reasons;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inspection-action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 — TechPack)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watchlists count to the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fill the TechPack `ResourcesCount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WatchlistPartner.partner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partnerId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on watchlist partner rows.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on WatchlistPartner; resolver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 { id name }</w:t>
            </w:r>
            <w:r>
              <w:rPr>
                <w:color w:val="373737"/>
                <w:sz w:val="17"/>
              </w:rPr>
              <w:t xml:space="preserve"> resolves via the gateway; 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parity is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additional VMM calls from the watchlist subgraph (stub emission only)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Watchlist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 operation-to-root-field rows · 1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Watchlist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getWatchlistByIds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getWatchlistByFilter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create and clone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createWatchlistEntries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cloneFilesForWatchlist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updateWatchlistEntries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FederatedGqlBreakDown-watchlist.md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