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Product Details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12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6  🟢 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2026-07-19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We are moving the </w:t>
      </w:r>
      <w:r>
        <w:rPr>
          <w:b/>
          <w:color w:val="373737"/>
          <w:sz w:val="20"/>
        </w:rPr>
        <w:t>ProductDetails</w:t>
      </w:r>
      <w:r>
        <w:rPr>
          <w:color w:val="373737"/>
          <w:sz w:val="20"/>
        </w:rPr>
        <w:t xml:space="preserve"> domain — the product's "construction" sets (build/assembly detail rows, their attachments, and per-partner access)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It is </w:t>
      </w:r>
      <w:r>
        <w:rPr>
          <w:b/>
          <w:color w:val="373737"/>
          <w:sz w:val="20"/>
        </w:rPr>
        <w:t>mid-sized and mid-low risk</w:t>
      </w:r>
      <w:r>
        <w:rPr>
          <w:color w:val="373737"/>
          <w:sz w:val="20"/>
        </w:rPr>
        <w:t xml:space="preserve">: 2 queries, 6 mutations, 12 field resolvers on a 129-line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(In the backend this domain is called </w:t>
      </w:r>
      <w:r>
        <w:rPr>
          <w:i/>
          <w:color w:val="373737"/>
          <w:sz w:val="20"/>
        </w:rPr>
        <w:t>construction</w:t>
      </w:r>
      <w:r>
        <w:rPr>
          <w:color w:val="373737"/>
          <w:sz w:val="20"/>
        </w:rPr>
        <w:t xml:space="preserve"> — </w:t>
      </w:r>
      <w:r>
        <w:rPr>
          <w:rFonts w:ascii="Courier New" w:hAnsi="Courier New"/>
          <w:sz w:val="20"/>
        </w:rPr>
        <w:t>construction/v1</w:t>
      </w:r>
      <w:r>
        <w:rPr>
          <w:color w:val="373737"/>
          <w:sz w:val="20"/>
        </w:rPr>
        <w:t xml:space="preserve">; the GraphQL names stay </w:t>
      </w:r>
      <w:r>
        <w:rPr>
          <w:rFonts w:ascii="Courier New" w:hAnsi="Courier New"/>
          <w:sz w:val="20"/>
        </w:rPr>
        <w:t>productDetails</w:t>
      </w:r>
      <w:r>
        <w:rPr>
          <w:color w:val="373737"/>
          <w:sz w:val="20"/>
        </w:rPr>
        <w:t>.)</w:t>
      </w:r>
    </w:p>
    <w:p>
      <w:pPr>
        <w:spacing w:after="80"/>
      </w:pPr>
      <w:r>
        <w:rPr>
          <w:color w:val="373737"/>
          <w:sz w:val="20"/>
        </w:rPr>
        <w:t xml:space="preserve">The one genuinely harder piece is </w:t>
      </w:r>
      <w:r>
        <w:rPr>
          <w:b/>
          <w:color w:val="373737"/>
          <w:sz w:val="20"/>
        </w:rPr>
        <w:t>`updateProductDetailsSet`</w:t>
      </w:r>
      <w:r>
        <w:rPr>
          <w:color w:val="373737"/>
          <w:sz w:val="20"/>
        </w:rPr>
        <w:t>, a multi-step write — workspace associations, then bulk-archive removed attachments, then the body — with no rollback today.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(e.g. the attachment-archive step in </w:t>
      </w:r>
      <w:r>
        <w:rPr>
          <w:rFonts w:ascii="Courier New" w:hAnsi="Courier New"/>
          <w:sz w:val="20"/>
        </w:rPr>
        <w:t>updateProductDetailsSet</w:t>
      </w:r>
      <w:r>
        <w:rPr>
          <w:color w:val="373737"/>
          <w:sz w:val="20"/>
        </w:rPr>
        <w:t xml:space="preserve">)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one by-ids (internal), one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ProductDetails</w:t>
            </w:r>
            <w:r>
              <w:rPr>
                <w:color w:val="373737"/>
                <w:sz w:val="18"/>
              </w:rPr>
              <w:t xml:space="preserve"> (10), item (2), category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(2 🔴 · 2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PDTL-BE-E-01 — updateProductDetailsSet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24–48d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Computed live from </w:t>
      </w:r>
      <w:r>
        <w:rPr>
          <w:rFonts w:ascii="Courier New" w:hAnsi="Courier New"/>
          <w:sz w:val="18"/>
        </w:rPr>
        <w:t>be-04-stories.md</w:t>
      </w:r>
      <w:r>
        <w:rPr>
          <w:color w:val="444444"/>
          <w:sz w:val="18"/>
        </w:rPr>
        <w:t xml:space="preserve"> (phase + complexity per story) — always reconciles with the story tables below and the program overview. Effort = sum of per-story nominal day-ranges (Low 1–2 · Medium 2–4 · High 4–7 · Very High 7–12) × 1.2 buffer, AI-estimated — confirm in refinement. See each story's </w:t>
      </w:r>
      <w:r>
        <w:rPr>
          <w:b/>
          <w:color w:val="444444"/>
          <w:sz w:val="18"/>
        </w:rPr>
        <w:t>Depends On</w:t>
      </w:r>
      <w:r>
        <w:rPr>
          <w:color w:val="444444"/>
          <w:sz w:val="18"/>
        </w:rPr>
        <w:t xml:space="preserve"> column for real sequencing.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D-01–D-05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write + Product field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resolvers. Test coverage/parity tracked outside this Jira pipeline, created manually.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🔍 Search &amp; Listing · ✏️ Mutations · ⚙️ Complex Operations · 🔗 Federation &amp; Stitching · 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— 2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~31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getProductDetailsById(ids)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product-detail (construction) sets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ids → GET construction/v1?ids={csv}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list for ids; empty → []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PDTL-BE-B-01: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productDetails.graphqls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getProductDetailsElastic(resourceId)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product-detail sets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search.getProductDetailsElastic → paged. -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paged shape returned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createProductDetailsSet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literal capability → POST construction/v1 (snake_case). If response has validationErrors or 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 (not a partial object)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updateProductDetailAccess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access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map managePermissionsRequest[].resourceId → token → PUT construction/v1/manage-permissions (primeKey=humanId)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partner access for each resource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productDetailLockUnlock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or unlock a product-detail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[constructionSetId] → PUT construction/v1/{id}/{lock\|unlock}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isLock=true</w:t>
            </w:r>
            <w:r>
              <w:rPr>
                <w:color w:val="373737"/>
                <w:sz w:val="17"/>
              </w:rPr>
              <w:t>→lock path, false→unlock path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cloneFilesForProductDetails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product details.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Promise.all(attachmentIds.map((id,i) =&gt; (attachment) cloneAttachmentV3({cloneReferences:[cloneReference[i]]}, id))), stamp parentResource=id, flatten. No…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clones each id with its paired cloneReference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parentResource</w:t>
            </w:r>
            <w:r>
              <w:rPr>
                <w:color w:val="373737"/>
                <w:sz w:val="17"/>
              </w:rPr>
              <w:t xml:space="preserve"> stamped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updateProductDetailComponentStatus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component status on product-detail sets.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construction/v1/component_status_update; wraps result as {content}. No JWT — confirm backend-enforced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updates statuses; result wrapped as </w:t>
            </w:r>
            <w:r>
              <w:rPr>
                <w:rFonts w:ascii="Courier New" w:hAnsi="Courier New"/>
                <w:sz w:val="17"/>
              </w:rPr>
              <w:t>{content}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no-token behaviour documented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PDTL-BE-E-01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updateProductDetailsSet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product-detail set — a multi-step write (workspace + body) with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workspaceContext.{add,remove}Workspaces non-empty → workspaceAssociationHelper(PRODUCT_DETAIL, id, add, remove) (throws on error); 2) null workspaceContext; 3) if…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4 steps in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 implemented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throws propagate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full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workspace-only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attachment-archive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Product.productDetails</w:t>
            </w:r>
            <w:r>
              <w:rPr>
                <w:color w:val="373737"/>
                <w:sz w:val="17"/>
              </w:rPr>
              <w:t xml:space="preserve"> (internal, same subgraph)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product-details on the Product type (same subgraph).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exposes productDetails resolved from the co-located ProductDetails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Product.productDetails</w:t>
            </w:r>
            <w:r>
              <w:rPr>
                <w:color w:val="373737"/>
                <w:sz w:val="17"/>
              </w:rPr>
              <w:t xml:space="preserve"> resolves in-process; no gateway hop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currentUserPermissions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access / permission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access → accessControl.getPermissions([humanId\|\|id])[0]; currentUserPermissions → getUserAccessUnencoded(humanId\|\|id)[0]; participantDetails → getUserGroup(humanId)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resolves; null-safe on empty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workspaceV2,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product, people, partner and workspace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(internal, only if parentId starts 'PID'), createdBy/updatedBy (user-profile), businessPartners (vmm loadBpsWithType), workspaces (workspaceV2 by ids)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resolves;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null id → null user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PDTL-BE-G-03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+ item </w:t>
            </w: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constructionSetAttachments</w:t>
            </w:r>
            <w:r>
              <w:rPr>
                <w:color w:val="373737"/>
                <w:sz w:val="17"/>
              </w:rPr>
              <w:t xml:space="preserve"> + category </w:t>
            </w:r>
            <w:r>
              <w:rPr>
                <w:rFonts w:ascii="Courier New" w:hAnsi="Courier New"/>
                <w:sz w:val="17"/>
              </w:rPr>
              <w:t>subCategories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attachment and category fields on product details.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ProductDetails.attachment → (search) searchAttachments([humanId\|\|id]), find - relatedResources.length&lt;=2; ProductDetailsItem.attachment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length-≤2 filter preserved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Product Details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2 Medium · 🟢 1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 operation-to-root-field rows · 2 client files · 4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2026-07-19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Product Details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product-details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PDTL-BE-G-02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PDTL-BE-G-03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getProductDetailsById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getProductDetailComponentStatus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product-details simple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PDTL-BE-D-05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createProductDetailsSet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productDetailLockUnlock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cloneFilesForProductDetails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updateProductDetailComponentStatus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updateProductDetailsSet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PDTL-BE-E-01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updateProductDetailsSet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PDTL-BE-D-05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PDTL-FE-003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PDTL-BE-G-02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PDTL-BE-G-03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PDTL-FE-003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PDTL-BE-E-01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PDTL-FE-002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PDTL-FE-003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PDTL-FE-002</w:t>
            </w:r>
            <w:r>
              <w:rPr>
                <w:color w:val="373737"/>
                <w:sz w:val="18"/>
              </w:rPr>
              <w:t xml:space="preserve"> (3–4d)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PDTL-FE-003</w:t>
            </w:r>
            <w:r>
              <w:rPr>
                <w:color w:val="373737"/>
                <w:sz w:val="18"/>
              </w:rPr>
              <w:t xml:space="preserve"> (3–5d)&lt;br&gt;🟢 </w:t>
            </w:r>
            <w:r>
              <w:rPr>
                <w:rFonts w:ascii="Courier New" w:hAnsi="Courier New"/>
                <w:sz w:val="18"/>
              </w:rPr>
              <w:t>PDTL-FE-001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~10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FederatedGqlBreakDown-productDetails.md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