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2026-07-21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41 · 165–256d single-engineer (Frontend section of each per-domain FederatedGqlBreakDown-&lt;domain&gt; page)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74 Medium · 🟢 118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ADR-019 (</w:t>
      </w:r>
      <w:r>
        <w:rPr>
          <w:rFonts w:ascii="Courier New" w:hAnsi="Courier New"/>
          <w:sz w:val="19"/>
        </w:rPr>
        <w:t>complexStories/acl/01-adr-acl-mid-request-update.md</w:t>
      </w:r>
      <w:r>
        <w:rPr>
          <w:color w:val="373737"/>
          <w:sz w:val="19"/>
        </w:rPr>
        <w:t xml:space="preserve">), permission-check and own-domain-token call sites stay resolver-local (context-only, as before); the 31 downstream-token call sites — where a resolver hands its token to a </w:t>
      </w:r>
      <w:r>
        <w:rPr>
          <w:i/>
          <w:color w:val="373737"/>
          <w:sz w:val="19"/>
        </w:rPr>
        <w:t>different</w:t>
      </w:r>
      <w:r>
        <w:rPr>
          <w:color w:val="373737"/>
          <w:sz w:val="19"/>
        </w:rPr>
        <w:t xml:space="preserve"> domain's loader — use </w:t>
      </w:r>
      <w:r>
        <w:rPr>
          <w:b/>
          <w:color w:val="373737"/>
          <w:sz w:val="19"/>
        </w:rPr>
        <w:t>Mid-Request ACL Update</w:t>
      </w:r>
      <w:r>
        <w:rPr>
          <w:color w:val="373737"/>
          <w:sz w:val="19"/>
        </w:rPr>
        <w:t xml:space="preserve"> (</w:t>
      </w:r>
      <w:r>
        <w:rPr>
          <w:rFonts w:ascii="Courier New" w:hAnsi="Courier New"/>
          <w:sz w:val="19"/>
        </w:rPr>
        <w:t>SparkSecurityService.updateCurrentUserPermissions(capabilityToken)</w:t>
      </w:r>
      <w:r>
        <w:rPr>
          <w:color w:val="373737"/>
          <w:sz w:val="19"/>
        </w:rPr>
        <w:t>) before the downstream call. Each complex case's own ADR carries an ACL note applying this classification to its specific call sites.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(A→H)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platform work — gateway composition, facade retirement, stub verification, contract alignment (not entity resolution itself)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cross-subgraph entity resolution — real </w:t>
            </w:r>
            <w:r>
              <w:rPr>
                <w:rFonts w:ascii="Courier New" w:hAnsi="Courier New"/>
                <w:sz w:val="18"/>
              </w:rPr>
              <w:t>@DgsEntityFetcher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fields resolved by a </w:t>
            </w:r>
            <w:r>
              <w:rPr>
                <w:i/>
                <w:color w:val="373737"/>
                <w:sz w:val="18"/>
              </w:rPr>
              <w:t>separate</w:t>
            </w:r>
            <w:r>
              <w:rPr>
                <w:color w:val="373737"/>
                <w:sz w:val="18"/>
              </w:rPr>
              <w:t xml:space="preserve"> subgraph (split out from Phase 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A–H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 + [story breakdown](../../output/complexStories/non-atomic-write-saga/01-stories.md))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— 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 built (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, Sprint 0); consumers wired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 + [story breakdown](../../output/complexStories/techpack/01-stories.md))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full phase 1–3 story chain built (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 + [story breakdown](../../output/complexStories/partner-drop-undrop-write/01-stories.md))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ADR-012 proposed (owner-orchestrated saga + participant contract, via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 + [story breakdown](../../output/complexStories/notRemovable-undroppable-partners/01-stories.md))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 + [story breakdown](../../output/complexStories/polymorphic-type-resolution/01-stories.md))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ADR-017 proposed (per-site ports + CI conformance gate, </w:t>
            </w:r>
            <w:r>
              <w:rPr>
                <w:rFonts w:ascii="Courier New" w:hAnsi="Courier New"/>
                <w:sz w:val="18"/>
              </w:rPr>
              <w:t>BOM-BE-A-05</w:t>
            </w:r>
            <w:r>
              <w:rPr>
                <w:color w:val="373737"/>
                <w:sz w:val="18"/>
              </w:rPr>
              <w:t xml:space="preserve"> built)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Open — per-edge rule to decide (concludes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, no draft ADR of its own — distinct from 06b/ADR-011 below)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 + [story breakdown](../../output/complexStories/cross-domain-association/01-stories.md))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ADR-011 proposed (sync orchestration + shared association component) —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ACs updated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  <w:r>
              <w:rPr>
                <w:color w:val="373737"/>
                <w:sz w:val="18"/>
              </w:rPr>
              <w:t xml:space="preserve"> (brief + draft ADR-018 + [story breakdown](../../output/complexStories/attachments-enrichment/01-stories.md))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  <w:r>
              <w:rPr>
                <w:color w:val="373737"/>
                <w:sz w:val="18"/>
              </w:rPr>
              <w:t xml:space="preserve"> (brief + draft ADR-014 + [story breakdown](../../output/complexStories/components-and-counts-rollups/01-stories.md))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68–104d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118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165–256d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shared module (Sprint 0, critical path)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Service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+ the co-located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(`H-01`–`H-05` + co-located `F-04`/`F-06`/`F-08`)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`SPIKE-07` · Product Rules API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Three product rules operations that filter or search by department, business partner, or free text (</w:t>
      </w:r>
      <w:r>
        <w:rPr>
          <w:rFonts w:ascii="Courier New" w:hAnsi="Courier New"/>
          <w:sz w:val="18"/>
        </w:rPr>
        <w:t>getProductDeptRules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getProductBPRules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searchProductRules</w:t>
      </w:r>
      <w:r>
        <w:rPr>
          <w:color w:val="373737"/>
          <w:sz w:val="18"/>
        </w:rPr>
        <w:t xml:space="preserve">) run behind a </w:t>
      </w:r>
      <w:r>
        <w:rPr>
          <w:rFonts w:ascii="Courier New" w:hAnsi="Courier New"/>
          <w:sz w:val="18"/>
        </w:rPr>
        <w:t>USE_NEW_RULES_API</w:t>
      </w:r>
      <w:r>
        <w:rPr>
          <w:color w:val="373737"/>
          <w:sz w:val="18"/>
        </w:rPr>
        <w:t xml:space="preserve"> flag today — one code path calls Product's own backend, the other calls a </w:t>
      </w:r>
      <w:r>
        <w:rPr>
          <w:rFonts w:ascii="Courier New" w:hAnsi="Courier New"/>
          <w:sz w:val="18"/>
        </w:rPr>
        <w:t>ruleLibrary</w:t>
      </w:r>
      <w:r>
        <w:rPr>
          <w:color w:val="373737"/>
          <w:sz w:val="18"/>
        </w:rPr>
        <w:t xml:space="preserve"> client that may actually belong to a separate </w:t>
      </w:r>
      <w:r>
        <w:rPr>
          <w:rFonts w:ascii="Courier New" w:hAnsi="Courier New"/>
          <w:sz w:val="18"/>
        </w:rPr>
        <w:t>spark-tag</w:t>
      </w:r>
      <w:r>
        <w:rPr>
          <w:color w:val="373737"/>
          <w:sz w:val="18"/>
        </w:rPr>
        <w:t xml:space="preserve"> service.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Every other rules operation (plain reads and all 3 writes) has no such fork and stays with Product either way.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confirms whether </w:t>
      </w:r>
      <w:r>
        <w:rPr>
          <w:rFonts w:ascii="Courier New" w:hAnsi="Courier New"/>
          <w:sz w:val="18"/>
        </w:rPr>
        <w:t>ruleLibrary</w:t>
      </w:r>
      <w:r>
        <w:rPr>
          <w:color w:val="373737"/>
          <w:sz w:val="18"/>
        </w:rPr>
        <w:t xml:space="preserve"> is really a separate service and, if so, whether these 3 read/search operations should federate as part of Product or move to their own </w:t>
      </w:r>
      <w:r>
        <w:rPr>
          <w:rFonts w:ascii="Courier New" w:hAnsi="Courier New"/>
          <w:sz w:val="18"/>
        </w:rPr>
        <w:t>spark-tag</w:t>
      </w:r>
      <w:r>
        <w:rPr>
          <w:color w:val="373737"/>
          <w:sz w:val="18"/>
        </w:rPr>
        <w:t xml:space="preserve"> subgraph.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whether </w:t>
      </w:r>
      <w:r>
        <w:rPr>
          <w:rFonts w:ascii="Courier New" w:hAnsi="Courier New"/>
          <w:sz w:val="19"/>
        </w:rPr>
        <w:t>ruleLibrary</w:t>
      </w:r>
      <w:r>
        <w:rPr>
          <w:color w:val="373737"/>
          <w:sz w:val="19"/>
        </w:rPr>
        <w:t xml:space="preserve"> is a genuinely separate </w:t>
      </w:r>
      <w:r>
        <w:rPr>
          <w:rFonts w:ascii="Courier New" w:hAnsi="Courier New"/>
          <w:sz w:val="19"/>
        </w:rPr>
        <w:t>spark-tag</w:t>
      </w:r>
      <w:r>
        <w:rPr>
          <w:color w:val="373737"/>
          <w:sz w:val="19"/>
        </w:rPr>
        <w:t xml:space="preserve"> service and, if so, decide whether </w:t>
      </w:r>
      <w:r>
        <w:rPr>
          <w:rFonts w:ascii="Courier New" w:hAnsi="Courier New"/>
          <w:sz w:val="19"/>
        </w:rPr>
        <w:t>getProductDeptRules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getProductBPRules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searchProductRules</w:t>
      </w:r>
      <w:r>
        <w:rPr>
          <w:color w:val="373737"/>
          <w:sz w:val="19"/>
        </w:rPr>
        <w:t xml:space="preserve"> federate inside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(status quo) or move to a </w:t>
      </w:r>
      <w:r>
        <w:rPr>
          <w:rFonts w:ascii="Courier New" w:hAnsi="Courier New"/>
          <w:sz w:val="19"/>
        </w:rPr>
        <w:t>spark-tag</w:t>
      </w:r>
      <w:r>
        <w:rPr>
          <w:color w:val="373737"/>
          <w:sz w:val="19"/>
        </w:rPr>
        <w:t xml:space="preserve"> DGS.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Verify against the actual </w:t>
      </w:r>
      <w:r>
        <w:rPr>
          <w:rFonts w:ascii="Courier New" w:hAnsi="Courier New"/>
          <w:sz w:val="19"/>
        </w:rPr>
        <w:t>ruleLibrary</w:t>
      </w:r>
      <w:r>
        <w:rPr>
          <w:color w:val="373737"/>
          <w:sz w:val="19"/>
        </w:rPr>
        <w:t xml:space="preserve"> client wiring whether it calls a distinct </w:t>
      </w:r>
      <w:r>
        <w:rPr>
          <w:rFonts w:ascii="Courier New" w:hAnsi="Courier New"/>
          <w:sz w:val="19"/>
        </w:rPr>
        <w:t>spark-tag</w:t>
      </w:r>
      <w:r>
        <w:rPr>
          <w:color w:val="373737"/>
          <w:sz w:val="19"/>
        </w:rPr>
        <w:t xml:space="preserve"> service or Product's own backend under a different code path</w:t>
      </w:r>
    </w:p>
    <w:p>
      <w:pPr>
        <w:spacing w:after="60"/>
      </w:pPr>
      <w:r>
        <w:rPr>
          <w:color w:val="373737"/>
          <w:sz w:val="19"/>
        </w:rPr>
        <w:t xml:space="preserve">2. Check the </w:t>
      </w:r>
      <w:r>
        <w:rPr>
          <w:rFonts w:ascii="Courier New" w:hAnsi="Courier New"/>
          <w:sz w:val="19"/>
        </w:rPr>
        <w:t>USE_NEW_RULES_API</w:t>
      </w:r>
      <w:r>
        <w:rPr>
          <w:color w:val="373737"/>
          <w:sz w:val="19"/>
        </w:rPr>
        <w:t xml:space="preserve"> rollout state — fully cut over (dead-flag removal candidate) or still splitting traffic</w:t>
      </w:r>
    </w:p>
    <w:p>
      <w:pPr>
        <w:spacing w:after="60"/>
      </w:pPr>
      <w:r>
        <w:rPr>
          <w:color w:val="373737"/>
          <w:sz w:val="19"/>
        </w:rPr>
        <w:t xml:space="preserve">3. Product Owner picks: stay on Product (status quo) vs split the 3 flagged reads to a </w:t>
      </w:r>
      <w:r>
        <w:rPr>
          <w:rFonts w:ascii="Courier New" w:hAnsi="Courier New"/>
          <w:sz w:val="19"/>
        </w:rPr>
        <w:t>spark-tag</w:t>
      </w:r>
      <w:r>
        <w:rPr>
          <w:color w:val="373737"/>
          <w:sz w:val="19"/>
        </w:rPr>
        <w:t xml:space="preserve"> DGS</w:t>
      </w:r>
    </w:p>
    <w:p>
      <w:pPr>
        <w:spacing w:after="60"/>
      </w:pPr>
      <w:r>
        <w:rPr>
          <w:color w:val="373737"/>
          <w:sz w:val="19"/>
        </w:rPr>
        <w:t xml:space="preserve">4. Update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's Target DGS Implementation and Depends On to match; re-confirm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>'s scope if the split is chosen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getProductDeptRules(productIds, departmentIds, activeOnly)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ruleLibrary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flag fork USE_NEW_RULES_API ? ruleLibrary.searchRuleLibrary : product.searchProductDeptRules GET …/spark_rules/v1/search?productIds=&amp;departmentIds=&amp;activeOnly=. PO…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getProductBPRules(productIds, businessPartnerIds, activeOnly)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ruleLibrary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same as B-10 with businessPartnerIds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searchProductRules(...)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ruleLibrary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flag fork; legacy GET …/spark_rules/v1/search_mapped?... → productRuleResponseTransformer → camelCase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