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Product Details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12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6  🟢 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2026-07-21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We are moving the </w:t>
      </w:r>
      <w:r>
        <w:rPr>
          <w:b/>
          <w:color w:val="373737"/>
          <w:sz w:val="20"/>
        </w:rPr>
        <w:t>ProductDetails</w:t>
      </w:r>
      <w:r>
        <w:rPr>
          <w:color w:val="373737"/>
          <w:sz w:val="20"/>
        </w:rPr>
        <w:t xml:space="preserve"> domain — the product's "construction" sets (build/assembly detail rows, their attachments, and per-partner access)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It is </w:t>
      </w:r>
      <w:r>
        <w:rPr>
          <w:b/>
          <w:color w:val="373737"/>
          <w:sz w:val="20"/>
        </w:rPr>
        <w:t>mid-sized and mid-low risk</w:t>
      </w:r>
      <w:r>
        <w:rPr>
          <w:color w:val="373737"/>
          <w:sz w:val="20"/>
        </w:rPr>
        <w:t xml:space="preserve">: 2 queries, 6 mutations, 12 field resolvers on a 129-line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(In the backend this domain is called </w:t>
      </w:r>
      <w:r>
        <w:rPr>
          <w:i/>
          <w:color w:val="373737"/>
          <w:sz w:val="20"/>
        </w:rPr>
        <w:t>construction</w:t>
      </w:r>
      <w:r>
        <w:rPr>
          <w:color w:val="373737"/>
          <w:sz w:val="20"/>
        </w:rPr>
        <w:t xml:space="preserve"> — </w:t>
      </w:r>
      <w:r>
        <w:rPr>
          <w:rFonts w:ascii="Courier New" w:hAnsi="Courier New"/>
          <w:sz w:val="20"/>
        </w:rPr>
        <w:t>construction/v1</w:t>
      </w:r>
      <w:r>
        <w:rPr>
          <w:color w:val="373737"/>
          <w:sz w:val="20"/>
        </w:rPr>
        <w:t xml:space="preserve">; the GraphQL names stay </w:t>
      </w:r>
      <w:r>
        <w:rPr>
          <w:rFonts w:ascii="Courier New" w:hAnsi="Courier New"/>
          <w:sz w:val="20"/>
        </w:rPr>
        <w:t>productDetails</w:t>
      </w:r>
      <w:r>
        <w:rPr>
          <w:color w:val="373737"/>
          <w:sz w:val="20"/>
        </w:rPr>
        <w:t>.)</w:t>
      </w:r>
    </w:p>
    <w:p>
      <w:pPr>
        <w:spacing w:after="80"/>
      </w:pPr>
      <w:r>
        <w:rPr>
          <w:color w:val="373737"/>
          <w:sz w:val="20"/>
        </w:rPr>
        <w:t xml:space="preserve">The one genuinely harder piece is </w:t>
      </w:r>
      <w:r>
        <w:rPr>
          <w:b/>
          <w:color w:val="373737"/>
          <w:sz w:val="20"/>
        </w:rPr>
        <w:t>`updateProductDetailsSet`</w:t>
      </w:r>
      <w:r>
        <w:rPr>
          <w:color w:val="373737"/>
          <w:sz w:val="20"/>
        </w:rPr>
        <w:t>, a multi-step write — workspace associations, then bulk-archive removed attachments, then the body — with no rollback today.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(e.g. the attachment-archive step in </w:t>
      </w:r>
      <w:r>
        <w:rPr>
          <w:rFonts w:ascii="Courier New" w:hAnsi="Courier New"/>
          <w:sz w:val="20"/>
        </w:rPr>
        <w:t>updateProductDetailsSet</w:t>
      </w:r>
      <w:r>
        <w:rPr>
          <w:color w:val="373737"/>
          <w:sz w:val="20"/>
        </w:rPr>
        <w:t xml:space="preserve">)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one by-ids (internal), one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ProductDetails</w:t>
            </w:r>
            <w:r>
              <w:rPr>
                <w:color w:val="373737"/>
                <w:sz w:val="18"/>
              </w:rPr>
              <w:t xml:space="preserve"> (10), item (2), category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(2 🔴 · 2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12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 (G-04 test coverage tracked outside Jira pipeline)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PDTL-BE-E-01 — updateProductDetailsSet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8–17d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24–48d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~6–11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D-01–D-05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write + Product field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resolvers. Test coverage/parity tracked outside this Jira pipeline, created manually.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🔍 Search &amp; Listing · ✏️ Mutations · ⚙️ Complex Operations · 🔗 Federation &amp; Stitching · 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— 2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~31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getProductDetailsById(ids)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product-detail (construction) sets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ids → GET construction/v1?ids={csv}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list for ids; empty → []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PDTL-BE-B-01: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productDetails.graphqls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getProductDetailsElastic(resourceId)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product-detail sets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search.getProductDetailsElastic → paged. -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paged shape returned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createProductDetailsSet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literal capability → POST construction/v1 (snake_case). If response has validationErrors or 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 (not a partial object)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updateProductDetailAccess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Change who can access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map managePermissionsRequest[].resourceId → token → PUT construction/v1/manage-permissions (primeKey=humanId)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partner access for each resource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productDetailLockUnlock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or unlock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[constructionSetId] → PUT construction/v1/{id}/{lock\|unlock}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isLock=true</w:t>
            </w:r>
            <w:r>
              <w:rPr>
                <w:color w:val="373737"/>
                <w:sz w:val="17"/>
              </w:rPr>
              <w:t>→lock path, false→unlock path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cloneFilesForProductDetails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product details.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Promise.all(attachmentIds.map((id,i) =&gt; (attachment) cloneAttachmentV3({cloneReferences:[cloneReference[i]]}, id))), stamp parentResource=id, flatten. No…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clones each id with its paired cloneReference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parentResource</w:t>
            </w:r>
            <w:r>
              <w:rPr>
                <w:color w:val="373737"/>
                <w:sz w:val="17"/>
              </w:rPr>
              <w:t xml:space="preserve"> stamped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updateProductDetailComponentStatus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component status on product-detail sets.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construction/v1/component_status_update; wraps result as {content}. No JWT — confirm backend-enforced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updates statuses; result wrapped as </w:t>
            </w:r>
            <w:r>
              <w:rPr>
                <w:rFonts w:ascii="Courier New" w:hAnsi="Courier New"/>
                <w:sz w:val="17"/>
              </w:rPr>
              <w:t>{content}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no-token behaviour documented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PDTL-BE-E-01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updateProductDetailsSet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product-detail set — a multi-step write (workspace + body) with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workspaceContext.{add,remove}Workspaces non-empty → workspaceAssociationHelper(PRODUCT_DETAIL, id, add, remove) (throws on error); 2) null workspaceContext; 3) if…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4 steps in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 implemented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throws propagate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full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workspace-only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attachment-archive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Product.productDetails</w:t>
            </w:r>
            <w:r>
              <w:rPr>
                <w:color w:val="373737"/>
                <w:sz w:val="17"/>
              </w:rPr>
              <w:t xml:space="preserve"> (internal, same subgraph)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product-details on the Product type (same subgraph).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exposes productDetails resolved from the co-located ProductDetails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Product.productDetails</w:t>
            </w:r>
            <w:r>
              <w:rPr>
                <w:color w:val="373737"/>
                <w:sz w:val="17"/>
              </w:rPr>
              <w:t xml:space="preserve"> resolves in-process; no gateway hop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resolver uses a </w:t>
            </w:r>
            <w:r>
              <w:rPr>
                <w:rFonts w:ascii="Courier New" w:hAnsi="Courier New"/>
                <w:sz w:val="17"/>
              </w:rPr>
              <w:t>MappedBatchLoader&lt;String, List&lt;SPARK_ProductDetails&gt;&gt;</w:t>
            </w:r>
            <w:r>
              <w:rPr>
                <w:color w:val="373737"/>
                <w:sz w:val="17"/>
              </w:rPr>
              <w:t xml:space="preserve"> (</w:t>
            </w:r>
            <w:r>
              <w:rPr>
                <w:rFonts w:ascii="Courier New" w:hAnsi="Courier New"/>
                <w:sz w:val="17"/>
              </w:rPr>
              <w:t>productDetailsByProductIdLoader</w:t>
            </w:r>
            <w:r>
              <w:rPr>
                <w:color w:val="373737"/>
                <w:sz w:val="17"/>
              </w:rPr>
              <w:t>) — when the parent query returns N products, product details are resolved in 1 batched call (not N)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access / permission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access → accessControl.getPermissions([humanId\|\|id])[0]; currentUserPermissions → getUserAccessUnencoded(humanId\|\|id)[0]; participantDetails → getUserGroup(humanId)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resolves; null-safe on empty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workspaceV2,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product, people, partner and workspace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(internal, only if parentId starts 'PID'), createdBy/updatedBy (user-profile), businessPartners (vmm loadBpsWithType), workspaces (workspaceV2 by ids)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resolves;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null id → null user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+ item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constructionSetAttachments</w:t>
            </w:r>
            <w:r>
              <w:rPr>
                <w:color w:val="373737"/>
                <w:sz w:val="17"/>
              </w:rPr>
              <w:t xml:space="preserve"> + category </w:t>
            </w:r>
            <w:r>
              <w:rPr>
                <w:rFonts w:ascii="Courier New" w:hAnsi="Courier New"/>
                <w:sz w:val="17"/>
              </w:rPr>
              <w:t>subCategories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attachment and category fields on product details.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ProductDetails.attachment → (search) searchAttachments([humanId\|\|id]), find - relatedResources.length&lt;=2; ProductDetailsItem.attachment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length-≤2 filter preserved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Product Details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2 Medium · 🟢 1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 operation-to-root-field rows · 2 client files · 4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2026-07-21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Product Details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product-details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PDTL-BE-G-02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PDTL-BE-G-03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getProductDetailsById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getProductDetailComponentStatus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product-details simple mutations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PDTL-BE-D-05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createProductDetailsSet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productDetailLockUnlock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cloneFilesForProductDetails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updateProductDetailComponentStatus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PDTL-BE-E-01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updateProductDetailsSet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PDTL-BE-G-02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PDTL-BE-G-03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PDTL-BE-E-01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PDTL-FE-002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PDTL-FE-003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(3–4d)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(3–5d)&lt;br&gt;🟢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~10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FederatedGqlBreakDown-productDetails.md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