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tbl>
      <w:tblPr>
        <w:tblStyle w:val="Tabela-Siatka"/>
        <w:tblW w:w="0" w:type="auto"/>
        <w:jc w:val="center"/>
        <w:tblLayout w:type="fixed"/>
        <w:tblLook w:val="04A0"/>
      </w:tblPr>
      <w:tblGrid>
        <w:gridCol w:w="2235"/>
        <w:gridCol w:w="425"/>
        <w:gridCol w:w="2410"/>
        <w:gridCol w:w="2126"/>
        <w:gridCol w:w="2092"/>
      </w:tblGrid>
      <w:tr xmlns:wp14="http://schemas.microsoft.com/office/word/2010/wordml" w:rsidR="00534219" w:rsidTr="00534219" w14:paraId="46A03D36" wp14:textId="77777777">
        <w:trPr>
          <w:jc w:val="center"/>
        </w:trPr>
        <w:tc>
          <w:tcPr>
            <w:tcW w:w="2235" w:type="dxa"/>
            <w:vAlign w:val="center"/>
          </w:tcPr>
          <w:p w:rsidRPr="00534219" w:rsidR="00534219" w:rsidP="007B223C" w:rsidRDefault="00534219" w14:paraId="3EF51294" wp14:textId="77777777">
            <w:pPr>
              <w:pStyle w:val="Bezodstpw"/>
              <w:rPr>
                <w:b/>
                <w:lang w:val="pl-PL"/>
              </w:rPr>
            </w:pPr>
            <w:r w:rsidRPr="00534219">
              <w:rPr>
                <w:b/>
                <w:lang w:val="pl-PL"/>
              </w:rPr>
              <w:t>Laboratorium Fizyki Ciała Stałego</w:t>
            </w:r>
          </w:p>
        </w:tc>
        <w:tc>
          <w:tcPr>
            <w:tcW w:w="425" w:type="dxa"/>
            <w:tcBorders>
              <w:right w:val="single" w:color="auto" w:sz="4" w:space="0"/>
            </w:tcBorders>
            <w:vAlign w:val="center"/>
          </w:tcPr>
          <w:p w:rsidRPr="00534219" w:rsidR="00534219" w:rsidP="007B223C" w:rsidRDefault="00534219" w14:paraId="49EBF026" wp14:textId="77777777">
            <w:pPr>
              <w:pStyle w:val="Bezodstpw"/>
              <w:rPr>
                <w:b/>
                <w:lang w:val="pl-PL"/>
              </w:rPr>
            </w:pPr>
            <w:r w:rsidRPr="00534219">
              <w:rPr>
                <w:b/>
                <w:lang w:val="pl-PL"/>
              </w:rPr>
              <w:t>1</w:t>
            </w:r>
          </w:p>
        </w:tc>
        <w:tc>
          <w:tcPr>
            <w:tcW w:w="4536" w:type="dxa"/>
            <w:gridSpan w:val="2"/>
            <w:tcBorders>
              <w:left w:val="single" w:color="auto" w:sz="4" w:space="0"/>
            </w:tcBorders>
            <w:vAlign w:val="center"/>
          </w:tcPr>
          <w:p w:rsidRPr="007B223C" w:rsidR="00534219" w:rsidP="00534219" w:rsidRDefault="00534219" w14:paraId="77E9AFFB" wp14:textId="77777777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Spektroskopia fluorescencji rentgenowskiej (XRF)</w:t>
            </w:r>
          </w:p>
        </w:tc>
        <w:tc>
          <w:tcPr>
            <w:tcW w:w="2092" w:type="dxa"/>
            <w:vMerge w:val="restart"/>
          </w:tcPr>
          <w:p w:rsidR="00534219" w:rsidP="00534219" w:rsidRDefault="00534219" w14:paraId="6CD3B313" wp14:textId="77777777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Zespół w składzie:</w:t>
            </w:r>
          </w:p>
          <w:p w:rsidRPr="00121C22" w:rsidR="00534219" w:rsidP="00534219" w:rsidRDefault="00534219" w14:paraId="649E255D" wp14:textId="77777777">
            <w:pPr>
              <w:pStyle w:val="Bezodstpw"/>
              <w:rPr>
                <w:sz w:val="16"/>
                <w:szCs w:val="16"/>
                <w:lang w:val="pl-PL"/>
              </w:rPr>
            </w:pPr>
          </w:p>
          <w:p w:rsidRPr="007B223C" w:rsidR="00534219" w:rsidP="00534219" w:rsidRDefault="00534219" w14:paraId="643CE347" wp14:textId="77777777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Pr="007B223C" w:rsidR="00534219" w:rsidP="00534219" w:rsidRDefault="00534219" w14:paraId="2C5D4EE8" wp14:textId="77777777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 xml:space="preserve">Sebastian </w:t>
            </w:r>
            <w:proofErr w:type="spellStart"/>
            <w:r w:rsidRPr="007B223C">
              <w:rPr>
                <w:lang w:val="pl-PL"/>
              </w:rPr>
              <w:t>Kubalski</w:t>
            </w:r>
            <w:proofErr w:type="spellEnd"/>
          </w:p>
          <w:p w:rsidRPr="007B223C" w:rsidR="00534219" w:rsidP="00534219" w:rsidRDefault="00534219" w14:paraId="62762FD1" wp14:textId="77777777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</w:tr>
      <w:tr xmlns:wp14="http://schemas.microsoft.com/office/word/2010/wordml" w:rsidR="00534219" w:rsidTr="00534219" w14:paraId="7B96358A" wp14:textId="77777777">
        <w:trPr>
          <w:jc w:val="center"/>
        </w:trPr>
        <w:tc>
          <w:tcPr>
            <w:tcW w:w="2235" w:type="dxa"/>
            <w:vAlign w:val="center"/>
          </w:tcPr>
          <w:p w:rsidRPr="007B223C" w:rsidR="00534219" w:rsidP="00534219" w:rsidRDefault="00534219" w14:paraId="2DC55230" wp14:textId="77777777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Wydział: </w:t>
            </w:r>
            <w:proofErr w:type="spellStart"/>
            <w:r>
              <w:rPr>
                <w:lang w:val="pl-PL"/>
              </w:rPr>
              <w:t>FiIS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534219" w:rsidP="007B223C" w:rsidRDefault="00534219" w14:paraId="1BF034D2" wp14:textId="77777777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Kierunek: </w:t>
            </w:r>
          </w:p>
          <w:p w:rsidRPr="007B223C" w:rsidR="00534219" w:rsidP="007B223C" w:rsidRDefault="00534219" w14:paraId="5ABE2952" wp14:textId="77777777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Fizyka Techniczna</w:t>
            </w:r>
          </w:p>
        </w:tc>
        <w:tc>
          <w:tcPr>
            <w:tcW w:w="2126" w:type="dxa"/>
            <w:vAlign w:val="center"/>
          </w:tcPr>
          <w:p w:rsidRPr="007B223C" w:rsidR="00534219" w:rsidP="00534219" w:rsidRDefault="00534219" w14:paraId="1A0AEF53" wp14:textId="77777777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Rok: III</w:t>
            </w:r>
          </w:p>
        </w:tc>
        <w:tc>
          <w:tcPr>
            <w:tcW w:w="2092" w:type="dxa"/>
            <w:vMerge/>
            <w:vAlign w:val="center"/>
          </w:tcPr>
          <w:p w:rsidRPr="007B223C" w:rsidR="00534219" w:rsidP="007B223C" w:rsidRDefault="00534219" w14:paraId="66BD3A32" wp14:textId="77777777">
            <w:pPr>
              <w:pStyle w:val="Bezodstpw"/>
              <w:rPr>
                <w:lang w:val="pl-PL"/>
              </w:rPr>
            </w:pPr>
          </w:p>
        </w:tc>
      </w:tr>
      <w:tr xmlns:wp14="http://schemas.microsoft.com/office/word/2010/wordml" w:rsidR="00534219" w:rsidTr="00534219" w14:paraId="62D2F309" wp14:textId="77777777">
        <w:trPr>
          <w:trHeight w:val="546"/>
          <w:jc w:val="center"/>
        </w:trPr>
        <w:tc>
          <w:tcPr>
            <w:tcW w:w="2235" w:type="dxa"/>
            <w:vAlign w:val="center"/>
          </w:tcPr>
          <w:p w:rsidRPr="007B223C" w:rsidR="00534219" w:rsidP="007B223C" w:rsidRDefault="00534219" w14:paraId="3077A645" wp14:textId="77777777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Pr="007B223C" w:rsidR="00534219" w:rsidP="007B223C" w:rsidRDefault="00534219" w14:paraId="1D7F98F1" wp14:textId="77777777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22.10.2015</w:t>
            </w:r>
          </w:p>
        </w:tc>
        <w:tc>
          <w:tcPr>
            <w:tcW w:w="2835" w:type="dxa"/>
            <w:gridSpan w:val="2"/>
            <w:vAlign w:val="center"/>
          </w:tcPr>
          <w:p w:rsidRPr="007B223C" w:rsidR="00534219" w:rsidP="007B223C" w:rsidRDefault="00534219" w14:paraId="65232725" wp14:textId="77777777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oddania:</w:t>
            </w:r>
          </w:p>
          <w:p w:rsidRPr="007B223C" w:rsidR="00534219" w:rsidP="007B223C" w:rsidRDefault="00534219" w14:paraId="3A5796D5" wp14:textId="77777777">
            <w:pPr>
              <w:pStyle w:val="Bezodstpw"/>
              <w:rPr>
                <w:lang w:val="pl-PL"/>
              </w:rPr>
            </w:pPr>
          </w:p>
        </w:tc>
        <w:tc>
          <w:tcPr>
            <w:tcW w:w="2126" w:type="dxa"/>
            <w:vAlign w:val="center"/>
          </w:tcPr>
          <w:p w:rsidR="00534219" w:rsidP="00534219" w:rsidRDefault="00534219" w14:paraId="1D3FF824" wp14:textId="77777777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  <w:p w:rsidRPr="007B223C" w:rsidR="00534219" w:rsidP="00534219" w:rsidRDefault="00534219" w14:paraId="0650775F" wp14:textId="77777777">
            <w:pPr>
              <w:pStyle w:val="Bezodstpw"/>
              <w:rPr>
                <w:lang w:val="pl-PL"/>
              </w:rPr>
            </w:pPr>
          </w:p>
        </w:tc>
        <w:tc>
          <w:tcPr>
            <w:tcW w:w="2092" w:type="dxa"/>
            <w:vMerge/>
            <w:vAlign w:val="center"/>
          </w:tcPr>
          <w:p w:rsidRPr="007B223C" w:rsidR="00534219" w:rsidP="007B223C" w:rsidRDefault="00534219" w14:paraId="5DCAFF81" wp14:textId="77777777">
            <w:pPr>
              <w:pStyle w:val="Bezodstpw"/>
              <w:rPr>
                <w:lang w:val="pl-PL"/>
              </w:rPr>
            </w:pPr>
          </w:p>
        </w:tc>
      </w:tr>
    </w:tbl>
    <w:p xmlns:wp14="http://schemas.microsoft.com/office/word/2010/wordml" w:rsidR="00121C22" w:rsidP="00121C22" w:rsidRDefault="00121C22" w14:paraId="3874D33B" wp14:textId="77777777">
      <w:pPr>
        <w:pStyle w:val="Nagwek2"/>
        <w:rPr>
          <w:lang w:val="pl-PL"/>
        </w:rPr>
      </w:pPr>
    </w:p>
    <w:p xmlns:wp14="http://schemas.microsoft.com/office/word/2010/wordml" w:rsidR="00D90173" w:rsidP="00D90173" w:rsidRDefault="00D90173" w14:paraId="3536AC49" wp14:textId="77777777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xmlns:wp14="http://schemas.microsoft.com/office/word/2010/wordml" w:rsidR="00121C22" w:rsidP="00121C22" w:rsidRDefault="00121C22" w14:paraId="5EBDBB1E" wp14:textId="77777777">
      <w:pPr>
        <w:ind w:firstLine="360"/>
        <w:jc w:val="both"/>
        <w:rPr>
          <w:lang w:val="pl-PL"/>
        </w:rPr>
      </w:pPr>
      <w:r>
        <w:rPr>
          <w:lang w:val="pl-PL"/>
        </w:rPr>
        <w:t xml:space="preserve">Pierwszym kwantowym modelem atomu wodoru był model zaproponowany przez Nielsa Bohra na początku XX stulecia. Jego głównym postulatem było przyjęcie dyskretnych poziomów energii dla znajdującego się w atomie elektronu. Ideę kwantyzacji rozwinęła i według dzisiejszych standardów dużo lepiej opisała mechanika falowa </w:t>
      </w:r>
      <w:proofErr w:type="spellStart"/>
      <w:r>
        <w:rPr>
          <w:lang w:val="pl-PL"/>
        </w:rPr>
        <w:t>Shrödingera</w:t>
      </w:r>
      <w:proofErr w:type="spellEnd"/>
      <w:r>
        <w:rPr>
          <w:lang w:val="pl-PL"/>
        </w:rPr>
        <w:t xml:space="preserve">, która wprowadziła liczby kwantowe. Powłoką elektronową jest zbiór elektronów w danym atomie, które opisywane są taką samą główną liczbą kwantową </w:t>
      </w:r>
      <w:r>
        <w:rPr>
          <w:i/>
          <w:lang w:val="pl-PL"/>
        </w:rPr>
        <w:t>n</w:t>
      </w:r>
      <w:r>
        <w:rPr>
          <w:lang w:val="pl-PL"/>
        </w:rPr>
        <w:t xml:space="preserve">. Kolejnym wartościom </w:t>
      </w:r>
      <w:r>
        <w:rPr>
          <w:i/>
          <w:lang w:val="pl-PL"/>
        </w:rPr>
        <w:t>n</w:t>
      </w:r>
      <w:r>
        <w:rPr>
          <w:lang w:val="pl-PL"/>
        </w:rPr>
        <w:t xml:space="preserve"> przypisane są litery będące nazwami powłok: K, L, M, N, P i Q. Energią wiązania elektronu w atomie nazywa się energię niezbędną do uwolnienia elektronu z powłoki na której się znajduje i oddaleniu go od jądra. Na liczbę elektronów na każdej z powłok wpływ ma zasada </w:t>
      </w:r>
      <w:proofErr w:type="spellStart"/>
      <w:r>
        <w:rPr>
          <w:lang w:val="pl-PL"/>
        </w:rPr>
        <w:t>Pauliego</w:t>
      </w:r>
      <w:proofErr w:type="spellEnd"/>
      <w:r>
        <w:rPr>
          <w:lang w:val="pl-PL"/>
        </w:rPr>
        <w:t xml:space="preserve">, która w zastosowaniu do elektronów w atomie mówi, że każde dwa elektrony muszą się różnić przynajmniej jedną z liczb kwantowych. Natomiast o kolejności obsadzania powłok przez elektrony w atomach wieloelektrodowych decyduje dążność układu do uzyskania najkorzystniejszego stanu energetycznego . </w:t>
      </w:r>
    </w:p>
    <w:p xmlns:wp14="http://schemas.microsoft.com/office/word/2010/wordml" w:rsidRPr="00D66589" w:rsidR="00121C22" w:rsidP="00121C22" w:rsidRDefault="00121C22" w14:paraId="0BDE5003" wp14:textId="77777777">
      <w:pPr>
        <w:ind w:firstLine="360"/>
        <w:jc w:val="both"/>
        <w:rPr>
          <w:lang w:val="pl-PL"/>
        </w:rPr>
      </w:pPr>
      <w:r>
        <w:rPr>
          <w:lang w:val="pl-PL"/>
        </w:rPr>
        <w:t xml:space="preserve">Promieniowanie X otrzymywane z lamp rentgenowskich ma dwojaką naturę. Jest ono złożeniem promieniowania hamowania o charakterze widma ciągłego oraz dyskretnych wyraźnych „pików” będących rezultatem wzbudzenia przejść pomiędzy pasmami elektronowymi w metalu anody. Nazwy linii tworzone są za pomocą wielkiej litery będącej nazwą powłoki na którą „spada” elektron wywołujący jej emisję oraz małej greckiej litery opisującej z którego poziomu on pochodził.  Zależność energii promieniowania dyskretnego od materiału tarczy ilustruje prawo </w:t>
      </w:r>
      <w:proofErr w:type="spellStart"/>
      <w:r>
        <w:rPr>
          <w:lang w:val="pl-PL"/>
        </w:rPr>
        <w:t>Moseley’a</w:t>
      </w:r>
      <w:proofErr w:type="spellEnd"/>
      <w:r>
        <w:rPr>
          <w:vertAlign w:val="superscript"/>
          <w:lang w:val="pl-PL"/>
        </w:rPr>
        <w:t>[1]</w:t>
      </w:r>
      <w:r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8046"/>
        <w:gridCol w:w="1166"/>
      </w:tblGrid>
      <w:tr xmlns:wp14="http://schemas.microsoft.com/office/word/2010/wordml" w:rsidRPr="00D66589" w:rsidR="00121C22" w:rsidTr="00121C22" w14:paraId="65ECD383" wp14:textId="77777777">
        <w:tc>
          <w:tcPr>
            <w:tcW w:w="8046" w:type="dxa"/>
          </w:tcPr>
          <w:p w:rsidRPr="007B223C" w:rsidR="00121C22" w:rsidP="00121C22" w:rsidRDefault="00121C22" w14:paraId="2363E348" wp14:textId="77777777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</m:t>
                    </m:r>
                  </m:sub>
                </m:sSub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6" w:type="dxa"/>
          </w:tcPr>
          <w:p w:rsidRPr="007B223C" w:rsidR="00121C22" w:rsidP="00121C22" w:rsidRDefault="00121C22" w14:paraId="63AB62E3" wp14:textId="77777777">
            <w:pPr>
              <w:pStyle w:val="Wzr"/>
              <w:numPr>
                <w:ilvl w:val="0"/>
                <w:numId w:val="3"/>
              </w:numPr>
              <w:jc w:val="both"/>
            </w:pPr>
          </w:p>
        </w:tc>
      </w:tr>
    </w:tbl>
    <w:p xmlns:wp14="http://schemas.microsoft.com/office/word/2010/wordml" w:rsidR="00121C22" w:rsidP="00121C22" w:rsidRDefault="00121C22" w14:paraId="55A453E0" wp14:textId="77777777">
      <w:pPr>
        <w:jc w:val="both"/>
        <w:rPr>
          <w:lang w:val="pl-PL"/>
        </w:rPr>
      </w:pPr>
      <w:r>
        <w:rPr>
          <w:lang w:val="pl-PL"/>
        </w:rPr>
        <w:t xml:space="preserve">Gdzie: </w:t>
      </w:r>
      <w:r>
        <w:rPr>
          <w:i/>
          <w:lang w:val="pl-PL"/>
        </w:rPr>
        <w:t>E</w:t>
      </w:r>
      <w:r>
        <w:rPr>
          <w:lang w:val="pl-PL"/>
        </w:rPr>
        <w:t xml:space="preserve"> – energia promieniowania (</w:t>
      </w:r>
      <w:proofErr w:type="spellStart"/>
      <w:r>
        <w:rPr>
          <w:lang w:val="pl-PL"/>
        </w:rPr>
        <w:t>eV</w:t>
      </w:r>
      <w:proofErr w:type="spellEnd"/>
      <w:r>
        <w:rPr>
          <w:lang w:val="pl-PL"/>
        </w:rPr>
        <w:t xml:space="preserve">); 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</m:oMath>
      <w:r>
        <w:rPr>
          <w:lang w:val="pl-PL"/>
        </w:rPr>
        <w:t xml:space="preserve"> - częstość Rydberga (3,29*10</w:t>
      </w:r>
      <w:r>
        <w:rPr>
          <w:vertAlign w:val="superscript"/>
          <w:lang w:val="pl-PL"/>
        </w:rPr>
        <w:t>15</w:t>
      </w:r>
      <w:r>
        <w:rPr>
          <w:lang w:val="pl-PL"/>
        </w:rPr>
        <w:t xml:space="preserve"> Hz);  </w:t>
      </w:r>
      <m:oMath>
        <m:r>
          <w:rPr>
            <w:rFonts w:ascii="Cambria Math" w:hAnsi="Cambria Math"/>
            <w:lang w:val="pl-PL"/>
          </w:rPr>
          <m:t>h</m:t>
        </m:r>
      </m:oMath>
      <w:r>
        <w:rPr>
          <w:lang w:val="pl-PL"/>
        </w:rPr>
        <w:t xml:space="preserve"> - stała Plancka (4,1357*10</w:t>
      </w:r>
      <w:r>
        <w:rPr>
          <w:vertAlign w:val="superscript"/>
          <w:lang w:val="pl-PL"/>
        </w:rPr>
        <w:t>-15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eV*s</w:t>
      </w:r>
      <w:proofErr w:type="spellEnd"/>
      <w:r>
        <w:rPr>
          <w:lang w:val="pl-PL"/>
        </w:rPr>
        <w:t xml:space="preserve">);  </w:t>
      </w:r>
      <m:oMath>
        <m:r>
          <w:rPr>
            <w:rFonts w:ascii="Cambria Math" w:hAnsi="Cambria Math"/>
          </w:rPr>
          <m:t>Z</m:t>
        </m:r>
      </m:oMath>
      <w:r w:rsidRPr="006010E2">
        <w:rPr>
          <w:lang w:val="pl-PL"/>
        </w:rPr>
        <w:t xml:space="preserve"> - liczba a</w:t>
      </w:r>
      <w:r>
        <w:rPr>
          <w:lang w:val="pl-PL"/>
        </w:rPr>
        <w:t xml:space="preserve">tomowa; </w:t>
      </w:r>
      <m:oMath>
        <m:r>
          <w:rPr>
            <w:rFonts w:ascii="Cambria Math" w:hAnsi="Cambria Math"/>
          </w:rPr>
          <m:t>n</m:t>
        </m:r>
      </m:oMath>
      <w:r w:rsidRPr="006010E2">
        <w:rPr>
          <w:lang w:val="pl-PL"/>
        </w:rPr>
        <w:t xml:space="preserve"> i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Pr="006010E2">
        <w:rPr>
          <w:lang w:val="pl-PL"/>
        </w:rPr>
        <w:t xml:space="preserve"> t</w:t>
      </w:r>
      <w:r>
        <w:rPr>
          <w:lang w:val="pl-PL"/>
        </w:rPr>
        <w:t xml:space="preserve">o stałe, których wartości zależą od rodzaju rozważanej serii. </w:t>
      </w:r>
      <w:r w:rsidRPr="006010E2">
        <w:rPr>
          <w:lang w:val="pl-PL"/>
        </w:rPr>
        <w:t>Dla serii K</w:t>
      </w:r>
      <w:r w:rsidRPr="006010E2">
        <w:t>α</w:t>
      </w:r>
      <w:r w:rsidRPr="006010E2">
        <w:rPr>
          <w:lang w:val="pl-PL"/>
        </w:rPr>
        <w:t xml:space="preserve">: n=3/4 i </w:t>
      </w:r>
      <w:r w:rsidRPr="006010E2">
        <w:t>σ</w:t>
      </w:r>
      <w:r w:rsidRPr="006010E2">
        <w:rPr>
          <w:lang w:val="pl-PL"/>
        </w:rPr>
        <w:t>=1, natomiast dla serii K</w:t>
      </w:r>
      <w:r w:rsidRPr="006010E2">
        <w:t>β</w:t>
      </w:r>
      <w:r w:rsidRPr="006010E2">
        <w:rPr>
          <w:lang w:val="pl-PL"/>
        </w:rPr>
        <w:t xml:space="preserve">: n=5/36 i </w:t>
      </w:r>
      <w:r w:rsidRPr="006010E2">
        <w:t>σ</w:t>
      </w:r>
      <w:r>
        <w:rPr>
          <w:lang w:val="pl-PL"/>
        </w:rPr>
        <w:t>=7,</w:t>
      </w:r>
      <w:r w:rsidRPr="006010E2">
        <w:rPr>
          <w:lang w:val="pl-PL"/>
        </w:rPr>
        <w:t>4.</w:t>
      </w:r>
    </w:p>
    <w:p xmlns:wp14="http://schemas.microsoft.com/office/word/2010/wordml" w:rsidR="00121C22" w:rsidP="00121C22" w:rsidRDefault="00121C22" w14:paraId="43598803" wp14:textId="77777777">
      <w:pPr>
        <w:jc w:val="bot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Materia może oddziaływać z promieniowaniem X na trzy różne sposoby</w:t>
      </w:r>
      <w:r>
        <w:rPr>
          <w:vertAlign w:val="superscript"/>
          <w:lang w:val="pl-PL"/>
        </w:rPr>
        <w:t>[2]</w:t>
      </w:r>
      <w:r>
        <w:rPr>
          <w:lang w:val="pl-PL"/>
        </w:rPr>
        <w:t xml:space="preserve">: poprzez rozpraszanie spójne, zjawisko fotoelektryczne i rozpraszanie </w:t>
      </w:r>
      <w:proofErr w:type="spellStart"/>
      <w:r>
        <w:rPr>
          <w:lang w:val="pl-PL"/>
        </w:rPr>
        <w:t>Comprtona</w:t>
      </w:r>
      <w:proofErr w:type="spellEnd"/>
      <w:r>
        <w:rPr>
          <w:lang w:val="pl-PL"/>
        </w:rPr>
        <w:t xml:space="preserve">. Rozpraszanie spójne jest zjawiskiem emisji przez atom fotonu o takiej samej energii jak foton rozpraszany, ale o zmienionym kierunku. Efekt fotoelektryczny polega na wybiciu z powłoki elektronu dzięki energii uzyskanej przez rozproszenie padającego kwantu. natomiast zjawisko Comptona dotyczy zderzeń fotonów z elektronami zewnętrznych powłok, które mogą powodować zmianę kierunku i energii padającego fotonu. </w:t>
      </w:r>
    </w:p>
    <w:p xmlns:wp14="http://schemas.microsoft.com/office/word/2010/wordml" w:rsidR="00121C22" w:rsidP="00121C22" w:rsidRDefault="00121C22" w14:paraId="6ACE8A65" wp14:textId="77777777">
      <w:pPr>
        <w:jc w:val="bot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W skład budowy spektrometru XRF wchodzą głównie lampa rentgenowska emitująca promieniowanie X oraz detektor półprzewodnikowy. Promieniowanie emitowane przez lampę powoduje wybijanie w badanej próbce elektronów znajdujących się na wewnętrznych powłokach. Powstałe dziury zapełniane są po czasie rzędu 10</w:t>
      </w:r>
      <w:r>
        <w:rPr>
          <w:vertAlign w:val="superscript"/>
          <w:lang w:val="pl-PL"/>
        </w:rPr>
        <w:t>-15</w:t>
      </w:r>
      <w:r>
        <w:rPr>
          <w:lang w:val="pl-PL"/>
        </w:rPr>
        <w:t xml:space="preserve">s przez elektrony z wyższych </w:t>
      </w:r>
      <w:r>
        <w:rPr>
          <w:lang w:val="pl-PL"/>
        </w:rPr>
        <w:lastRenderedPageBreak/>
        <w:t>powłok, czemu towarzyszy emisja promieniowania X o energii charakterystycznej dla danego pierwiastka. Promieniowanie charakterystycznej rejestrowane jest przez detektor półprzewodnikowy i za pomocą komputera z odpowiednim oprogramowaniem zbiera się informacje o energii i liczbie kwantów padających na detektor. Otrzymane widmo oprócz linii pochodzących od pierwiastków z badanego obiektu zawierają elementy niepożądane, takie jak</w:t>
      </w:r>
      <w:r>
        <w:rPr>
          <w:vertAlign w:val="superscript"/>
          <w:lang w:val="pl-PL"/>
        </w:rPr>
        <w:t>[3]</w:t>
      </w:r>
      <w:r>
        <w:rPr>
          <w:lang w:val="pl-PL"/>
        </w:rPr>
        <w:t>:</w:t>
      </w:r>
    </w:p>
    <w:p xmlns:wp14="http://schemas.microsoft.com/office/word/2010/wordml" w:rsidR="00121C22" w:rsidP="00121C22" w:rsidRDefault="00121C22" w14:paraId="12C5E7EB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linie emisyjne materiału z jakiego wykonana jest aparatura (lampa, przysłona itp.)</w:t>
      </w:r>
    </w:p>
    <w:p xmlns:wp14="http://schemas.microsoft.com/office/word/2010/wordml" w:rsidR="00121C22" w:rsidP="00121C22" w:rsidRDefault="00121C22" w14:paraId="3C45F191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 xml:space="preserve">piki ucieczki będące efektem fluorescencji krzemu z którego zbudowany jest detektor (są to maksima pomniejszone o energię fluorescencji krzemu – 1,74 </w:t>
      </w:r>
      <w:proofErr w:type="spellStart"/>
      <w:r>
        <w:rPr>
          <w:lang w:val="pl-PL"/>
        </w:rPr>
        <w:t>eV</w:t>
      </w:r>
      <w:proofErr w:type="spellEnd"/>
      <w:r>
        <w:rPr>
          <w:lang w:val="pl-PL"/>
        </w:rPr>
        <w:t>)</w:t>
      </w:r>
    </w:p>
    <w:p xmlns:wp14="http://schemas.microsoft.com/office/word/2010/wordml" w:rsidR="00121C22" w:rsidP="00121C22" w:rsidRDefault="00121C22" w14:paraId="20A9237F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piki wzbudzeń dwufotonowych (powodowane przez jednoczesne dotarcie do detektora dwóch kwantów promieniowania o jednakowej energii, które przez detektor jest błędnie rejestrowane jako jeden kwant o podwójnej energii)</w:t>
      </w:r>
    </w:p>
    <w:p xmlns:wp14="http://schemas.microsoft.com/office/word/2010/wordml" w:rsidRPr="00DB0BBF" w:rsidR="00121C22" w:rsidP="00121C22" w:rsidRDefault="00121C22" w14:paraId="63699958" wp14:textId="77777777">
      <w:pPr>
        <w:jc w:val="both"/>
        <w:rPr>
          <w:lang w:val="pl-PL"/>
        </w:rPr>
      </w:pPr>
      <w:r>
        <w:rPr>
          <w:lang w:val="pl-PL"/>
        </w:rPr>
        <w:t>Do ograniczeń metody XRF należy niewątpliwie trudność w detekcji lekkich pierwiastków, gdyż promieniowanie ulega rozproszeniu na cząsteczkach gazów znajdujących się w atmosferze. Rozwiązaniem tego problemu jest przeprowadzanie pomiarów w warunkach próżniowych.</w:t>
      </w:r>
    </w:p>
    <w:p xmlns:wp14="http://schemas.microsoft.com/office/word/2010/wordml" w:rsidRPr="00121C22" w:rsidR="00121C22" w:rsidP="00121C22" w:rsidRDefault="00121C22" w14:paraId="34ADF31C" wp14:textId="77777777">
      <w:pPr>
        <w:rPr>
          <w:lang w:val="pl-PL"/>
        </w:rPr>
      </w:pPr>
    </w:p>
    <w:p xmlns:wp14="http://schemas.microsoft.com/office/word/2010/wordml" w:rsidR="00D90173" w:rsidP="00D90173" w:rsidRDefault="00D90173" w14:paraId="6D17F4C6" wp14:textId="77777777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xmlns:wp14="http://schemas.microsoft.com/office/word/2010/wordml" w:rsidR="00531868" w:rsidP="001E3C8B" w:rsidRDefault="00531868" w14:paraId="0DC39117" wp14:textId="77777777">
      <w:pPr>
        <w:jc w:val="both"/>
        <w:rPr>
          <w:lang w:val="pl-PL"/>
        </w:rPr>
      </w:pPr>
      <w:r>
        <w:rPr>
          <w:lang w:val="pl-PL"/>
        </w:rPr>
        <w:t>Procedura przygotowania spektroskopu do pracy przebiegała następująco:</w:t>
      </w:r>
    </w:p>
    <w:p xmlns:wp14="http://schemas.microsoft.com/office/word/2010/wordml" w:rsidR="00531868" w:rsidP="001E3C8B" w:rsidRDefault="00517AC3" w14:paraId="75F7B143" wp14:textId="77777777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Włączono</w:t>
      </w:r>
      <w:r w:rsidR="00531868">
        <w:rPr>
          <w:lang w:val="pl-PL"/>
        </w:rPr>
        <w:t xml:space="preserve"> spektrometr.</w:t>
      </w:r>
    </w:p>
    <w:p xmlns:wp14="http://schemas.microsoft.com/office/word/2010/wordml" w:rsidR="00531868" w:rsidP="001E3C8B" w:rsidRDefault="000B27C4" w14:paraId="3E66130A" wp14:textId="77777777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Za pomocą kluczyka z</w:t>
      </w:r>
      <w:r w:rsidR="00531868">
        <w:rPr>
          <w:lang w:val="pl-PL"/>
        </w:rPr>
        <w:t>ałączono zasilanie lampy rentgenowskiej</w:t>
      </w:r>
      <w:r w:rsidR="00454714">
        <w:rPr>
          <w:lang w:val="pl-PL"/>
        </w:rPr>
        <w:t>.</w:t>
      </w:r>
    </w:p>
    <w:p xmlns:wp14="http://schemas.microsoft.com/office/word/2010/wordml" w:rsidR="00690682" w:rsidP="001E3C8B" w:rsidRDefault="00517AC3" w14:paraId="68FC5107" wp14:textId="77777777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Program XRF analizujący dane ze spektrometru</w:t>
      </w:r>
      <w:r w:rsidR="0060337B">
        <w:rPr>
          <w:lang w:val="pl-PL"/>
        </w:rPr>
        <w:t xml:space="preserve">, </w:t>
      </w:r>
      <w:r w:rsidR="000F1CBF">
        <w:rPr>
          <w:lang w:val="pl-PL"/>
        </w:rPr>
        <w:t>podczas</w:t>
      </w:r>
      <w:r w:rsidR="0060337B">
        <w:rPr>
          <w:lang w:val="pl-PL"/>
        </w:rPr>
        <w:t xml:space="preserve"> rozp</w:t>
      </w:r>
      <w:r w:rsidR="00690682">
        <w:rPr>
          <w:lang w:val="pl-PL"/>
        </w:rPr>
        <w:t xml:space="preserve">oczęcia ćwiczenia był włączony. Lampa spektrometru nie wymagała nagrzania, a układ pomiarowy nie wymagał kalibracji. </w:t>
      </w:r>
    </w:p>
    <w:p xmlns:wp14="http://schemas.microsoft.com/office/word/2010/wordml" w:rsidR="00690682" w:rsidP="001E3C8B" w:rsidRDefault="00690682" w14:paraId="7DF33317" wp14:textId="77777777">
      <w:pPr>
        <w:jc w:val="both"/>
        <w:rPr>
          <w:lang w:val="pl-PL"/>
        </w:rPr>
      </w:pPr>
      <w:r>
        <w:rPr>
          <w:lang w:val="pl-PL"/>
        </w:rPr>
        <w:t xml:space="preserve"> Pomiar składu </w:t>
      </w:r>
      <w:r w:rsidR="00D93F12">
        <w:rPr>
          <w:lang w:val="pl-PL"/>
        </w:rPr>
        <w:t>chemicznego próbek przeprowadzano w następujący sposób:</w:t>
      </w:r>
    </w:p>
    <w:p xmlns:wp14="http://schemas.microsoft.com/office/word/2010/wordml" w:rsidR="00D93F12" w:rsidP="001E3C8B" w:rsidRDefault="00D93F12" w14:paraId="3DB83462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Otworzono pokrywę spektrometru i nad otworem</w:t>
      </w:r>
      <w:r w:rsidR="007519CD">
        <w:rPr>
          <w:lang w:val="pl-PL"/>
        </w:rPr>
        <w:t>,</w:t>
      </w:r>
      <w:r>
        <w:rPr>
          <w:lang w:val="pl-PL"/>
        </w:rPr>
        <w:t xml:space="preserve"> w którym znajdowała się lampa i detektor</w:t>
      </w:r>
      <w:r w:rsidR="007519CD">
        <w:rPr>
          <w:lang w:val="pl-PL"/>
        </w:rPr>
        <w:t>,</w:t>
      </w:r>
      <w:r>
        <w:rPr>
          <w:lang w:val="pl-PL"/>
        </w:rPr>
        <w:t xml:space="preserve"> położono badaną próbkę</w:t>
      </w:r>
      <w:r w:rsidR="007519CD">
        <w:rPr>
          <w:lang w:val="pl-PL"/>
        </w:rPr>
        <w:t xml:space="preserve"> (w przypadku sypkiej próbki dodatkowo skorzystano ze specjalnego pojemniczka). Przy ustawianiu próbki posiłkowano się obrazem z wbudowanej w spektrometr</w:t>
      </w:r>
      <w:r w:rsidR="002A63F4">
        <w:rPr>
          <w:lang w:val="pl-PL"/>
        </w:rPr>
        <w:t xml:space="preserve"> kamery.  Próbki ustawiano tak, aby</w:t>
      </w:r>
      <w:r w:rsidR="005F4288">
        <w:rPr>
          <w:lang w:val="pl-PL"/>
        </w:rPr>
        <w:t xml:space="preserve"> narysowane na obrazie z kamery</w:t>
      </w:r>
      <w:r w:rsidR="002A63F4">
        <w:rPr>
          <w:lang w:val="pl-PL"/>
        </w:rPr>
        <w:t xml:space="preserve"> kółko </w:t>
      </w:r>
      <w:r w:rsidR="005F4288">
        <w:rPr>
          <w:lang w:val="pl-PL"/>
        </w:rPr>
        <w:t>obrazujące obszar padania</w:t>
      </w:r>
      <w:r w:rsidR="002A63F4">
        <w:rPr>
          <w:lang w:val="pl-PL"/>
        </w:rPr>
        <w:t xml:space="preserve"> pr</w:t>
      </w:r>
      <w:r w:rsidR="005F4288">
        <w:rPr>
          <w:lang w:val="pl-PL"/>
        </w:rPr>
        <w:t>omieniowania</w:t>
      </w:r>
      <w:r w:rsidR="002E5CA8">
        <w:rPr>
          <w:lang w:val="pl-PL"/>
        </w:rPr>
        <w:t xml:space="preserve"> nie wychodziło </w:t>
      </w:r>
      <w:r w:rsidR="005F4288">
        <w:rPr>
          <w:lang w:val="pl-PL"/>
        </w:rPr>
        <w:t>poza obręb próbki.</w:t>
      </w:r>
      <w:r w:rsidR="00402A0D">
        <w:rPr>
          <w:lang w:val="pl-PL"/>
        </w:rPr>
        <w:t xml:space="preserve"> Po odpowiednim ułożeniu próbki zamknięto pokrywę spektrometru.</w:t>
      </w:r>
    </w:p>
    <w:p xmlns:wp14="http://schemas.microsoft.com/office/word/2010/wordml" w:rsidR="00402A0D" w:rsidP="001E3C8B" w:rsidRDefault="00907AF5" w14:paraId="40DE5D84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Program XRF przełączono na tryb pomiaru wstępnego. Warunki pomiaru ustawiono następująco:</w:t>
      </w:r>
    </w:p>
    <w:p xmlns:wp14="http://schemas.microsoft.com/office/word/2010/wordml" w:rsidR="00907AF5" w:rsidP="001E3C8B" w:rsidRDefault="004F592B" w14:paraId="2CF318C7" wp14:textId="77777777">
      <w:pPr>
        <w:pStyle w:val="Akapitzlist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t>czas pomiaru: 3 minuty,</w:t>
      </w:r>
    </w:p>
    <w:p xmlns:wp14="http://schemas.microsoft.com/office/word/2010/wordml" w:rsidR="004F592B" w:rsidP="001E3C8B" w:rsidRDefault="004F592B" w14:paraId="31C4B7FD" wp14:textId="77777777">
      <w:pPr>
        <w:pStyle w:val="Akapitzlist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t>średnica przesłony: 5 mm,</w:t>
      </w:r>
    </w:p>
    <w:p xmlns:wp14="http://schemas.microsoft.com/office/word/2010/wordml" w:rsidR="004F592B" w:rsidP="001E3C8B" w:rsidRDefault="004F592B" w14:paraId="344C2C57" wp14:textId="77777777">
      <w:pPr>
        <w:pStyle w:val="Akapitzlist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t xml:space="preserve">napięcie lampy: 50 </w:t>
      </w:r>
      <w:proofErr w:type="spellStart"/>
      <w:r>
        <w:rPr>
          <w:lang w:val="pl-PL"/>
        </w:rPr>
        <w:t>kV</w:t>
      </w:r>
      <w:proofErr w:type="spellEnd"/>
      <w:r>
        <w:rPr>
          <w:lang w:val="pl-PL"/>
        </w:rPr>
        <w:t>,</w:t>
      </w:r>
    </w:p>
    <w:p xmlns:wp14="http://schemas.microsoft.com/office/word/2010/wordml" w:rsidR="004F592B" w:rsidP="001E3C8B" w:rsidRDefault="004F592B" w14:paraId="14E1BCC8" wp14:textId="77777777">
      <w:pPr>
        <w:pStyle w:val="Akapitzlist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t>filtr detektora:</w:t>
      </w:r>
      <w:r w:rsidRPr="004F592B">
        <w:rPr>
          <w:lang w:val="pl-PL"/>
        </w:rPr>
        <w:t xml:space="preserve"> Pb</w:t>
      </w:r>
      <w:r>
        <w:rPr>
          <w:lang w:val="pl-PL"/>
        </w:rPr>
        <w:t>,</w:t>
      </w:r>
    </w:p>
    <w:p xmlns:wp14="http://schemas.microsoft.com/office/word/2010/wordml" w:rsidR="004F592B" w:rsidP="001E3C8B" w:rsidRDefault="004F592B" w14:paraId="5EC205A3" wp14:textId="77777777">
      <w:pPr>
        <w:pStyle w:val="Akapitzlist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t>prąd: auto.</w:t>
      </w:r>
    </w:p>
    <w:p xmlns:wp14="http://schemas.microsoft.com/office/word/2010/wordml" w:rsidR="004F592B" w:rsidP="001E3C8B" w:rsidRDefault="004F592B" w14:paraId="54A48D22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Rozpoczęto pomiar klikając na zieloną ikonkę.</w:t>
      </w:r>
    </w:p>
    <w:p xmlns:wp14="http://schemas.microsoft.com/office/word/2010/wordml" w:rsidR="004F592B" w:rsidP="001E3C8B" w:rsidRDefault="004F592B" w14:paraId="620A7B08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Po zakończeniu pomiaru przystąpiono do identyfikacji pierwiastków odpowiadających poszczególnym pikom promieniowania fluorescencyjnego</w:t>
      </w:r>
      <w:r w:rsidR="00A818D9">
        <w:rPr>
          <w:lang w:val="pl-PL"/>
        </w:rPr>
        <w:t>. W tym celu porównywano otrzymane widmo z naniesionymi na nie liniami teoretycznymi energii promieniowania fluorescencyjnego dla poszczególnych pierwiastków.</w:t>
      </w:r>
      <w:r w:rsidR="001E14A7">
        <w:rPr>
          <w:lang w:val="pl-PL"/>
        </w:rPr>
        <w:t xml:space="preserve"> W każdym pomiarze pojawiają się linie o energiach charakterystycznych dla molibdenu oraz rodu. Z tych materiałów </w:t>
      </w:r>
      <w:r w:rsidR="001E14A7">
        <w:rPr>
          <w:lang w:val="pl-PL"/>
        </w:rPr>
        <w:lastRenderedPageBreak/>
        <w:t>wykonane są przesłona oraz anoda lampy rentgenowskiej, dlatego wykluczamy te pierwiastki.</w:t>
      </w:r>
      <w:r w:rsidR="003C7A4B">
        <w:rPr>
          <w:lang w:val="pl-PL"/>
        </w:rPr>
        <w:t xml:space="preserve"> W widmie zawarte są również piki ucieczki oraz piki pochodzące ze wzbudzeń dwufotonowych.</w:t>
      </w:r>
    </w:p>
    <w:p xmlns:wp14="http://schemas.microsoft.com/office/word/2010/wordml" w:rsidR="003C7A4B" w:rsidP="001E3C8B" w:rsidRDefault="003C7A4B" w14:paraId="79A321FA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Program przełączono na tryb pomiaru ilościo</w:t>
      </w:r>
      <w:r w:rsidR="00050150">
        <w:rPr>
          <w:lang w:val="pl-PL"/>
        </w:rPr>
        <w:t>wego. W oknie ustawień warunków</w:t>
      </w:r>
      <w:r w:rsidR="001448B5">
        <w:rPr>
          <w:lang w:val="pl-PL"/>
        </w:rPr>
        <w:t>,</w:t>
      </w:r>
      <w:r w:rsidR="00050150">
        <w:rPr>
          <w:lang w:val="pl-PL"/>
        </w:rPr>
        <w:t xml:space="preserve"> na podstawie widma uzyskanego w trakcie pomiaru wstępnego, </w:t>
      </w:r>
      <w:r>
        <w:rPr>
          <w:lang w:val="pl-PL"/>
        </w:rPr>
        <w:t xml:space="preserve"> określono  </w:t>
      </w:r>
      <w:r w:rsidR="00BC2888">
        <w:rPr>
          <w:lang w:val="pl-PL"/>
        </w:rPr>
        <w:t>pierwiastki, których ilość ma zostać zmierzona. W oknie ustawień warunków pomiaru ustawiono czas pomiaru na wartość 5 minut.</w:t>
      </w:r>
    </w:p>
    <w:p xmlns:wp14="http://schemas.microsoft.com/office/word/2010/wordml" w:rsidR="00534219" w:rsidP="001E3C8B" w:rsidRDefault="00534219" w14:paraId="18A0C276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Uruchomiono pomiar ilościowy.</w:t>
      </w:r>
    </w:p>
    <w:p xmlns:wp14="http://schemas.microsoft.com/office/word/2010/wordml" w:rsidR="00534219" w:rsidP="001E3C8B" w:rsidRDefault="00534219" w14:paraId="404FC5D7" wp14:textId="77777777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Po skończonym pomiarze program oblicza zawartość procentową wskazanych pierwiastków.</w:t>
      </w:r>
    </w:p>
    <w:p xmlns:wp14="http://schemas.microsoft.com/office/word/2010/wordml" w:rsidR="003F1BF0" w:rsidP="001E3C8B" w:rsidRDefault="003F1BF0" w14:paraId="612A1312" wp14:textId="77777777">
      <w:pPr>
        <w:jc w:val="both"/>
        <w:rPr>
          <w:lang w:val="pl-PL"/>
        </w:rPr>
      </w:pPr>
      <w:r>
        <w:rPr>
          <w:lang w:val="pl-PL"/>
        </w:rPr>
        <w:t>W trakcie ćwiczenia dokonano pomiaru składu chemicznego trzech materiałów:</w:t>
      </w:r>
      <w:r w:rsidR="001E3C8B">
        <w:rPr>
          <w:lang w:val="pl-PL"/>
        </w:rPr>
        <w:t xml:space="preserve"> k</w:t>
      </w:r>
      <w:r>
        <w:rPr>
          <w:lang w:val="pl-PL"/>
        </w:rPr>
        <w:t xml:space="preserve">olekcjonerskiej monety dwuzłotowej, </w:t>
      </w:r>
      <w:r w:rsidR="001E3C8B">
        <w:rPr>
          <w:lang w:val="pl-PL"/>
        </w:rPr>
        <w:t xml:space="preserve"> </w:t>
      </w:r>
      <w:r>
        <w:rPr>
          <w:lang w:val="pl-PL"/>
        </w:rPr>
        <w:t>skały o rudym zabarwieniu oraz stopu Wooda.</w:t>
      </w:r>
      <w:r w:rsidR="001E3C8B">
        <w:rPr>
          <w:lang w:val="pl-PL"/>
        </w:rPr>
        <w:t xml:space="preserve"> Wyniki pomiarów wstępnych i ilościowych przedstawiają poniższe rysunki.</w:t>
      </w:r>
    </w:p>
    <w:p xmlns:wp14="http://schemas.microsoft.com/office/word/2010/wordml" w:rsidR="001E3C8B" w:rsidP="001E3C8B" w:rsidRDefault="001E3C8B" w14:paraId="11771CEB" wp14:textId="77777777">
      <w:pPr>
        <w:jc w:val="both"/>
        <w:rPr>
          <w:lang w:val="pl-PL"/>
        </w:rPr>
      </w:pPr>
    </w:p>
    <w:p xmlns:wp14="http://schemas.microsoft.com/office/word/2010/wordml" w:rsidR="001E3C8B" w:rsidP="001E3C8B" w:rsidRDefault="001E3C8B" w14:paraId="42B303B2" wp14:textId="77777777">
      <w:pPr>
        <w:pStyle w:val="PodpisTabeliRysunku"/>
      </w:pPr>
      <w:r>
        <w:rPr>
          <w:noProof/>
          <w:lang w:eastAsia="pl-PL" w:bidi="ar-SA"/>
        </w:rPr>
        <w:lastRenderedPageBreak/>
        <w:drawing>
          <wp:inline xmlns:wp14="http://schemas.microsoft.com/office/word/2010/wordprocessingDrawing" distT="0" distB="0" distL="0" distR="0" wp14:anchorId="0E15F7F5" wp14:editId="7777777">
            <wp:extent cx="5428849" cy="6246413"/>
            <wp:effectExtent l="19050" t="0" r="401" b="0"/>
            <wp:docPr id="1" name="Obraz 1" descr="D:\Semestr V\LabFCS\Lab1 - XRF\ScreenyMaciek\mon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r V\LabFCS\Lab1 - XRF\ScreenyMaciek\mone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91" cy="626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E3C8B" w:rsidP="001E3C8B" w:rsidRDefault="001E3C8B" w14:paraId="58BFD55A" wp14:textId="77777777">
      <w:pPr>
        <w:pStyle w:val="PodpisTabeliRysunku"/>
      </w:pPr>
      <w:r>
        <w:t>Rys. 1a. Wynik pomiaru wstępnego dla monety - widmo promieniowania fluorescencyjnego.</w:t>
      </w:r>
    </w:p>
    <w:p xmlns:wp14="http://schemas.microsoft.com/office/word/2010/wordml" w:rsidR="00121C22" w:rsidP="001E3C8B" w:rsidRDefault="00121C22" w14:paraId="7E500FC3" wp14:textId="77777777">
      <w:pPr>
        <w:pStyle w:val="PodpisTabeliRysunku"/>
      </w:pPr>
    </w:p>
    <w:p xmlns:wp14="http://schemas.microsoft.com/office/word/2010/wordml" w:rsidR="001E3C8B" w:rsidP="001E3C8B" w:rsidRDefault="001E3C8B" w14:paraId="08F96BA0" wp14:textId="77777777">
      <w:pPr>
        <w:rPr>
          <w:lang w:val="pl-PL"/>
        </w:rPr>
      </w:pPr>
      <w:r w:rsidRPr="001E3C8B">
        <w:rPr>
          <w:lang w:val="pl-PL"/>
        </w:rPr>
        <w:t xml:space="preserve">Do ilościowego pomiaru </w:t>
      </w:r>
      <w:r w:rsidR="00050150">
        <w:rPr>
          <w:lang w:val="pl-PL"/>
        </w:rPr>
        <w:t>wyznaczono pierwiastki</w:t>
      </w:r>
      <w:r w:rsidR="00A70BAD">
        <w:rPr>
          <w:lang w:val="pl-PL"/>
        </w:rPr>
        <w:t xml:space="preserve"> Cu, Fe, Sn oraz Zn.</w:t>
      </w:r>
    </w:p>
    <w:p xmlns:wp14="http://schemas.microsoft.com/office/word/2010/wordml" w:rsidR="001E3C8B" w:rsidP="001E3C8B" w:rsidRDefault="001E3C8B" w14:paraId="7ECACCED" wp14:textId="77777777">
      <w:pPr>
        <w:pStyle w:val="PodpisTabeliRysunku"/>
      </w:pPr>
      <w:r>
        <w:rPr>
          <w:noProof/>
          <w:lang w:eastAsia="pl-PL" w:bidi="ar-SA"/>
        </w:rPr>
        <w:drawing>
          <wp:inline xmlns:wp14="http://schemas.microsoft.com/office/word/2010/wordprocessingDrawing" distT="0" distB="0" distL="0" distR="0" wp14:anchorId="25F1E1AA" wp14:editId="7777777">
            <wp:extent cx="5342255" cy="712470"/>
            <wp:effectExtent l="19050" t="0" r="0" b="0"/>
            <wp:docPr id="2" name="Obraz 2" descr="D:\Semestr V\LabFCS\Lab1 - XRF\ScreenyMaciek\moneta_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r V\LabFCS\Lab1 - XRF\ScreenyMaciek\moneta_tabel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E3C8B" w:rsidP="001E3C8B" w:rsidRDefault="001E3C8B" w14:paraId="6A6BCA2C" wp14:textId="77777777">
      <w:pPr>
        <w:pStyle w:val="PodpisTabeliRysunku"/>
      </w:pPr>
      <w:r>
        <w:t xml:space="preserve">Rys. </w:t>
      </w:r>
      <w:r w:rsidR="00A70BAD">
        <w:t>1b</w:t>
      </w:r>
      <w:r>
        <w:t>. Wynik pomiaru ilościowego dla monety</w:t>
      </w:r>
      <w:r w:rsidR="00050150">
        <w:t xml:space="preserve"> – masowa zawartość procentowa pierwiastków.</w:t>
      </w:r>
    </w:p>
    <w:p xmlns:wp14="http://schemas.microsoft.com/office/word/2010/wordml" w:rsidR="00A70BAD" w:rsidP="00A70BAD" w:rsidRDefault="00A70BAD" w14:paraId="3121AA6C" wp14:textId="77777777"/>
    <w:p xmlns:wp14="http://schemas.microsoft.com/office/word/2010/wordml" w:rsidR="00A70BAD" w:rsidP="00A70BAD" w:rsidRDefault="00A70BAD" w14:paraId="47F84167" wp14:textId="77777777">
      <w:pPr>
        <w:pStyle w:val="PodpisTabeliRysunku"/>
      </w:pPr>
      <w:r>
        <w:rPr>
          <w:noProof/>
          <w:lang w:eastAsia="pl-PL" w:bidi="ar-SA"/>
        </w:rPr>
        <w:lastRenderedPageBreak/>
        <w:drawing>
          <wp:inline xmlns:wp14="http://schemas.microsoft.com/office/word/2010/wordprocessingDrawing" distT="0" distB="0" distL="0" distR="0" wp14:anchorId="5DC4FDC1" wp14:editId="7777777">
            <wp:extent cx="5755640" cy="6708775"/>
            <wp:effectExtent l="19050" t="0" r="0" b="0"/>
            <wp:docPr id="3" name="Obraz 3" descr="D:\Semestr V\LabFCS\Lab1 - XRF\ScreenyMaciek\kam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r V\LabFCS\Lab1 - XRF\ScreenyMaciek\kami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70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70BAD" w:rsidP="00A70BAD" w:rsidRDefault="00A70BAD" w14:paraId="461416B3" wp14:textId="77777777">
      <w:pPr>
        <w:pStyle w:val="PodpisTabeliRysunku"/>
      </w:pPr>
      <w:r>
        <w:t>Rys. 2a. Wynik pomiaru wstępnego dla skały - widmo promieniowania fluorescencyjnego.</w:t>
      </w:r>
    </w:p>
    <w:p xmlns:wp14="http://schemas.microsoft.com/office/word/2010/wordml" w:rsidR="00121C22" w:rsidP="00A70BAD" w:rsidRDefault="00121C22" w14:paraId="7F6959B0" wp14:textId="77777777">
      <w:pPr>
        <w:pStyle w:val="PodpisTabeliRysunku"/>
      </w:pPr>
    </w:p>
    <w:p xmlns:wp14="http://schemas.microsoft.com/office/word/2010/wordml" w:rsidR="00A70BAD" w:rsidP="00121C22" w:rsidRDefault="00A70BAD" w14:paraId="7BC9B328" wp14:textId="77777777">
      <w:pPr>
        <w:rPr>
          <w:lang w:val="pl-PL"/>
        </w:rPr>
      </w:pPr>
      <w:r w:rsidRPr="00A70BAD">
        <w:rPr>
          <w:lang w:val="pl-PL"/>
        </w:rPr>
        <w:t>Do ilościowego pomiaru wyznaczono pierwiastki</w:t>
      </w:r>
      <w:r>
        <w:rPr>
          <w:lang w:val="pl-PL"/>
        </w:rPr>
        <w:t xml:space="preserve"> Fe, Zn, Bi, Pb oraz Ti.</w:t>
      </w:r>
    </w:p>
    <w:p xmlns:wp14="http://schemas.microsoft.com/office/word/2010/wordml" w:rsidR="00A70BAD" w:rsidP="00A70BAD" w:rsidRDefault="00A70BAD" w14:paraId="3067A42A" wp14:textId="77777777">
      <w:pPr>
        <w:pStyle w:val="PodpisTabeliRysunku"/>
      </w:pPr>
      <w:r>
        <w:rPr>
          <w:noProof/>
          <w:lang w:eastAsia="pl-PL" w:bidi="ar-SA"/>
        </w:rPr>
        <w:drawing>
          <wp:inline xmlns:wp14="http://schemas.microsoft.com/office/word/2010/wordprocessingDrawing" distT="0" distB="0" distL="0" distR="0" wp14:anchorId="575F960E" wp14:editId="7777777">
            <wp:extent cx="5370830" cy="837565"/>
            <wp:effectExtent l="19050" t="0" r="1270" b="0"/>
            <wp:docPr id="4" name="Obraz 4" descr="D:\Semestr V\LabFCS\Lab1 - XRF\ScreenyMaciek\kamien_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r V\LabFCS\Lab1 - XRF\ScreenyMaciek\kamien_tabel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70BAD" w:rsidP="00A70BAD" w:rsidRDefault="00A70BAD" w14:paraId="445FE591" wp14:textId="77777777">
      <w:pPr>
        <w:pStyle w:val="PodpisTabeliRysunku"/>
      </w:pPr>
      <w:r>
        <w:t>Rys. 2b. Wynik pomiaru ilościowego dla skały – masowa zawartość procentowa pierwiastków.</w:t>
      </w:r>
    </w:p>
    <w:p xmlns:wp14="http://schemas.microsoft.com/office/word/2010/wordml" w:rsidR="00A70BAD" w:rsidP="00A70BAD" w:rsidRDefault="00A70BAD" w14:paraId="5ED9E519" wp14:textId="77777777"/>
    <w:p xmlns:wp14="http://schemas.microsoft.com/office/word/2010/wordml" w:rsidR="00A70BAD" w:rsidP="00A70BAD" w:rsidRDefault="00A70BAD" w14:paraId="1D542657" wp14:textId="77777777">
      <w:pPr>
        <w:pStyle w:val="PodpisTabeliRysunku"/>
      </w:pPr>
      <w:r>
        <w:rPr>
          <w:noProof/>
          <w:lang w:eastAsia="pl-PL" w:bidi="ar-SA"/>
        </w:rPr>
        <w:lastRenderedPageBreak/>
        <w:drawing>
          <wp:inline xmlns:wp14="http://schemas.microsoft.com/office/word/2010/wordprocessingDrawing" distT="0" distB="0" distL="0" distR="0" wp14:anchorId="5FD7CC69" wp14:editId="7777777">
            <wp:extent cx="5755640" cy="6141085"/>
            <wp:effectExtent l="19050" t="0" r="0" b="0"/>
            <wp:docPr id="5" name="Obraz 5" descr="D:\Semestr V\LabFCS\Lab1 - XRF\ScreenyMaciek\w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r V\LabFCS\Lab1 - XRF\ScreenyMaciek\woo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14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70BAD" w:rsidP="00A70BAD" w:rsidRDefault="00A70BAD" w14:paraId="7ABC9ED8" wp14:textId="77777777">
      <w:pPr>
        <w:pStyle w:val="PodpisTabeliRysunku"/>
      </w:pPr>
      <w:r>
        <w:t>Rys. 3a. Wynik pomiaru wstępnego dla stopu Wooda - widmo promieniowania fluorescencyjnego.</w:t>
      </w:r>
    </w:p>
    <w:p xmlns:wp14="http://schemas.microsoft.com/office/word/2010/wordml" w:rsidR="00121C22" w:rsidP="00A70BAD" w:rsidRDefault="00121C22" w14:paraId="74584EC4" wp14:textId="77777777">
      <w:pPr>
        <w:pStyle w:val="PodpisTabeliRysunku"/>
      </w:pPr>
    </w:p>
    <w:p xmlns:wp14="http://schemas.microsoft.com/office/word/2010/wordml" w:rsidR="00A70BAD" w:rsidP="00121C22" w:rsidRDefault="00A70BAD" w14:paraId="31CAA257" wp14:textId="77777777">
      <w:pPr>
        <w:rPr>
          <w:lang w:val="pl-PL"/>
        </w:rPr>
      </w:pPr>
      <w:r w:rsidRPr="00A70BAD">
        <w:rPr>
          <w:lang w:val="pl-PL"/>
        </w:rPr>
        <w:t xml:space="preserve">Do ilościowego pomiaru wyznaczono </w:t>
      </w:r>
      <w:r>
        <w:rPr>
          <w:lang w:val="pl-PL"/>
        </w:rPr>
        <w:t>pierwiastki Bi, Pb, Cd oraz Sn.</w:t>
      </w:r>
    </w:p>
    <w:p xmlns:wp14="http://schemas.microsoft.com/office/word/2010/wordml" w:rsidR="00A70BAD" w:rsidP="00A70BAD" w:rsidRDefault="00A70BAD" w14:paraId="5A199805" wp14:textId="77777777">
      <w:pPr>
        <w:pStyle w:val="PodpisTabeliRysunku"/>
      </w:pPr>
      <w:r>
        <w:rPr>
          <w:noProof/>
          <w:lang w:eastAsia="pl-PL" w:bidi="ar-SA"/>
        </w:rPr>
        <w:drawing>
          <wp:inline xmlns:wp14="http://schemas.microsoft.com/office/word/2010/wordprocessingDrawing" distT="0" distB="0" distL="0" distR="0" wp14:anchorId="31A0A72C" wp14:editId="7777777">
            <wp:extent cx="5332095" cy="692785"/>
            <wp:effectExtent l="19050" t="0" r="1905" b="0"/>
            <wp:docPr id="6" name="Obraz 6" descr="D:\Semestr V\LabFCS\Lab1 - XRF\ScreenyMaciek\wood_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r V\LabFCS\Lab1 - XRF\ScreenyMaciek\wood_tabel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70BAD" w:rsidR="00A70BAD" w:rsidP="00A70BAD" w:rsidRDefault="00A70BAD" w14:paraId="0E822680" wp14:noSpellErr="1" wp14:textId="399F9507">
      <w:pPr>
        <w:pStyle w:val="PodpisTabeliRysunku"/>
      </w:pPr>
      <w:r w:rsidR="1B4AFA4E">
        <w:rPr/>
        <w:t xml:space="preserve">Rys. 3b. Wynik pomiaru ilościowego dla </w:t>
      </w:r>
      <w:r w:rsidRPr="1B4AFA4E" w:rsidR="1B4AFA4E">
        <w:rPr>
          <w:rFonts w:ascii="Cambria" w:hAnsi="Cambria" w:eastAsia="Cambria" w:cs="Cambria"/>
        </w:rPr>
        <w:t xml:space="preserve">stopu Wooda </w:t>
      </w:r>
      <w:r w:rsidR="1B4AFA4E">
        <w:rPr/>
        <w:t>– masowa zawartość procentowa pierwiastków.</w:t>
      </w:r>
    </w:p>
    <w:p xmlns:wp14="http://schemas.microsoft.com/office/word/2010/wordml" w:rsidR="00D90173" w:rsidP="00D90173" w:rsidRDefault="00D90173" w14:paraId="04E95D40" wp14:textId="77777777">
      <w:pPr>
        <w:pStyle w:val="Nagwek2"/>
        <w:numPr>
          <w:ilvl w:val="0"/>
          <w:numId w:val="1"/>
        </w:numPr>
        <w:rPr>
          <w:lang w:val="pl-PL"/>
        </w:rPr>
      </w:pPr>
      <w:r w:rsidRPr="1B4AFA4E" w:rsidR="1B4AFA4E">
        <w:rPr>
          <w:lang w:val="pl-PL"/>
        </w:rPr>
        <w:t>Podsumowanie i wnioski.</w:t>
      </w:r>
    </w:p>
    <w:p w:rsidR="1B4AFA4E" w:rsidP="1B4AFA4E" w:rsidRDefault="1B4AFA4E" w14:paraId="3E17FC7E" w14:textId="33933805">
      <w:pPr>
        <w:pStyle w:val="Akapitzlist"/>
        <w:numPr>
          <w:ilvl w:val="0"/>
          <w:numId w:val="7"/>
        </w:numPr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1B4AFA4E" w:rsidR="1B4AFA4E">
        <w:rPr>
          <w:rFonts w:ascii="Cambria" w:hAnsi="Cambria" w:eastAsia="Cambria" w:cs="Cambria"/>
          <w:sz w:val="22"/>
          <w:szCs w:val="22"/>
        </w:rPr>
        <w:t xml:space="preserve">Moneta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kolekcjonerska</w:t>
      </w:r>
      <w:proofErr w:type="spellEnd"/>
    </w:p>
    <w:p w:rsidR="1B4AFA4E" w:rsidP="1B4AFA4E" w:rsidRDefault="1B4AFA4E" w14:paraId="4C12B27A" w14:textId="7161A265">
      <w:pPr>
        <w:pStyle w:val="Normalny"/>
        <w:ind w:firstLine="708"/>
      </w:pPr>
      <w:r w:rsidRPr="1B4AFA4E" w:rsidR="1B4AFA4E">
        <w:rPr>
          <w:rFonts w:ascii="Cambria" w:hAnsi="Cambria" w:eastAsia="Cambria" w:cs="Cambria"/>
          <w:sz w:val="22"/>
          <w:szCs w:val="22"/>
        </w:rPr>
        <w:t xml:space="preserve">Na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widmie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fluorescencyjnym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zaobserwowano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występowanie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pików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charakterystycznych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dla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miedzi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(Cu),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żelaza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(Fe),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cyny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(Sn)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oraz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cynku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(Zn). Z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analizy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jakościowej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można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wywnioskować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badany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przedmiot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zawiera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najwięcej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miedzi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ponieważ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piki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charakterystyczne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dla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miedzi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są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najbardziej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intensywne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.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Zostało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to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potwierdzone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w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analizie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ilościowej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gdzie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zawartość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miedzi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jjest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szacowana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93,59(15)%. </w:t>
      </w:r>
    </w:p>
    <w:p w:rsidR="1B4AFA4E" w:rsidP="1B4AFA4E" w:rsidRDefault="1B4AFA4E" w14:paraId="78C3DDA3" w14:textId="71636D53">
      <w:pPr>
        <w:pStyle w:val="Akapitzlist"/>
        <w:numPr>
          <w:ilvl w:val="0"/>
          <w:numId w:val="9"/>
        </w:numPr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Skała</w:t>
      </w:r>
      <w:proofErr w:type="spellEnd"/>
    </w:p>
    <w:p w:rsidR="1B4AFA4E" w:rsidP="1B4AFA4E" w:rsidRDefault="1B4AFA4E" w14:paraId="3AB8D534" w14:textId="05CCA71E">
      <w:pPr>
        <w:pStyle w:val="Normalny"/>
        <w:ind w:firstLine="708"/>
      </w:pP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Badany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materiał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ma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bardzo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złożone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widmo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fluorescencyjn</w:t>
      </w:r>
      <w:r w:rsidRPr="1B4AFA4E" w:rsidR="1B4AFA4E">
        <w:rPr>
          <w:rFonts w:ascii="Cambria" w:hAnsi="Cambria" w:eastAsia="Cambria" w:cs="Cambria"/>
          <w:sz w:val="22"/>
          <w:szCs w:val="22"/>
        </w:rPr>
        <w:t>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co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utrudniło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dokładne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stwierdzenie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jego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składu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podstawie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widma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.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Piki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charakterystyczne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bizmutu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(Bi)</w:t>
      </w:r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oraz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ołowiu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r w:rsidRPr="1B4AFA4E" w:rsidR="1B4AFA4E">
        <w:rPr>
          <w:rFonts w:ascii="Cambria" w:hAnsi="Cambria" w:eastAsia="Cambria" w:cs="Cambria"/>
          <w:sz w:val="22"/>
          <w:szCs w:val="22"/>
        </w:rPr>
        <w:t>(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Pb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>)</w:t>
      </w:r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najdokładnej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opisywały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otrzymane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widmo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.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Stwierdzono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również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żelazo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(Fe),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cynk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(Zn)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oraz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tytan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r w:rsidRPr="1B4AFA4E" w:rsidR="1B4AFA4E">
        <w:rPr>
          <w:rFonts w:ascii="Cambria" w:hAnsi="Cambria" w:eastAsia="Cambria" w:cs="Cambria"/>
          <w:sz w:val="22"/>
          <w:szCs w:val="22"/>
        </w:rPr>
        <w:t>(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Ti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)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uzupełniają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brakujące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części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widma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.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Przeprowadzono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dwie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próby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analizy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ilościowej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ponieważ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pierwsza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zakończyła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się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niepowodzeniem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. Druga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próba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pokazała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żelazo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jest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głównym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składnikiem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badanego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materiału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tytan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występuje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>.</w:t>
      </w:r>
    </w:p>
    <w:p w:rsidR="1B4AFA4E" w:rsidP="1B4AFA4E" w:rsidRDefault="1B4AFA4E" w14:paraId="1C1F4FE2" w14:textId="36AC7479">
      <w:pPr>
        <w:pStyle w:val="Akapitzlist"/>
        <w:numPr>
          <w:ilvl w:val="0"/>
          <w:numId w:val="11"/>
        </w:numPr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1B4AFA4E" w:rsidR="1B4AFA4E">
        <w:rPr>
          <w:rFonts w:ascii="Cambria" w:hAnsi="Cambria" w:eastAsia="Cambria" w:cs="Cambria"/>
          <w:sz w:val="22"/>
          <w:szCs w:val="22"/>
        </w:rPr>
        <w:t xml:space="preserve">Stop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Wooda</w:t>
      </w:r>
      <w:proofErr w:type="spellEnd"/>
    </w:p>
    <w:p w:rsidR="1B4AFA4E" w:rsidP="1B4AFA4E" w:rsidRDefault="1B4AFA4E" w14:paraId="4488D72C" w14:textId="06E355C0">
      <w:pPr>
        <w:pStyle w:val="Normalny"/>
        <w:ind w:left="0"/>
      </w:pPr>
      <w:r w:rsidRPr="1B4AFA4E" w:rsidR="1B4AFA4E">
        <w:rPr>
          <w:rFonts w:ascii="Cambria" w:hAnsi="Cambria" w:eastAsia="Cambria" w:cs="Cambria"/>
          <w:sz w:val="22"/>
          <w:szCs w:val="22"/>
        </w:rPr>
        <w:t xml:space="preserve">Na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podstawie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analizy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jakościowej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stwierdzono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piki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charakterystyczne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dla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bizmutu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r w:rsidRPr="1B4AFA4E" w:rsidR="1B4AFA4E">
        <w:rPr>
          <w:rFonts w:ascii="Cambria" w:hAnsi="Cambria" w:eastAsia="Cambria" w:cs="Cambria"/>
          <w:sz w:val="22"/>
          <w:szCs w:val="22"/>
        </w:rPr>
        <w:t xml:space="preserve">(Bi), 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ołowiu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Pb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),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kadmu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(Cr)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oraz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cyny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(Sn)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najdokładniej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odzwierciedlają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widmo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fluorescencyjne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badanego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materiału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. 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Analiza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ilościowa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pokazała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bizmutu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jest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najwięcej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kadmu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najmniej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. </w:t>
      </w:r>
    </w:p>
    <w:p w:rsidR="1B4AFA4E" w:rsidP="1B4AFA4E" w:rsidRDefault="1B4AFA4E" w14:paraId="6DE391DA" w14:textId="52C0551F">
      <w:pPr>
        <w:pStyle w:val="Normalny"/>
        <w:ind w:left="0"/>
      </w:pPr>
      <w:r w:rsidRPr="1B4AFA4E" w:rsidR="1B4AFA4E">
        <w:rPr>
          <w:rFonts w:ascii="Cambria" w:hAnsi="Cambria" w:eastAsia="Cambria" w:cs="Cambria"/>
          <w:sz w:val="22"/>
          <w:szCs w:val="22"/>
        </w:rPr>
        <w:t xml:space="preserve">Na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podstawie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przeprowadzonych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doświadczeń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można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stwierdzić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, </w:t>
      </w:r>
      <w:proofErr w:type="spellStart"/>
      <w:r w:rsidRPr="1B4AFA4E" w:rsidR="1B4AFA4E">
        <w:rPr>
          <w:rFonts w:ascii="Cambria" w:hAnsi="Cambria" w:eastAsia="Cambria" w:cs="Cambria"/>
          <w:sz w:val="22"/>
          <w:szCs w:val="22"/>
        </w:rPr>
        <w:t>że</w:t>
      </w:r>
      <w:proofErr w:type="spellEnd"/>
      <w:r w:rsidRPr="1B4AFA4E" w:rsidR="1B4AFA4E">
        <w:rPr>
          <w:rFonts w:ascii="Cambria" w:hAnsi="Cambria" w:eastAsia="Cambria" w:cs="Cambria"/>
          <w:sz w:val="22"/>
          <w:szCs w:val="22"/>
        </w:rPr>
        <w:t xml:space="preserve"> s</w:t>
      </w:r>
      <w:proofErr w:type="spellStart"/>
      <w:r w:rsidRPr="1B4AFA4E" w:rsidR="1B4AFA4E">
        <w:rPr>
          <w:lang w:val="pl-PL"/>
        </w:rPr>
        <w:t>pektroskopia</w:t>
      </w:r>
      <w:proofErr w:type="spellEnd"/>
      <w:r w:rsidRPr="1B4AFA4E" w:rsidR="1B4AFA4E">
        <w:rPr>
          <w:lang w:val="pl-PL"/>
        </w:rPr>
        <w:t xml:space="preserve"> fluorescencji rentgenowskiej (XRF)</w:t>
      </w:r>
      <w:r w:rsidRPr="1B4AFA4E" w:rsidR="1B4AFA4E">
        <w:rPr>
          <w:lang w:val="pl-PL"/>
        </w:rPr>
        <w:t xml:space="preserve"> jest dobrym i prostym sposobem na określenie składu chemicznego materiałów.</w:t>
      </w:r>
    </w:p>
    <w:p xmlns:wp14="http://schemas.microsoft.com/office/word/2010/wordml" w:rsidR="009C70B3" w:rsidP="009C70B3" w:rsidRDefault="009C70B3" w14:paraId="614F0CFA" wp14:textId="77777777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Bibliografia.</w:t>
      </w:r>
    </w:p>
    <w:p xmlns:wp14="http://schemas.microsoft.com/office/word/2010/wordml" w:rsidRPr="005A5150" w:rsidR="009C70B3" w:rsidP="009C70B3" w:rsidRDefault="009C70B3" w14:paraId="712B686A" wp14:textId="77777777">
      <w:pPr>
        <w:rPr>
          <w:lang w:val="pl-PL"/>
        </w:rPr>
      </w:pPr>
      <w:r>
        <w:rPr>
          <w:vertAlign w:val="superscript"/>
          <w:lang w:val="pl-PL"/>
        </w:rPr>
        <w:lastRenderedPageBreak/>
        <w:t>[1]</w:t>
      </w:r>
      <w:r>
        <w:rPr>
          <w:lang w:val="pl-PL"/>
        </w:rPr>
        <w:t>Laboratorium fizyki fazy skondensowanej  - skrypt.</w:t>
      </w:r>
    </w:p>
    <w:p xmlns:wp14="http://schemas.microsoft.com/office/word/2010/wordml" w:rsidRPr="005A5150" w:rsidR="009C70B3" w:rsidP="009C70B3" w:rsidRDefault="009C70B3" w14:paraId="7A252574" wp14:textId="77777777">
      <w:r w:rsidRPr="005A5150">
        <w:rPr>
          <w:vertAlign w:val="superscript"/>
        </w:rPr>
        <w:t>[2]</w:t>
      </w:r>
      <w:r w:rsidRPr="005A5150">
        <w:t xml:space="preserve"> </w:t>
      </w:r>
      <w:hyperlink w:history="1" r:id="rId11">
        <w:r w:rsidRPr="005A5150">
          <w:rPr>
            <w:rStyle w:val="Hipercze"/>
          </w:rPr>
          <w:t>http://www.radiologia24.pl/oddzialywanie_materii_z_promieniowaniem_x.htm</w:t>
        </w:r>
      </w:hyperlink>
      <w:r w:rsidRPr="005A5150">
        <w:t>; data: 01.11.15 10:17</w:t>
      </w:r>
    </w:p>
    <w:p xmlns:wp14="http://schemas.microsoft.com/office/word/2010/wordml" w:rsidRPr="005A5150" w:rsidR="009C70B3" w:rsidP="009C70B3" w:rsidRDefault="009C70B3" w14:paraId="7BF62BB9" wp14:textId="77777777">
      <w:r>
        <w:rPr>
          <w:vertAlign w:val="superscript"/>
        </w:rPr>
        <w:t>[3]</w:t>
      </w:r>
      <w:r w:rsidRPr="005A5150">
        <w:t xml:space="preserve"> http://korek.uci.agh.edu.pl/priv/Materialy/XRF.pdf</w:t>
      </w:r>
      <w:r>
        <w:t xml:space="preserve">;  </w:t>
      </w:r>
      <w:r w:rsidRPr="005A5150">
        <w:t>data: 01.11.15 10:17</w:t>
      </w:r>
    </w:p>
    <w:p xmlns:wp14="http://schemas.microsoft.com/office/word/2010/wordml" w:rsidRPr="009C70B3" w:rsidR="009C70B3" w:rsidP="009C70B3" w:rsidRDefault="009C70B3" w14:paraId="3F7F106C" wp14:textId="77777777">
      <w:pPr>
        <w:rPr>
          <w:lang w:val="pl-PL"/>
        </w:rPr>
      </w:pPr>
    </w:p>
    <w:sectPr w:rsidRPr="009C70B3" w:rsidR="009C70B3" w:rsidSect="0014739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264D38"/>
    <w:multiLevelType w:val="hybridMultilevel"/>
    <w:tmpl w:val="C12E7FCC"/>
    <w:lvl w:ilvl="0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37AEE"/>
    <w:multiLevelType w:val="hybridMultilevel"/>
    <w:tmpl w:val="AA3407A4"/>
    <w:lvl w:ilvl="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925F5"/>
    <w:multiLevelType w:val="hybridMultilevel"/>
    <w:tmpl w:val="D2AA478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ADD2018"/>
    <w:multiLevelType w:val="hybridMultilevel"/>
    <w:tmpl w:val="D6D43FDA"/>
    <w:lvl w:ilvl="0">
      <w:start w:val="1"/>
      <w:numFmt w:val="decimal"/>
      <w:lvlText w:val="%1."/>
      <w:lvlJc w:val="right"/>
      <w:pPr>
        <w:ind w:left="720" w:hanging="360"/>
      </w:pPr>
      <w:rPr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816FC"/>
    <w:multiLevelType w:val="hybridMultilevel"/>
    <w:tmpl w:val="16D09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9"/>
  <w:proofState w:spelling="clean" w:grammar="dirty"/>
  <w:defaultTabStop w:val="708"/>
  <w:hyphenationZone w:val="425"/>
  <w:characterSpacingControl w:val="doNotCompress"/>
  <w:compat>
    <w:useFELayout/>
  </w:compat>
  <w:rsids>
    <w:rsidRoot w:val="00D90173"/>
    <w:rsid w:val="00050150"/>
    <w:rsid w:val="00081AB3"/>
    <w:rsid w:val="000B27C4"/>
    <w:rsid w:val="000F1CBF"/>
    <w:rsid w:val="00121C22"/>
    <w:rsid w:val="001448B5"/>
    <w:rsid w:val="0014739A"/>
    <w:rsid w:val="001E14A7"/>
    <w:rsid w:val="001E3C8B"/>
    <w:rsid w:val="002A63F4"/>
    <w:rsid w:val="002E5CA8"/>
    <w:rsid w:val="002F133E"/>
    <w:rsid w:val="002F3A25"/>
    <w:rsid w:val="003C7A4B"/>
    <w:rsid w:val="003F1BF0"/>
    <w:rsid w:val="00402A0D"/>
    <w:rsid w:val="004237CA"/>
    <w:rsid w:val="00454714"/>
    <w:rsid w:val="00480283"/>
    <w:rsid w:val="004A278B"/>
    <w:rsid w:val="004D6874"/>
    <w:rsid w:val="004F592B"/>
    <w:rsid w:val="00517AC3"/>
    <w:rsid w:val="00531868"/>
    <w:rsid w:val="00534219"/>
    <w:rsid w:val="005F4288"/>
    <w:rsid w:val="0060337B"/>
    <w:rsid w:val="00690682"/>
    <w:rsid w:val="00733A7F"/>
    <w:rsid w:val="007519CD"/>
    <w:rsid w:val="007B223C"/>
    <w:rsid w:val="007C3838"/>
    <w:rsid w:val="007D196C"/>
    <w:rsid w:val="007E0F90"/>
    <w:rsid w:val="008C25C7"/>
    <w:rsid w:val="00907AF5"/>
    <w:rsid w:val="00973285"/>
    <w:rsid w:val="009C70B3"/>
    <w:rsid w:val="00A2069E"/>
    <w:rsid w:val="00A3182C"/>
    <w:rsid w:val="00A70BAD"/>
    <w:rsid w:val="00A818D9"/>
    <w:rsid w:val="00AB2183"/>
    <w:rsid w:val="00BC2888"/>
    <w:rsid w:val="00BE5981"/>
    <w:rsid w:val="00C15243"/>
    <w:rsid w:val="00C7009A"/>
    <w:rsid w:val="00D90173"/>
    <w:rsid w:val="00D93F12"/>
    <w:rsid w:val="00ED7CD2"/>
    <w:rsid w:val="1B4AF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D89603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styleId="Nagwek2Znak" w:customStyle="1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styleId="TytuZnak" w:customStyle="1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styleId="CytatZnak" w:customStyle="1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color="auto" w:sz="4" w:space="10"/>
        <w:bottom w:val="single" w:color="auto" w:sz="4" w:space="10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styleId="BezodstpwZnak" w:customStyle="1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styleId="PodpisTabeliRysunku" w:customStyle="1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styleId="PodpisTabeliRysunkuZnak" w:customStyle="1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styleId="Wzr" w:customStyle="1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styleId="WzrZnak" w:customStyle="1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9C70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://www.radiologia24.pl/oddzialywanie_materii_z_promieniowaniem_x.htm" TargetMode="Externa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Radek</dc:creator>
  <lastModifiedBy>Sebastian Kubalski</lastModifiedBy>
  <revision>4</revision>
  <dcterms:created xsi:type="dcterms:W3CDTF">2015-11-01T09:40:00.0000000Z</dcterms:created>
  <dcterms:modified xsi:type="dcterms:W3CDTF">2015-11-04T23:32:21.0245838Z</dcterms:modified>
</coreProperties>
</file>