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0"/>
          <w:szCs w:val="40"/>
        </w:rPr>
        <w:t xml:space="preserve">Tech-Logistics — Tutor Socrático de Investigación Operativa</w:t>
      </w:r>
    </w:p>
    <w:p>
      <w:pPr>
        <w:spacing w:after="200"/>
        <w:jc w:val="center"/>
      </w:pPr>
      <w:r>
        <w:rPr>
          <w:color w:val="1345A8"/>
          <w:sz w:val="30"/>
          <w:szCs w:val="30"/>
        </w:rPr>
        <w:t xml:space="preserve">Métodos y Algoritmos de Resolución por Módulo</w:t>
      </w:r>
    </w:p>
    <w:p>
      <w:pPr>
        <w:spacing w:after="3000"/>
        <w:jc w:val="center"/>
      </w:pPr>
      <w:r>
        <w:rPr>
          <w:i/>
          <w:iCs/>
          <w:color w:val="666666"/>
          <w:sz w:val="22"/>
          <w:szCs w:val="22"/>
        </w:rPr>
        <w:t xml:space="preserve">Anexo técnico — Trabajo Final de Semestre, Investigación Operativa</w:t>
      </w:r>
    </w:p>
    <w:p>
      <w:r>
        <w:br w:type="page"/>
      </w:r>
    </w:p>
    <w:p>
      <w:pPr>
        <w:pStyle w:val="Heading1"/>
      </w:pPr>
      <w:r>
        <w:t xml:space="preserve">Índice</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Arquitectura general de resolución</w:t>
      </w:r>
    </w:p>
    <w:p>
      <w:pPr>
        <w:spacing w:after="120"/>
        <w:jc w:val="both"/>
      </w:pPr>
      <w:r>
        <w:t xml:space="preserve">La plataforma separa estrictamente la interpretación en lenguaje natural (a cargo de modelos de lenguaje) del cálculo matemático (a cargo de un microservicio Python con implementaciones propias de cada algoritmo). Ningún resultado numérico proviene de un LLM: los modelos de lenguaje solo traducen el enunciado a parámetros estructurados y explican los resultados; toda la aritmética la ejecuta y la registra el motor matemático.</w:t>
      </w:r>
    </w:p>
    <w:p>
      <w:pPr>
        <w:spacing w:after="120"/>
        <w:jc w:val="both"/>
      </w:pPr>
      <w:r>
        <w:t xml:space="preserve">El flujo completo para cualquier problema ingresado por el chat es el siguiente:</w:t>
      </w:r>
    </w:p>
    <w:p>
      <w:pPr>
        <w:pStyle w:val="ListParagraph"/>
        <w:numPr>
          <w:ilvl w:val="0"/>
          <w:numId w:val="2"/>
        </w:numPr>
        <w:spacing w:after="80"/>
        <w:jc w:val="both"/>
      </w:pPr>
      <w:r>
        <w:rPr>
          <w:b/>
          <w:bCs/>
        </w:rPr>
        <w:t xml:space="preserve">Recepción e interpretación (LLM #1 — Resolutor). </w:t>
      </w:r>
      <w:r>
        <w:t xml:space="preserve">El estudiante escribe el enunciado en lenguaje natural. Un primer modelo de lenguaje (Llama 3.3 70B vía Groq, en modo JSON estricto) clasifica el problema en uno de los seis módulos (Programación Lineal, Transporte, Redes, Programación Entera, Programación Dinámica, Inventarios) y construye el JSON de parámetros exacto que el módulo espera: variables, coeficientes, restricciones, matrices de costos, nodos y arcos, o parámetros de inventario, según corresponda.</w:t>
      </w:r>
    </w:p>
    <w:p>
      <w:pPr>
        <w:pStyle w:val="ListParagraph"/>
        <w:numPr>
          <w:ilvl w:val="0"/>
          <w:numId w:val="2"/>
        </w:numPr>
        <w:spacing w:after="80"/>
        <w:jc w:val="both"/>
      </w:pPr>
      <w:r>
        <w:rPr>
          <w:b/>
          <w:bCs/>
        </w:rPr>
        <w:t xml:space="preserve">Resolución matemática (Solver Service, Python/FastAPI). </w:t>
      </w:r>
      <w:r>
        <w:t xml:space="preserve">El backend envía los parámetros al microservicio de resolución, donde se ejecuta el algoritmo correspondiente. Cada algoritmo registra sus iteraciones intermedias (tableau, multiplicadores, caminos de aumento, sustitución en fórmulas) en una estructura común de pasos que luego se muestra en la interfaz.</w:t>
      </w:r>
    </w:p>
    <w:p>
      <w:pPr>
        <w:pStyle w:val="ListParagraph"/>
        <w:numPr>
          <w:ilvl w:val="0"/>
          <w:numId w:val="2"/>
        </w:numPr>
        <w:spacing w:after="80"/>
        <w:jc w:val="both"/>
      </w:pPr>
      <w:r>
        <w:rPr>
          <w:b/>
          <w:bCs/>
        </w:rPr>
        <w:t xml:space="preserve">Narración ejecutiva (LLM Narrador). </w:t>
      </w:r>
      <w:r>
        <w:t xml:space="preserve">Un modelo de lenguaje traduce la solución numérica exacta a una recomendación de negocio en el chat, citando los valores del JSON de la solución.</w:t>
      </w:r>
    </w:p>
    <w:p>
      <w:pPr>
        <w:pStyle w:val="ListParagraph"/>
        <w:numPr>
          <w:ilvl w:val="0"/>
          <w:numId w:val="2"/>
        </w:numPr>
        <w:spacing w:after="80"/>
        <w:jc w:val="both"/>
      </w:pPr>
      <w:r>
        <w:rPr>
          <w:b/>
          <w:bCs/>
        </w:rPr>
        <w:t xml:space="preserve">Validación independiente (LLM #2 — Validador). </w:t>
      </w:r>
      <w:r>
        <w:t xml:space="preserve">Un segundo modelo, con un prompt independiente y escéptico, recalcula por su cuenta la aritmética de la solución y verifica la coherencia semántica de los parámetros contra el enunciado original, emitiendo un veredicto (válido / con observaciones / inválido) con los cálculos mostrados.</w:t>
      </w:r>
    </w:p>
    <w:p>
      <w:pPr>
        <w:pStyle w:val="ListParagraph"/>
        <w:numPr>
          <w:ilvl w:val="0"/>
          <w:numId w:val="2"/>
        </w:numPr>
        <w:spacing w:after="80"/>
        <w:jc w:val="both"/>
      </w:pPr>
      <w:r>
        <w:rPr>
          <w:b/>
          <w:bCs/>
        </w:rPr>
        <w:t xml:space="preserve">Visualización. </w:t>
      </w:r>
      <w:r>
        <w:t xml:space="preserve">El dashboard del módulo muestra la solución óptima, el análisis complementario (sensibilidad, comparación de métodos) y el detalle paso a paso del algoritmo en un panel expandible.</w:t>
      </w:r>
    </w:p>
    <w:p>
      <w:pPr>
        <w:spacing w:after="120"/>
        <w:jc w:val="both"/>
      </w:pPr>
      <w:r>
        <w:t xml:space="preserve">El modo </w:t>
      </w:r>
      <w:r>
        <w:rPr>
          <w:b/>
          <w:bCs/>
        </w:rPr>
        <w:t xml:space="preserve">socrático</w:t>
      </w:r>
      <w:r>
        <w:t xml:space="preserve"> (activable en el chat) sustituye los pasos 2–5: en lugar de resolver, el tutor formula preguntas orientadoras (1 a 3 por turno) para que el estudiante identifique por sí mismo variables, función objetivo, restricciones y método aplicable, sin revelar nunca el modelo completo ni el resultado numérico, tal como exige la rúbrica del trabajo.</w:t>
      </w:r>
    </w:p>
    <w:p>
      <w:pPr>
        <w:pStyle w:val="Heading1"/>
        <w:spacing w:after="160" w:before="320"/>
      </w:pPr>
      <w:r>
        <w:t xml:space="preserve">2. Programación Lineal — Método Simplex, Dos Fases y Gran M</w:t>
      </w:r>
    </w:p>
    <w:p>
      <w:pPr>
        <w:spacing w:after="120"/>
        <w:jc w:val="both"/>
      </w:pPr>
      <w:r>
        <w:t xml:space="preserve">Implementación propia del Simplex tabular (archivo </w:t>
      </w:r>
      <w:r>
        <w:rPr>
          <w:rFonts w:ascii="Consolas" w:cs="Consolas" w:eastAsia="Consolas" w:hAnsi="Consolas"/>
          <w:sz w:val="20"/>
          <w:szCs w:val="20"/>
        </w:rPr>
        <w:t xml:space="preserve">solver-service/app/algorithms/lp/simplex.py</w:t>
      </w:r>
      <w:r>
        <w:t xml:space="preserve">), sin depender de bibliotecas de optimización para las iteraciones. El método se selecciona con el parámetro </w:t>
      </w:r>
      <w:r>
        <w:rPr>
          <w:rFonts w:ascii="Consolas" w:cs="Consolas" w:eastAsia="Consolas" w:hAnsi="Consolas"/>
          <w:sz w:val="20"/>
          <w:szCs w:val="20"/>
        </w:rPr>
        <w:t xml:space="preserve">method</w:t>
      </w:r>
      <w:r>
        <w:t xml:space="preserve"> (automático por defecto: Simplex estándar si todas las restricciones son ≤; Dos Fases en caso contrario).</w:t>
      </w:r>
    </w:p>
    <w:p>
      <w:pPr>
        <w:pStyle w:val="Heading2"/>
        <w:spacing w:after="120" w:before="240"/>
      </w:pPr>
      <w:r>
        <w:t xml:space="preserve">2.1 Simplex estándar</w:t>
      </w:r>
    </w:p>
    <w:p>
      <w:pPr>
        <w:spacing w:after="120"/>
        <w:jc w:val="both"/>
      </w:pPr>
      <w:r>
        <w:t xml:space="preserve">Aplicable cuando todas las restricciones son de tipo ≤ con lado derecho no negativo. Se agrega una variable de holgura por restricción, que conforma la base inicial factible. La fila objetivo se escribe en la forma:</w:t>
      </w:r>
    </w:p>
    <w:p>
      <w:pPr>
        <w:spacing w:after="140" w:before="100"/>
        <w:jc w:val="center"/>
      </w:pPr>
      <w:r>
        <w:rPr>
          <w:rFonts w:ascii="Cambria Math" w:cs="Cambria Math" w:eastAsia="Cambria Math" w:hAnsi="Cambria Math"/>
          <w:sz w:val="26"/>
          <w:szCs w:val="26"/>
        </w:rPr>
        <w:t xml:space="preserve">Z − c₁x₁ − c₂x₂ − … − cₙxₙ = 0</w:t>
      </w:r>
    </w:p>
    <w:p>
      <w:pPr>
        <w:spacing w:after="120"/>
        <w:jc w:val="both"/>
      </w:pPr>
      <w:r>
        <w:t xml:space="preserve">En cada iteración:</w:t>
      </w:r>
    </w:p>
    <w:p>
      <w:pPr>
        <w:pStyle w:val="ListParagraph"/>
        <w:numPr>
          <w:ilvl w:val="0"/>
          <w:numId w:val="3"/>
        </w:numPr>
        <w:spacing w:after="80"/>
        <w:jc w:val="both"/>
      </w:pPr>
      <w:r>
        <w:rPr>
          <w:b/>
          <w:bCs/>
        </w:rPr>
        <w:t xml:space="preserve">Variable entrante: </w:t>
      </w:r>
      <w:r>
        <w:t xml:space="preserve">la columna con el coeficiente más negativo en la fila Z (regla de Dantzig) — es la variable no básica que más mejora el objetivo por unidad.</w:t>
      </w:r>
    </w:p>
    <w:p>
      <w:pPr>
        <w:pStyle w:val="ListParagraph"/>
        <w:numPr>
          <w:ilvl w:val="0"/>
          <w:numId w:val="3"/>
        </w:numPr>
        <w:spacing w:after="80"/>
        <w:jc w:val="both"/>
      </w:pPr>
      <w:r>
        <w:rPr>
          <w:b/>
          <w:bCs/>
        </w:rPr>
        <w:t xml:space="preserve">Variable saliente: </w:t>
      </w:r>
      <w:r>
        <w:t xml:space="preserve">prueba de la razón mínima: se calcula RHS ÷ coeficiente para cada fila con coeficiente positivo en la columna entrante, y sale la fila con el menor cociente (garantiza factibilidad).</w:t>
      </w:r>
    </w:p>
    <w:p>
      <w:pPr>
        <w:pStyle w:val="ListParagraph"/>
        <w:numPr>
          <w:ilvl w:val="0"/>
          <w:numId w:val="3"/>
        </w:numPr>
        <w:spacing w:after="80"/>
        <w:jc w:val="both"/>
      </w:pPr>
      <w:r>
        <w:rPr>
          <w:b/>
          <w:bCs/>
        </w:rPr>
        <w:t xml:space="preserve">Pivoteo: </w:t>
      </w:r>
      <w:r>
        <w:t xml:space="preserve">eliminación de Gauss-Jordan: la fila pivote se divide por el elemento pivote y se anula la columna entrante en las demás filas, incluida la fila Z.</w:t>
      </w:r>
    </w:p>
    <w:p>
      <w:pPr>
        <w:spacing w:after="120"/>
        <w:jc w:val="both"/>
      </w:pPr>
      <w:r>
        <w:t xml:space="preserve">El algoritmo termina cuando la fila Z no tiene coeficientes negativos (óptimo alcanzado) o cuando la columna entrante no tiene coeficientes positivos (problema no acotado). Cada tableau completo se registra como un paso visible en la interfaz.</w:t>
      </w:r>
    </w:p>
    <w:p>
      <w:pPr>
        <w:pStyle w:val="Heading2"/>
        <w:spacing w:after="120" w:before="240"/>
      </w:pPr>
      <w:r>
        <w:t xml:space="preserve">2.2 Método de las Dos Fases</w:t>
      </w:r>
    </w:p>
    <w:p>
      <w:pPr>
        <w:spacing w:after="120"/>
        <w:jc w:val="both"/>
      </w:pPr>
      <w:r>
        <w:t xml:space="preserve">Cuando existen restricciones ≥ o =, no hay base factible inmediata. Se agregan variables de excedente (para ≥) y variables artificiales (para ≥ y =), y se procede en dos fases:</w:t>
      </w:r>
    </w:p>
    <w:p>
      <w:pPr>
        <w:pStyle w:val="ListParagraph"/>
        <w:numPr>
          <w:ilvl w:val="0"/>
          <w:numId w:val="4"/>
        </w:numPr>
        <w:spacing w:after="80"/>
        <w:jc w:val="both"/>
      </w:pPr>
      <w:r>
        <w:rPr>
          <w:b/>
          <w:bCs/>
        </w:rPr>
        <w:t xml:space="preserve">Fase 1: </w:t>
      </w:r>
      <w:r>
        <w:t xml:space="preserve">se minimiza la suma de las variables artificiales W = Σaᵢ con el mismo motor de pivoteo. Si el mínimo de W es mayor que cero, el problema original es infactible (no existe solución que cumpla todas las restricciones) y así se reporta. Si W = 0, se expulsan las artificiales que queden en la base.</w:t>
      </w:r>
    </w:p>
    <w:p>
      <w:pPr>
        <w:pStyle w:val="ListParagraph"/>
        <w:numPr>
          <w:ilvl w:val="0"/>
          <w:numId w:val="4"/>
        </w:numPr>
        <w:spacing w:after="80"/>
        <w:jc w:val="both"/>
      </w:pPr>
      <w:r>
        <w:rPr>
          <w:b/>
          <w:bCs/>
        </w:rPr>
        <w:t xml:space="preserve">Fase 2: </w:t>
      </w:r>
      <w:r>
        <w:t xml:space="preserve">se restaura la función objetivo original sobre la base factible encontrada, se re-canoniza la fila Z (anulando los coeficientes de las variables básicas) y se optimiza excluyendo las columnas artificiales.</w:t>
      </w:r>
    </w:p>
    <w:p>
      <w:pPr>
        <w:pStyle w:val="Heading2"/>
        <w:spacing w:after="120" w:before="240"/>
      </w:pPr>
      <w:r>
        <w:t xml:space="preserve">2.3 Método de la Gran M</w:t>
      </w:r>
    </w:p>
    <w:p>
      <w:pPr>
        <w:spacing w:after="120"/>
        <w:jc w:val="both"/>
      </w:pPr>
      <w:r>
        <w:t xml:space="preserve">Alternativa de una sola corrida: las variables artificiales se penalizan directamente en la función objetivo con una constante grande M (en la implementación, M = 10⁵):</w:t>
      </w:r>
    </w:p>
    <w:p>
      <w:pPr>
        <w:spacing w:after="140" w:before="100"/>
        <w:jc w:val="center"/>
      </w:pPr>
      <w:r>
        <w:rPr>
          <w:rFonts w:ascii="Cambria Math" w:cs="Cambria Math" w:eastAsia="Cambria Math" w:hAnsi="Cambria Math"/>
          <w:sz w:val="26"/>
          <w:szCs w:val="26"/>
        </w:rPr>
        <w:t xml:space="preserve">Max Z = Σcⱼxⱼ − M·Σaᵢ    (o Min Z = Σcⱼxⱼ + M·Σaᵢ)</w:t>
      </w:r>
    </w:p>
    <w:p>
      <w:pPr>
        <w:spacing w:after="120"/>
        <w:jc w:val="both"/>
      </w:pPr>
      <w:r>
        <w:t xml:space="preserve">La penalización fuerza a las artificiales a salir de la base en cuanto exista una alternativa factible. El mismo bucle de pivoteo del Simplex estándar resuelve el problema; si al terminar alguna artificial permanece en la base con valor positivo, el problema es infactible.</w:t>
      </w:r>
    </w:p>
    <w:p>
      <w:pPr>
        <w:pStyle w:val="Heading2"/>
        <w:spacing w:after="120" w:before="240"/>
      </w:pPr>
      <w:r>
        <w:t xml:space="preserve">2.4 Análisis de sensibilidad</w:t>
      </w:r>
    </w:p>
    <w:p>
      <w:pPr>
        <w:spacing w:after="120"/>
        <w:jc w:val="both"/>
      </w:pPr>
      <w:r>
        <w:t xml:space="preserve">En paralelo al tableau educativo, el endpoint resuelve el mismo modelo con el solver CBC (vía PuLP) para obtener el análisis de sensibilidad: precios sombra (valor dual de cada restricción), holguras, costos reducidos de las variables, y rangos de variación del lado derecho (RHS) obtenidos por perturbación numérica — se incrementa/decrementa el RHS por pasos y se re-resuelve hasta detectar el cambio de base o la infactibilidad.</w:t>
      </w:r>
    </w:p>
    <w:p>
      <w:pPr>
        <w:spacing w:after="120"/>
        <w:jc w:val="both"/>
      </w:pPr>
      <w:r>
        <w:rPr>
          <w:b/>
          <w:bCs/>
        </w:rPr>
        <w:t xml:space="preserve">Verificación: </w:t>
      </w:r>
      <w:r>
        <w:t xml:space="preserve">los tres métodos fueron contrastados contra </w:t>
      </w:r>
      <w:r>
        <w:rPr>
          <w:rFonts w:ascii="Consolas" w:cs="Consolas" w:eastAsia="Consolas" w:hAnsi="Consolas"/>
          <w:sz w:val="20"/>
          <w:szCs w:val="20"/>
        </w:rPr>
        <w:t xml:space="preserve">scipy.optimize.linprog</w:t>
      </w:r>
      <w:r>
        <w:t xml:space="preserve"> en casos con solo ≤, con mezcla de ≥/=/≤, infactibles y no acotados, coincidiendo exactamente en todos.</w:t>
      </w:r>
    </w:p>
    <w:p>
      <w:pPr>
        <w:pStyle w:val="Heading2"/>
        <w:spacing w:after="120" w:before="240"/>
      </w:pPr>
      <w:r>
        <w:t xml:space="preserve">2.5 Programación Lineal Entera (módulo 4)</w:t>
      </w:r>
    </w:p>
    <w:p>
      <w:pPr>
        <w:spacing w:after="120"/>
        <w:jc w:val="both"/>
      </w:pPr>
      <w:r>
        <w:t xml:space="preserve">Cuando una o más variables se declaran enteras o binarias (</w:t>
      </w:r>
      <w:r>
        <w:rPr>
          <w:rFonts w:ascii="Consolas" w:cs="Consolas" w:eastAsia="Consolas" w:hAnsi="Consolas"/>
          <w:sz w:val="20"/>
          <w:szCs w:val="20"/>
        </w:rPr>
        <w:t xml:space="preserve">isInteger: true</w:t>
      </w:r>
      <w:r>
        <w:t xml:space="preserve">), el modelo se resuelve mediante </w:t>
      </w:r>
      <w:r>
        <w:rPr>
          <w:b/>
          <w:bCs/>
        </w:rPr>
        <w:t xml:space="preserve">Ramificación y Acotamiento (Branch &amp; Bound)</w:t>
      </w:r>
      <w:r>
        <w:t xml:space="preserve"> con el solver CBC, conforme la rúbrica lo permite (resolución mediante software). Las variables binarias se modelan con cota inferior 0, cota superior 1 y condición de integralidad. El tableau educativo no aplica a variables enteras, y la interfaz lo indica explícitamente.</w:t>
      </w:r>
    </w:p>
    <w:p>
      <w:pPr>
        <w:pStyle w:val="Heading1"/>
        <w:spacing w:after="160" w:before="320"/>
      </w:pPr>
      <w:r>
        <w:t xml:space="preserve">3. Modelo de Transporte — Solución inicial + Optimización MODI</w:t>
      </w:r>
    </w:p>
    <w:p>
      <w:pPr>
        <w:spacing w:after="120"/>
        <w:jc w:val="both"/>
      </w:pPr>
      <w:r>
        <w:t xml:space="preserve">El módulo replica el procedimiento completo de aula: balanceo, solución inicial con un método heurístico a elección, y optimización iterativa hasta el óptimo con el método MODI (multiplicadores), mostrando cada iteración.</w:t>
      </w:r>
    </w:p>
    <w:p>
      <w:pPr>
        <w:pStyle w:val="Heading2"/>
        <w:spacing w:after="120" w:before="240"/>
      </w:pPr>
      <w:r>
        <w:t xml:space="preserve">3.1 Balanceo del problema</w:t>
      </w:r>
    </w:p>
    <w:p>
      <w:pPr>
        <w:spacing w:after="120"/>
        <w:jc w:val="both"/>
      </w:pPr>
      <w:r>
        <w:t xml:space="preserve">Antes de resolver (</w:t>
      </w:r>
      <w:r>
        <w:rPr>
          <w:rFonts w:ascii="Consolas" w:cs="Consolas" w:eastAsia="Consolas" w:hAnsi="Consolas"/>
          <w:sz w:val="20"/>
          <w:szCs w:val="20"/>
        </w:rPr>
        <w:t xml:space="preserve">utils.py</w:t>
      </w:r>
      <w:r>
        <w:t xml:space="preserve">), se comparan oferta total y demanda total. Si difieren, se agrega un origen o destino ficticio con costos 0 que absorbe la diferencia, garantizando Σoferta = Σdemanda.</w:t>
      </w:r>
    </w:p>
    <w:p>
      <w:pPr>
        <w:pStyle w:val="Heading2"/>
        <w:spacing w:after="120" w:before="240"/>
      </w:pPr>
      <w:r>
        <w:t xml:space="preserve">3.2 Métodos de solución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rPr>
          <w:tblHeader/>
        </w:trPr>
        <w:tc>
          <w:tcPr>
            <w:tcW w:type="dxa" w:w="1800"/>
            <w:shd w:fill="1345A8" w:val="clear"/>
            <w:tcMar>
              <w:top w:type="dxa" w:w="80"/>
              <w:left w:type="dxa" w:w="120"/>
              <w:bottom w:type="dxa" w:w="80"/>
              <w:right w:type="dxa" w:w="120"/>
            </w:tcMar>
          </w:tcPr>
          <w:p>
            <w:r>
              <w:rPr>
                <w:b/>
                <w:bCs/>
                <w:color w:val="FFFFFF"/>
                <w:sz w:val="20"/>
                <w:szCs w:val="20"/>
              </w:rPr>
              <w:t xml:space="preserve">Método</w:t>
            </w:r>
          </w:p>
        </w:tc>
        <w:tc>
          <w:tcPr>
            <w:tcW w:type="dxa" w:w="4600"/>
            <w:shd w:fill="1345A8" w:val="clear"/>
            <w:tcMar>
              <w:top w:type="dxa" w:w="80"/>
              <w:left w:type="dxa" w:w="120"/>
              <w:bottom w:type="dxa" w:w="80"/>
              <w:right w:type="dxa" w:w="120"/>
            </w:tcMar>
          </w:tcPr>
          <w:p>
            <w:r>
              <w:rPr>
                <w:b/>
                <w:bCs/>
                <w:color w:val="FFFFFF"/>
                <w:sz w:val="20"/>
                <w:szCs w:val="20"/>
              </w:rPr>
              <w:t xml:space="preserve">Criterio de asignación</w:t>
            </w:r>
          </w:p>
        </w:tc>
        <w:tc>
          <w:tcPr>
            <w:tcW w:type="dxa" w:w="2960"/>
            <w:shd w:fill="1345A8" w:val="clear"/>
            <w:tcMar>
              <w:top w:type="dxa" w:w="80"/>
              <w:left w:type="dxa" w:w="120"/>
              <w:bottom w:type="dxa" w:w="80"/>
              <w:right w:type="dxa" w:w="120"/>
            </w:tcMar>
          </w:tcPr>
          <w:p>
            <w:r>
              <w:rPr>
                <w:b/>
                <w:bCs/>
                <w:color w:val="FFFFFF"/>
                <w:sz w:val="20"/>
                <w:szCs w:val="20"/>
              </w:rPr>
              <w:t xml:space="preserve">Característica</w:t>
            </w:r>
          </w:p>
        </w:tc>
      </w:tr>
      <w:tr>
        <w:tc>
          <w:tcPr>
            <w:tcW w:type="dxa" w:w="1800"/>
            <w:tcMar>
              <w:top w:type="dxa" w:w="60"/>
              <w:left w:type="dxa" w:w="120"/>
              <w:bottom w:type="dxa" w:w="60"/>
              <w:right w:type="dxa" w:w="120"/>
            </w:tcMar>
          </w:tcPr>
          <w:p>
            <w:r>
              <w:rPr>
                <w:sz w:val="20"/>
                <w:szCs w:val="20"/>
              </w:rPr>
              <w:t xml:space="preserve">Esquina Noroeste</w:t>
            </w:r>
          </w:p>
        </w:tc>
        <w:tc>
          <w:tcPr>
            <w:tcW w:type="dxa" w:w="4600"/>
            <w:tcMar>
              <w:top w:type="dxa" w:w="60"/>
              <w:left w:type="dxa" w:w="120"/>
              <w:bottom w:type="dxa" w:w="60"/>
              <w:right w:type="dxa" w:w="120"/>
            </w:tcMar>
          </w:tcPr>
          <w:p>
            <w:r>
              <w:rPr>
                <w:sz w:val="20"/>
                <w:szCs w:val="20"/>
              </w:rPr>
              <w:t xml:space="preserve">Asigna desde la celda superior izquierda, avanzando a la derecha/abajo según se agote oferta o demanda.</w:t>
            </w:r>
          </w:p>
        </w:tc>
        <w:tc>
          <w:tcPr>
            <w:tcW w:type="dxa" w:w="2960"/>
            <w:tcMar>
              <w:top w:type="dxa" w:w="60"/>
              <w:left w:type="dxa" w:w="120"/>
              <w:bottom w:type="dxa" w:w="60"/>
              <w:right w:type="dxa" w:w="120"/>
            </w:tcMar>
          </w:tcPr>
          <w:p>
            <w:r>
              <w:rPr>
                <w:sz w:val="20"/>
                <w:szCs w:val="20"/>
              </w:rPr>
              <w:t xml:space="preserve">No considera costos; rápido pero inicial pobre.</w:t>
            </w:r>
          </w:p>
        </w:tc>
      </w:tr>
      <w:tr>
        <w:tc>
          <w:tcPr>
            <w:tcW w:type="dxa" w:w="1800"/>
            <w:shd w:fill="F2F5FA" w:val="clear"/>
            <w:tcMar>
              <w:top w:type="dxa" w:w="60"/>
              <w:left w:type="dxa" w:w="120"/>
              <w:bottom w:type="dxa" w:w="60"/>
              <w:right w:type="dxa" w:w="120"/>
            </w:tcMar>
          </w:tcPr>
          <w:p>
            <w:r>
              <w:rPr>
                <w:sz w:val="20"/>
                <w:szCs w:val="20"/>
              </w:rPr>
              <w:t xml:space="preserve">Costo Mínimo</w:t>
            </w:r>
          </w:p>
        </w:tc>
        <w:tc>
          <w:tcPr>
            <w:tcW w:type="dxa" w:w="4600"/>
            <w:shd w:fill="F2F5FA" w:val="clear"/>
            <w:tcMar>
              <w:top w:type="dxa" w:w="60"/>
              <w:left w:type="dxa" w:w="120"/>
              <w:bottom w:type="dxa" w:w="60"/>
              <w:right w:type="dxa" w:w="120"/>
            </w:tcMar>
          </w:tcPr>
          <w:p>
            <w:r>
              <w:rPr>
                <w:sz w:val="20"/>
                <w:szCs w:val="20"/>
              </w:rPr>
              <w:t xml:space="preserve">Asigna siempre en la celda de menor costo disponible; tacha filas/columnas satisfechas.</w:t>
            </w:r>
          </w:p>
        </w:tc>
        <w:tc>
          <w:tcPr>
            <w:tcW w:type="dxa" w:w="2960"/>
            <w:shd w:fill="F2F5FA" w:val="clear"/>
            <w:tcMar>
              <w:top w:type="dxa" w:w="60"/>
              <w:left w:type="dxa" w:w="120"/>
              <w:bottom w:type="dxa" w:w="60"/>
              <w:right w:type="dxa" w:w="120"/>
            </w:tcMar>
          </w:tcPr>
          <w:p>
            <w:r>
              <w:rPr>
                <w:sz w:val="20"/>
                <w:szCs w:val="20"/>
              </w:rPr>
              <w:t xml:space="preserve">Inicial de mejor calidad que Noroeste.</w:t>
            </w:r>
          </w:p>
        </w:tc>
      </w:tr>
      <w:tr>
        <w:tc>
          <w:tcPr>
            <w:tcW w:type="dxa" w:w="1800"/>
            <w:tcMar>
              <w:top w:type="dxa" w:w="60"/>
              <w:left w:type="dxa" w:w="120"/>
              <w:bottom w:type="dxa" w:w="60"/>
              <w:right w:type="dxa" w:w="120"/>
            </w:tcMar>
          </w:tcPr>
          <w:p>
            <w:r>
              <w:rPr>
                <w:sz w:val="20"/>
                <w:szCs w:val="20"/>
              </w:rPr>
              <w:t xml:space="preserve">Vogel (VAM)</w:t>
            </w:r>
          </w:p>
        </w:tc>
        <w:tc>
          <w:tcPr>
            <w:tcW w:type="dxa" w:w="4600"/>
            <w:tcMar>
              <w:top w:type="dxa" w:w="60"/>
              <w:left w:type="dxa" w:w="120"/>
              <w:bottom w:type="dxa" w:w="60"/>
              <w:right w:type="dxa" w:w="120"/>
            </w:tcMar>
          </w:tcPr>
          <w:p>
            <w:r>
              <w:rPr>
                <w:sz w:val="20"/>
                <w:szCs w:val="20"/>
              </w:rPr>
              <w:t xml:space="preserve">Calcula penalizaciones (diferencia entre los dos menores costos de cada fila/columna) y asigna en la de mayor penalización, en su celda más barata.</w:t>
            </w:r>
          </w:p>
        </w:tc>
        <w:tc>
          <w:tcPr>
            <w:tcW w:type="dxa" w:w="2960"/>
            <w:tcMar>
              <w:top w:type="dxa" w:w="60"/>
              <w:left w:type="dxa" w:w="120"/>
              <w:bottom w:type="dxa" w:w="60"/>
              <w:right w:type="dxa" w:w="120"/>
            </w:tcMar>
          </w:tcPr>
          <w:p>
            <w:r>
              <w:rPr>
                <w:sz w:val="20"/>
                <w:szCs w:val="20"/>
              </w:rPr>
              <w:t xml:space="preserve">Minimiza el costo de oportunidad; suele quedar muy cerca del óptimo.</w:t>
            </w:r>
          </w:p>
        </w:tc>
      </w:tr>
    </w:tbl>
    <w:p>
      <w:pPr>
        <w:spacing w:after="120" w:before="120"/>
        <w:jc w:val="both"/>
      </w:pPr>
      <w:r>
        <w:t xml:space="preserve">La interfaz muestra además una </w:t>
      </w:r>
      <w:r>
        <w:rPr>
          <w:b/>
          <w:bCs/>
        </w:rPr>
        <w:t xml:space="preserve">comparación de los tres métodos</w:t>
      </w:r>
      <w:r>
        <w:t xml:space="preserve"> con su costo inicial, y permite elegir cuál usar como punto de partida.</w:t>
      </w:r>
    </w:p>
    <w:p>
      <w:pPr>
        <w:pStyle w:val="Heading2"/>
        <w:spacing w:after="120" w:before="240"/>
      </w:pPr>
      <w:r>
        <w:t xml:space="preserve">3.3 Optimización con MODI (método de los multiplicadores)</w:t>
      </w:r>
    </w:p>
    <w:p>
      <w:pPr>
        <w:pStyle w:val="ListParagraph"/>
        <w:numPr>
          <w:ilvl w:val="0"/>
          <w:numId w:val="5"/>
        </w:numPr>
        <w:spacing w:after="80"/>
        <w:jc w:val="both"/>
      </w:pPr>
      <w:r>
        <w:rPr>
          <w:b/>
          <w:bCs/>
        </w:rPr>
        <w:t xml:space="preserve">Base válida: </w:t>
      </w:r>
      <w:r>
        <w:t xml:space="preserve">se garantiza una base de m+n−1 celdas conectadas. Si la solución inicial es degenerada (menos celdas), se completa con celdas de asignación 0 elegidas por costo mínimo que conecten componentes (árbol de expansión sobre el grafo bipartito orígenes–destinos).</w:t>
      </w:r>
    </w:p>
    <w:p>
      <w:pPr>
        <w:pStyle w:val="ListParagraph"/>
        <w:numPr>
          <w:ilvl w:val="0"/>
          <w:numId w:val="5"/>
        </w:numPr>
        <w:spacing w:after="80"/>
        <w:jc w:val="both"/>
      </w:pPr>
      <w:r>
        <w:rPr>
          <w:b/>
          <w:bCs/>
        </w:rPr>
        <w:t xml:space="preserve">Multiplicadores duales: </w:t>
      </w:r>
      <w:r>
        <w:t xml:space="preserve">se resuelven uᵢ y vⱼ del sistema uᵢ + vⱼ = cᵢⱼ sobre las celdas básicas, fijando u₁ = 0.</w:t>
      </w:r>
    </w:p>
    <w:p>
      <w:pPr>
        <w:pStyle w:val="ListParagraph"/>
        <w:numPr>
          <w:ilvl w:val="0"/>
          <w:numId w:val="5"/>
        </w:numPr>
        <w:spacing w:after="80"/>
        <w:jc w:val="both"/>
      </w:pPr>
      <w:r>
        <w:rPr>
          <w:b/>
          <w:bCs/>
        </w:rPr>
        <w:t xml:space="preserve">Costos reducidos: </w:t>
      </w:r>
      <w:r>
        <w:t xml:space="preserve">para cada celda no básica se calcula:</w:t>
      </w:r>
    </w:p>
    <w:p>
      <w:pPr>
        <w:spacing w:after="140" w:before="100"/>
        <w:jc w:val="center"/>
      </w:pPr>
      <w:r>
        <w:rPr>
          <w:rFonts w:ascii="Cambria Math" w:cs="Cambria Math" w:eastAsia="Cambria Math" w:hAnsi="Cambria Math"/>
          <w:sz w:val="26"/>
          <w:szCs w:val="26"/>
        </w:rPr>
        <w:t xml:space="preserve">c̄ᵢⱼ = cᵢⱼ − uᵢ − vⱼ</w:t>
      </w:r>
    </w:p>
    <w:p>
      <w:pPr>
        <w:pStyle w:val="ListParagraph"/>
        <w:numPr>
          <w:ilvl w:val="0"/>
          <w:numId w:val="5"/>
        </w:numPr>
        <w:spacing w:after="80"/>
        <w:jc w:val="both"/>
      </w:pPr>
      <w:r>
        <w:rPr>
          <w:b/>
          <w:bCs/>
        </w:rPr>
        <w:t xml:space="preserve">Criterio de optimalidad: </w:t>
      </w:r>
      <w:r>
        <w:t xml:space="preserve">si todos los c̄ᵢⱼ ≥ 0, la solución es óptima. Si no, entra a la base la celda con el costo reducido más negativo.</w:t>
      </w:r>
    </w:p>
    <w:p>
      <w:pPr>
        <w:pStyle w:val="ListParagraph"/>
        <w:numPr>
          <w:ilvl w:val="0"/>
          <w:numId w:val="5"/>
        </w:numPr>
        <w:spacing w:after="80"/>
        <w:jc w:val="both"/>
      </w:pPr>
      <w:r>
        <w:rPr>
          <w:b/>
          <w:bCs/>
        </w:rPr>
        <w:t xml:space="preserve">Ciclo de ajuste (stepping stone): </w:t>
      </w:r>
      <w:r>
        <w:t xml:space="preserve">se encuentra el único ciclo cerrado que alterna filas y columnas entre la celda entrante y celdas básicas; se transfiere θ = mínima asignación de las celdas con signo negativo del ciclo (sumando en las positivas, restando en las negativas) y sale de la base la celda que llega a cero.</w:t>
      </w:r>
    </w:p>
    <w:p>
      <w:pPr>
        <w:spacing w:after="120"/>
        <w:jc w:val="both"/>
      </w:pPr>
      <w:r>
        <w:rPr>
          <w:b/>
          <w:bCs/>
        </w:rPr>
        <w:t xml:space="preserve">Verificación: </w:t>
      </w:r>
      <w:r>
        <w:t xml:space="preserve">partiendo de cualquiera de las tres soluciones iniciales, MODI converge exactamente al mismo costo óptimo que la resolución del problema como programa lineal (PuLP/CBC), comprobado en casos balanceados, no balanceados y degenerados.</w:t>
      </w:r>
    </w:p>
    <w:p>
      <w:pPr>
        <w:pStyle w:val="Heading1"/>
        <w:spacing w:after="160" w:before="320"/>
      </w:pPr>
      <w:r>
        <w:t xml:space="preserve">4. Modelos de Redes — Dijkstra, Kruskal y Edmonds-Karp</w:t>
      </w:r>
    </w:p>
    <w:p>
      <w:pPr>
        <w:spacing w:after="120"/>
        <w:jc w:val="both"/>
      </w:pPr>
      <w:r>
        <w:t xml:space="preserve">Tres algoritmos implementados desde cero en </w:t>
      </w:r>
      <w:r>
        <w:rPr>
          <w:rFonts w:ascii="Consolas" w:cs="Consolas" w:eastAsia="Consolas" w:hAnsi="Consolas"/>
          <w:sz w:val="20"/>
          <w:szCs w:val="20"/>
        </w:rPr>
        <w:t xml:space="preserve">solver-service/app/algorithms/networks/</w:t>
      </w:r>
      <w:r>
        <w:t xml:space="preserve">, cada uno registrando sus iteraciones (la rúbrica exige al menos dos modelos con desarrollo paso a paso; se cubren tres).</w:t>
      </w:r>
    </w:p>
    <w:p>
      <w:pPr>
        <w:pStyle w:val="Heading2"/>
        <w:spacing w:after="120" w:before="240"/>
      </w:pPr>
      <w:r>
        <w:t xml:space="preserve">4.1 Ruta más corta — Algoritmo de Dijkstra</w:t>
      </w:r>
    </w:p>
    <w:p>
      <w:pPr>
        <w:pStyle w:val="ListParagraph"/>
        <w:numPr>
          <w:ilvl w:val="0"/>
          <w:numId w:val="6"/>
        </w:numPr>
        <w:spacing w:after="80"/>
        <w:jc w:val="both"/>
      </w:pPr>
      <w:r>
        <w:t xml:space="preserve">Inicialización: dist(origen) = 0 y dist(n) = ∞ para el resto de los nodos.</w:t>
      </w:r>
    </w:p>
    <w:p>
      <w:pPr>
        <w:pStyle w:val="ListParagraph"/>
        <w:numPr>
          <w:ilvl w:val="0"/>
          <w:numId w:val="6"/>
        </w:numPr>
        <w:spacing w:after="80"/>
        <w:jc w:val="both"/>
      </w:pPr>
      <w:r>
        <w:t xml:space="preserve">En cada iteración se fija el nodo no visitado con menor distancia tentativa — su distancia ya es definitiva (invariante del algoritmo, válido con pesos no negativos).</w:t>
      </w:r>
    </w:p>
    <w:p>
      <w:pPr>
        <w:pStyle w:val="ListParagraph"/>
        <w:numPr>
          <w:ilvl w:val="0"/>
          <w:numId w:val="6"/>
        </w:numPr>
        <w:spacing w:after="80"/>
        <w:jc w:val="both"/>
      </w:pPr>
      <w:r>
        <w:t xml:space="preserve">Se relajan los arcos salientes del nodo fijado: si dist(u) + w(u,v) &lt; dist(v), se actualiza dist(v) y su predecesor.</w:t>
      </w:r>
    </w:p>
    <w:p>
      <w:pPr>
        <w:pStyle w:val="ListParagraph"/>
        <w:numPr>
          <w:ilvl w:val="0"/>
          <w:numId w:val="6"/>
        </w:numPr>
        <w:spacing w:after="80"/>
        <w:jc w:val="both"/>
      </w:pPr>
      <w:r>
        <w:t xml:space="preserve">Al fijar el destino, se reconstruye la ruta óptima siguiendo la cadena de predecesores.</w:t>
      </w:r>
    </w:p>
    <w:p>
      <w:pPr>
        <w:spacing w:after="120"/>
        <w:jc w:val="both"/>
      </w:pPr>
      <w:r>
        <w:t xml:space="preserve">La implementación rechaza pesos negativos (limitación teórica de Dijkstra) y reporta explícitamente el caso de destino inalcanzable.</w:t>
      </w:r>
    </w:p>
    <w:p>
      <w:pPr>
        <w:pStyle w:val="Heading2"/>
        <w:spacing w:after="120" w:before="240"/>
      </w:pPr>
      <w:r>
        <w:t xml:space="preserve">4.2 Árbol de expansión mínima — Algoritmo de Kruskal</w:t>
      </w:r>
    </w:p>
    <w:p>
      <w:pPr>
        <w:pStyle w:val="ListParagraph"/>
        <w:numPr>
          <w:ilvl w:val="0"/>
          <w:numId w:val="7"/>
        </w:numPr>
        <w:spacing w:after="80"/>
        <w:jc w:val="both"/>
      </w:pPr>
      <w:r>
        <w:t xml:space="preserve">Se ordenan todas las aristas por peso ascendente.</w:t>
      </w:r>
    </w:p>
    <w:p>
      <w:pPr>
        <w:pStyle w:val="ListParagraph"/>
        <w:numPr>
          <w:ilvl w:val="0"/>
          <w:numId w:val="7"/>
        </w:numPr>
        <w:spacing w:after="80"/>
        <w:jc w:val="both"/>
      </w:pPr>
      <w:r>
        <w:t xml:space="preserve">Se evalúan en orden: cada arista se </w:t>
      </w:r>
      <w:r>
        <w:rPr>
          <w:b/>
          <w:bCs/>
        </w:rPr>
        <w:t xml:space="preserve">acepta</w:t>
      </w:r>
      <w:r>
        <w:t xml:space="preserve"> solo si sus extremos están en componentes distintas (no forma ciclo), verificado con una estructura Union-Find con compresión de caminos; en caso contrario se </w:t>
      </w:r>
      <w:r>
        <w:rPr>
          <w:b/>
          <w:bCs/>
        </w:rPr>
        <w:t xml:space="preserve">rechaza</w:t>
      </w:r>
      <w:r>
        <w:t xml:space="preserve">.</w:t>
      </w:r>
    </w:p>
    <w:p>
      <w:pPr>
        <w:pStyle w:val="ListParagraph"/>
        <w:numPr>
          <w:ilvl w:val="0"/>
          <w:numId w:val="7"/>
        </w:numPr>
        <w:spacing w:after="80"/>
        <w:jc w:val="both"/>
      </w:pPr>
      <w:r>
        <w:t xml:space="preserve">El algoritmo termina al aceptar n−1 aristas; si no se alcanzan, el grafo no es conexo y se reporta.</w:t>
      </w:r>
    </w:p>
    <w:p>
      <w:pPr>
        <w:pStyle w:val="Heading2"/>
        <w:spacing w:after="120" w:before="240"/>
      </w:pPr>
      <w:r>
        <w:t xml:space="preserve">4.3 Flujo máximo — Edmonds-Karp (Ford-Fulkerson con BFS)</w:t>
      </w:r>
    </w:p>
    <w:p>
      <w:pPr>
        <w:pStyle w:val="ListParagraph"/>
        <w:numPr>
          <w:ilvl w:val="0"/>
          <w:numId w:val="8"/>
        </w:numPr>
        <w:spacing w:after="80"/>
        <w:jc w:val="both"/>
      </w:pPr>
      <w:r>
        <w:t xml:space="preserve">Se construye el grafo residual: cada arco con su capacidad, más un arco inverso con capacidad 0.</w:t>
      </w:r>
    </w:p>
    <w:p>
      <w:pPr>
        <w:pStyle w:val="ListParagraph"/>
        <w:numPr>
          <w:ilvl w:val="0"/>
          <w:numId w:val="8"/>
        </w:numPr>
        <w:spacing w:after="80"/>
        <w:jc w:val="both"/>
      </w:pPr>
      <w:r>
        <w:t xml:space="preserve">Mediante búsqueda en anchura (BFS) se encuentra un camino de aumento del origen al sumidero por arcos con capacidad residual positiva.</w:t>
      </w:r>
    </w:p>
    <w:p>
      <w:pPr>
        <w:pStyle w:val="ListParagraph"/>
        <w:numPr>
          <w:ilvl w:val="0"/>
          <w:numId w:val="8"/>
        </w:numPr>
        <w:spacing w:after="80"/>
        <w:jc w:val="both"/>
      </w:pPr>
      <w:r>
        <w:t xml:space="preserve">Se identifica el cuello de botella (capacidad residual mínima del camino) y se envía ese flujo: se resta en el sentido del camino y se suma en los arcos inversos — lo que permite “deshacer” flujo enviado subóptimamente en iteraciones previas.</w:t>
      </w:r>
    </w:p>
    <w:p>
      <w:pPr>
        <w:pStyle w:val="ListParagraph"/>
        <w:numPr>
          <w:ilvl w:val="0"/>
          <w:numId w:val="8"/>
        </w:numPr>
        <w:spacing w:after="80"/>
        <w:jc w:val="both"/>
      </w:pPr>
      <w:r>
        <w:t xml:space="preserve">Cuando BFS ya no alcanza el sumidero, el flujo acumulado es máximo (teorema de flujo máximo–corte mínimo).</w:t>
      </w:r>
    </w:p>
    <w:p>
      <w:pPr>
        <w:spacing w:after="120"/>
        <w:jc w:val="both"/>
      </w:pPr>
      <w:r>
        <w:rPr>
          <w:b/>
          <w:bCs/>
        </w:rPr>
        <w:t xml:space="preserve">Verificación: </w:t>
      </w:r>
      <w:r>
        <w:t xml:space="preserve">los tres algoritmos coinciden exactamente con los resultados de la biblioteca NetworkX (ruta y costo, peso total del árbol, valor del flujo máximo). El flujo de costo mínimo se resuelve adicionalmente con el simplex de redes de NetworkX.</w:t>
      </w:r>
    </w:p>
    <w:p>
      <w:pPr>
        <w:pStyle w:val="Heading1"/>
        <w:spacing w:after="160" w:before="320"/>
      </w:pPr>
      <w:r>
        <w:t xml:space="preserve">5. Programación Dinámica Determinística</w:t>
      </w:r>
    </w:p>
    <w:p>
      <w:pPr>
        <w:spacing w:after="120"/>
        <w:jc w:val="both"/>
      </w:pPr>
      <w:r>
        <w:t xml:space="preserve">Dos modelos clásicos resueltos con programación dinámica tabular, exponiendo etapas, estados, decisiones y la función de recurrencia (principio de optimalidad de Bellman).</w:t>
      </w:r>
    </w:p>
    <w:p>
      <w:pPr>
        <w:pStyle w:val="Heading2"/>
        <w:spacing w:after="120" w:before="240"/>
      </w:pPr>
      <w:r>
        <w:t xml:space="preserve">5.1 Problema de la mochila (asignación de recursos)</w:t>
      </w:r>
    </w:p>
    <w:p>
      <w:pPr>
        <w:spacing w:after="120"/>
        <w:jc w:val="both"/>
      </w:pPr>
      <w:r>
        <w:t xml:space="preserve">Tabla dp[i][w] = valor máximo alcanzable usando los primeros i objetos con capacidad w. La recurrencia:</w:t>
      </w:r>
    </w:p>
    <w:p>
      <w:pPr>
        <w:spacing w:after="140" w:before="100"/>
        <w:jc w:val="center"/>
      </w:pPr>
      <w:r>
        <w:rPr>
          <w:rFonts w:ascii="Cambria Math" w:cs="Cambria Math" w:eastAsia="Cambria Math" w:hAnsi="Cambria Math"/>
          <w:sz w:val="26"/>
          <w:szCs w:val="26"/>
        </w:rPr>
        <w:t xml:space="preserve">dp[i][w] = max( dp[i−1][w] ,  vᵢ + dp[i−1][w − pᵢ] )   si pᵢ ≤ w</w:t>
      </w:r>
    </w:p>
    <w:p>
      <w:pPr>
        <w:spacing w:after="120"/>
        <w:jc w:val="both"/>
      </w:pPr>
      <w:r>
        <w:t xml:space="preserve">donde vᵢ y pᵢ son el valor y el peso del objeto i. La primera opción es no incluir el objeto; la segunda, incluirlo. Al completar la tabla, un recorrido hacia atrás (backtracking) recupera el subconjunto óptimo de objetos. La tabla completa se devuelve como evidencia del desarrollo tabular.</w:t>
      </w:r>
    </w:p>
    <w:p>
      <w:pPr>
        <w:pStyle w:val="Heading2"/>
        <w:spacing w:after="120" w:before="240"/>
      </w:pPr>
      <w:r>
        <w:t xml:space="preserve">5.2 Planeación de pedidos por períodos — Wagner-Whitin (lot-sizing)</w:t>
      </w:r>
    </w:p>
    <w:p>
      <w:pPr>
        <w:spacing w:after="120"/>
        <w:jc w:val="both"/>
      </w:pPr>
      <w:r>
        <w:t xml:space="preserve">dp[i] = costo mínimo de satisfacer la demanda desde el período i hasta el horizonte n. Para cada período i se evalúa cubrir con un solo pedido la demanda hasta cada período j ≥ i:</w:t>
      </w:r>
    </w:p>
    <w:p>
      <w:pPr>
        <w:spacing w:after="140" w:before="100"/>
        <w:jc w:val="center"/>
      </w:pPr>
      <w:r>
        <w:rPr>
          <w:rFonts w:ascii="Cambria Math" w:cs="Cambria Math" w:eastAsia="Cambria Math" w:hAnsi="Cambria Math"/>
          <w:sz w:val="26"/>
          <w:szCs w:val="26"/>
        </w:rPr>
        <w:t xml:space="preserve">dp[i] = min ⱼ { S + Σₖ dₖ·(k−i)·h + dp[j+1] }</w:t>
      </w:r>
    </w:p>
    <w:p>
      <w:pPr>
        <w:spacing w:after="120"/>
        <w:jc w:val="both"/>
      </w:pPr>
      <w:r>
        <w:t xml:space="preserve">donde S es el costo de preparación del pedido, h el costo de mantener una unidad un período y dₖ la demanda del período k. La recursión explota el principio de optimalidad: la política óptima desde j+1 es independiente de cómo se llegó a ese estado. Al final se reconstruye la política óptima: en qué períodos pedir y qué cantidad (cubriendo qué períodos).</w:t>
      </w:r>
    </w:p>
    <w:p>
      <w:pPr>
        <w:pStyle w:val="Heading1"/>
        <w:spacing w:after="160" w:before="320"/>
      </w:pPr>
      <w:r>
        <w:t xml:space="preserve">6. Modelos Determinísticos de Inventarios</w:t>
      </w:r>
    </w:p>
    <w:p>
      <w:pPr>
        <w:spacing w:after="120"/>
        <w:jc w:val="both"/>
      </w:pPr>
      <w:r>
        <w:t xml:space="preserve">Seis modelos resueltos por sustitución directa en las fórmulas cerradas de la teoría de inventarios. Cada resolución muestra la sustitución numérica paso a paso (fórmula, valores reemplazados y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345A8" w:val="clear"/>
            <w:tcMar>
              <w:top w:type="dxa" w:w="80"/>
              <w:left w:type="dxa" w:w="120"/>
              <w:bottom w:type="dxa" w:w="80"/>
              <w:right w:type="dxa" w:w="120"/>
            </w:tcMar>
          </w:tcPr>
          <w:p>
            <w:r>
              <w:rPr>
                <w:b/>
                <w:bCs/>
                <w:color w:val="FFFFFF"/>
                <w:sz w:val="20"/>
                <w:szCs w:val="20"/>
              </w:rPr>
              <w:t xml:space="preserve">Modelo</w:t>
            </w:r>
          </w:p>
        </w:tc>
        <w:tc>
          <w:tcPr>
            <w:tcW w:type="dxa" w:w="6760"/>
            <w:shd w:fill="1345A8" w:val="clear"/>
            <w:tcMar>
              <w:top w:type="dxa" w:w="80"/>
              <w:left w:type="dxa" w:w="120"/>
              <w:bottom w:type="dxa" w:w="80"/>
              <w:right w:type="dxa" w:w="120"/>
            </w:tcMar>
          </w:tcPr>
          <w:p>
            <w:r>
              <w:rPr>
                <w:b/>
                <w:bCs/>
                <w:color w:val="FFFFFF"/>
                <w:sz w:val="20"/>
                <w:szCs w:val="20"/>
              </w:rPr>
              <w:t xml:space="preserve">Fórmulas centrales</w:t>
            </w:r>
          </w:p>
        </w:tc>
      </w:tr>
      <w:tr>
        <w:tc>
          <w:tcPr>
            <w:tcW w:type="dxa" w:w="2600"/>
            <w:tcMar>
              <w:top w:type="dxa" w:w="60"/>
              <w:left w:type="dxa" w:w="120"/>
              <w:bottom w:type="dxa" w:w="60"/>
              <w:right w:type="dxa" w:w="120"/>
            </w:tcMar>
          </w:tcPr>
          <w:p>
            <w:r>
              <w:rPr>
                <w:sz w:val="20"/>
                <w:szCs w:val="20"/>
              </w:rPr>
              <w:t xml:space="preserve">EOQ básico</w:t>
            </w:r>
          </w:p>
        </w:tc>
        <w:tc>
          <w:tcPr>
            <w:tcW w:type="dxa" w:w="6760"/>
            <w:tcMar>
              <w:top w:type="dxa" w:w="60"/>
              <w:left w:type="dxa" w:w="120"/>
              <w:bottom w:type="dxa" w:w="60"/>
              <w:right w:type="dxa" w:w="120"/>
            </w:tcMar>
          </w:tcPr>
          <w:p>
            <w:r>
              <w:rPr>
                <w:sz w:val="20"/>
                <w:szCs w:val="20"/>
              </w:rPr>
              <w:t xml:space="preserve">Q* = √(2DS/H) · ROP = d̄·L + SS · SS = Z·σ·√L · CT = (D/Q*)S + (Q*/2)H</w:t>
            </w:r>
          </w:p>
        </w:tc>
      </w:tr>
      <w:tr>
        <w:tc>
          <w:tcPr>
            <w:tcW w:type="dxa" w:w="2600"/>
            <w:shd w:fill="F2F5FA" w:val="clear"/>
            <w:tcMar>
              <w:top w:type="dxa" w:w="60"/>
              <w:left w:type="dxa" w:w="120"/>
              <w:bottom w:type="dxa" w:w="60"/>
              <w:right w:type="dxa" w:w="120"/>
            </w:tcMar>
          </w:tcPr>
          <w:p>
            <w:r>
              <w:rPr>
                <w:sz w:val="20"/>
                <w:szCs w:val="20"/>
              </w:rPr>
              <w:t xml:space="preserve">EOQ con descuentos por cantidad</w:t>
            </w:r>
          </w:p>
        </w:tc>
        <w:tc>
          <w:tcPr>
            <w:tcW w:type="dxa" w:w="6760"/>
            <w:shd w:fill="F2F5FA" w:val="clear"/>
            <w:tcMar>
              <w:top w:type="dxa" w:w="60"/>
              <w:left w:type="dxa" w:w="120"/>
              <w:bottom w:type="dxa" w:w="60"/>
              <w:right w:type="dxa" w:w="120"/>
            </w:tcMar>
          </w:tcPr>
          <w:p>
            <w:r>
              <w:rPr>
                <w:sz w:val="20"/>
                <w:szCs w:val="20"/>
              </w:rPr>
              <w:t xml:space="preserve">Para cada nivel de precio: Q* = √(2DS/(r·p)); si Q* cae fuera del rango del descuento se ajusta a la cantidad factible más cercana; se compara CT = (D/Q)S + (Q/2)(r·p) + D·p y se elige el mínimo (procedimiento all-units clásico).</w:t>
            </w:r>
          </w:p>
        </w:tc>
      </w:tr>
      <w:tr>
        <w:tc>
          <w:tcPr>
            <w:tcW w:type="dxa" w:w="2600"/>
            <w:tcMar>
              <w:top w:type="dxa" w:w="60"/>
              <w:left w:type="dxa" w:w="120"/>
              <w:bottom w:type="dxa" w:w="60"/>
              <w:right w:type="dxa" w:w="120"/>
            </w:tcMar>
          </w:tcPr>
          <w:p>
            <w:r>
              <w:rPr>
                <w:sz w:val="20"/>
                <w:szCs w:val="20"/>
              </w:rPr>
              <w:t xml:space="preserve">EOQ con faltantes permitidos</w:t>
            </w:r>
          </w:p>
        </w:tc>
        <w:tc>
          <w:tcPr>
            <w:tcW w:type="dxa" w:w="6760"/>
            <w:tcMar>
              <w:top w:type="dxa" w:w="60"/>
              <w:left w:type="dxa" w:w="120"/>
              <w:bottom w:type="dxa" w:w="60"/>
              <w:right w:type="dxa" w:w="120"/>
            </w:tcMar>
          </w:tcPr>
          <w:p>
            <w:r>
              <w:rPr>
                <w:sz w:val="20"/>
                <w:szCs w:val="20"/>
              </w:rPr>
              <w:t xml:space="preserve">Q* = √((2DS/H)·((H+B)/B)) · S* = Q*·H/(H+B) · Imax = Q* − S* · CT = √(2DSHB/(H+B))</w:t>
            </w:r>
          </w:p>
        </w:tc>
      </w:tr>
      <w:tr>
        <w:tc>
          <w:tcPr>
            <w:tcW w:type="dxa" w:w="2600"/>
            <w:shd w:fill="F2F5FA" w:val="clear"/>
            <w:tcMar>
              <w:top w:type="dxa" w:w="60"/>
              <w:left w:type="dxa" w:w="120"/>
              <w:bottom w:type="dxa" w:w="60"/>
              <w:right w:type="dxa" w:w="120"/>
            </w:tcMar>
          </w:tcPr>
          <w:p>
            <w:r>
              <w:rPr>
                <w:sz w:val="20"/>
                <w:szCs w:val="20"/>
              </w:rPr>
              <w:t xml:space="preserve">Lote económico de producción (EPQ)</w:t>
            </w:r>
          </w:p>
        </w:tc>
        <w:tc>
          <w:tcPr>
            <w:tcW w:type="dxa" w:w="6760"/>
            <w:shd w:fill="F2F5FA" w:val="clear"/>
            <w:tcMar>
              <w:top w:type="dxa" w:w="60"/>
              <w:left w:type="dxa" w:w="120"/>
              <w:bottom w:type="dxa" w:w="60"/>
              <w:right w:type="dxa" w:w="120"/>
            </w:tcMar>
          </w:tcPr>
          <w:p>
            <w:r>
              <w:rPr>
                <w:sz w:val="20"/>
                <w:szCs w:val="20"/>
              </w:rPr>
              <w:t xml:space="preserve">Q* = √(2DS/(H·(1−D/P))) · Imax = Q*(1−D/P) — el factor (1−D/P) refleja que el inventario crece más lento porque se consume mientras se produce.</w:t>
            </w:r>
          </w:p>
        </w:tc>
      </w:tr>
      <w:tr>
        <w:tc>
          <w:tcPr>
            <w:tcW w:type="dxa" w:w="2600"/>
            <w:tcMar>
              <w:top w:type="dxa" w:w="60"/>
              <w:left w:type="dxa" w:w="120"/>
              <w:bottom w:type="dxa" w:w="60"/>
              <w:right w:type="dxa" w:w="120"/>
            </w:tcMar>
          </w:tcPr>
          <w:p>
            <w:r>
              <w:rPr>
                <w:sz w:val="20"/>
                <w:szCs w:val="20"/>
              </w:rPr>
              <w:t xml:space="preserve">Punto de reorden</w:t>
            </w:r>
          </w:p>
        </w:tc>
        <w:tc>
          <w:tcPr>
            <w:tcW w:type="dxa" w:w="6760"/>
            <w:tcMar>
              <w:top w:type="dxa" w:w="60"/>
              <w:left w:type="dxa" w:w="120"/>
              <w:bottom w:type="dxa" w:w="60"/>
              <w:right w:type="dxa" w:w="120"/>
            </w:tcMar>
          </w:tcPr>
          <w:p>
            <w:r>
              <w:rPr>
                <w:sz w:val="20"/>
                <w:szCs w:val="20"/>
              </w:rPr>
              <w:t xml:space="preserve">ROP = d̄·L + Z·σ_d·√L (demanda diaria promedio por tiempo de entrega, más stock de seguridad al nivel de servicio Z).</w:t>
            </w:r>
          </w:p>
        </w:tc>
      </w:tr>
      <w:tr>
        <w:tc>
          <w:tcPr>
            <w:tcW w:type="dxa" w:w="2600"/>
            <w:shd w:fill="F2F5FA" w:val="clear"/>
            <w:tcMar>
              <w:top w:type="dxa" w:w="60"/>
              <w:left w:type="dxa" w:w="120"/>
              <w:bottom w:type="dxa" w:w="60"/>
              <w:right w:type="dxa" w:w="120"/>
            </w:tcMar>
          </w:tcPr>
          <w:p>
            <w:r>
              <w:rPr>
                <w:sz w:val="20"/>
                <w:szCs w:val="20"/>
              </w:rPr>
              <w:t xml:space="preserve">Clasificación ABC</w:t>
            </w:r>
          </w:p>
        </w:tc>
        <w:tc>
          <w:tcPr>
            <w:tcW w:type="dxa" w:w="6760"/>
            <w:shd w:fill="F2F5FA" w:val="clear"/>
            <w:tcMar>
              <w:top w:type="dxa" w:w="60"/>
              <w:left w:type="dxa" w:w="120"/>
              <w:bottom w:type="dxa" w:w="60"/>
              <w:right w:type="dxa" w:w="120"/>
            </w:tcMar>
          </w:tcPr>
          <w:p>
            <w:r>
              <w:rPr>
                <w:sz w:val="20"/>
                <w:szCs w:val="20"/>
              </w:rPr>
              <w:t xml:space="preserve">SKUs ordenados por valor anual (costo unitario × uso anual) descendente; clase A hasta 75% acumulado, B hasta 95%, C el resto.</w:t>
            </w:r>
          </w:p>
        </w:tc>
      </w:tr>
    </w:tbl>
    <w:p>
      <w:pPr>
        <w:spacing w:before="120"/>
        <w:jc w:val="both"/>
      </w:pPr>
      <w:r>
        <w:rPr>
          <w:b/>
          <w:bCs/>
        </w:rPr>
        <w:t xml:space="preserve">Verificación: </w:t>
      </w:r>
      <w:r>
        <w:t xml:space="preserve">el modelo de descuentos por cantidad reproduce exactamente el ejemplo clásico del texto de Render &amp; Stair (Q* = 1 000 unidades al precio de $4.80, costo total $24 725).</w:t>
      </w:r>
    </w:p>
    <w:p>
      <w:pPr>
        <w:pStyle w:val="Heading1"/>
        <w:spacing w:after="160" w:before="320"/>
      </w:pPr>
      <w:r>
        <w:t xml:space="preserve">7. Capa de validación independiente (arquitectura multi-LLM)</w:t>
      </w:r>
    </w:p>
    <w:p>
      <w:pPr>
        <w:spacing w:after="120"/>
        <w:jc w:val="both"/>
      </w:pPr>
      <w:r>
        <w:t xml:space="preserve">Tras cada resolución iniciada desde el chat, un segundo modelo de lenguaje —con prompt independiente e instrucción explícita de no confiar en el primero— audita la solución en dos dimensiones:</w:t>
      </w:r>
    </w:p>
    <w:p>
      <w:pPr>
        <w:pStyle w:val="ListParagraph"/>
        <w:numPr>
          <w:ilvl w:val="0"/>
          <w:numId w:val="4"/>
        </w:numPr>
        <w:spacing w:after="80"/>
        <w:jc w:val="both"/>
      </w:pPr>
      <w:r>
        <w:rPr>
          <w:b/>
          <w:bCs/>
        </w:rPr>
        <w:t xml:space="preserve">Verificación aritmética: </w:t>
      </w:r>
      <w:r>
        <w:t xml:space="preserve">recalcula por su cuenta el valor objetivo (Σ cⱼ·xⱼ), evalúa cada restricción contra su lado derecho, re-deriva la fórmula de inventario con los parámetros dados, suma los pesos de la ruta o del árbol, o verifica oferta/demanda y costo total del plan de transporte, según el módulo.</w:t>
      </w:r>
    </w:p>
    <w:p>
      <w:pPr>
        <w:pStyle w:val="ListParagraph"/>
        <w:numPr>
          <w:ilvl w:val="0"/>
          <w:numId w:val="4"/>
        </w:numPr>
        <w:spacing w:after="80"/>
        <w:jc w:val="both"/>
      </w:pPr>
      <w:r>
        <w:rPr>
          <w:b/>
          <w:bCs/>
        </w:rPr>
        <w:t xml:space="preserve">Verificación semántica: </w:t>
      </w:r>
      <w:r>
        <w:t xml:space="preserve">relee el enunciado original y confirma que cada número de los parámetros interpretados proviene realmente del texto (sin valores inventados ni mal copiados) y que el sentido del modelo (maximizar/minimizar, significado de cada variable) corresponde a lo que el estudiante describió.</w:t>
      </w:r>
    </w:p>
    <w:p>
      <w:pPr>
        <w:spacing w:after="120"/>
        <w:jc w:val="both"/>
      </w:pPr>
      <w:r>
        <w:t xml:space="preserve">El veredicto (válido / con observaciones / inválido) se publica en el chat con los cálculos realizados, y queda registrado en el Anexo de Interacción con IA junto con la fecha, el prompt y la respuesta — cumpliendo el requisito de la rúbrica de que toda respuesta generada por IA sea verificada. En pruebas controladas, el validador detectó correctamente soluciones alteradas deliberadamente (por ejemplo, un valor objetivo incorrecto), reportando la discrepancia aritmética exacta.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345A8"/>
    </w:rPr>
  </w:style>
  <w:style w:type="paragraph" w:styleId="Heading2">
    <w:name w:val="Heading 2"/>
    <w:basedOn w:val="Normal"/>
    <w:next w:val="Normal"/>
    <w:qFormat/>
    <w:rPr>
      <w:b/>
      <w:bCs/>
      <w:color w:val="0D1B2A"/>
    </w:rPr>
  </w:style>
  <w:style w:type="paragraph" w:styleId="Heading3">
    <w:name w:val="Heading 3"/>
    <w:basedOn w:val="Normal"/>
    <w:next w:val="Normal"/>
    <w:qFormat/>
    <w:rPr>
      <w:b/>
      <w:bCs/>
      <w:i/>
      <w:iCs/>
      <w:color w:val="0D1B2A"/>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2026-07-09T09:47:41.868Z</dcterms:created>
  <dcterms:modified xsi:type="dcterms:W3CDTF">2026-07-09T09:47:41.870Z</dcterms:modified>
</cp:coreProperties>
</file>

<file path=docProps/custom.xml><?xml version="1.0" encoding="utf-8"?>
<Properties xmlns="http://schemas.openxmlformats.org/officeDocument/2006/custom-properties" xmlns:vt="http://schemas.openxmlformats.org/officeDocument/2006/docPropsVTypes"/>
</file>