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/>
      </w:pPr>
    </w:p>
    <w:p>
      <w:pPr>
        <w:spacing w:after="240"/>
        <w:jc w:val="center"/>
      </w:pPr>
      <w:r>
        <w:rPr>
          <w:rFonts w:ascii="Arial" w:hAnsi="Arial"/>
          <w:b/>
          <w:color w:val="0B675B"/>
          <w:sz w:val="18"/>
        </w:rPr>
        <w:t>PROYECTO ESCOLAR DE INGENIERÍA DE SOFTWARE</w:t>
      </w:r>
    </w:p>
    <w:p>
      <w:pPr>
        <w:pStyle w:val="Title"/>
        <w:jc w:val="center"/>
      </w:pPr>
      <w:r>
        <w:t>Informe de cierre EduPréstamo</w:t>
      </w:r>
    </w:p>
    <w:p>
      <w:pPr>
        <w:spacing w:after="800"/>
        <w:jc w:val="center"/>
      </w:pPr>
      <w:r>
        <w:rPr>
          <w:rFonts w:ascii="Arial" w:hAnsi="Arial"/>
          <w:color w:val="586966"/>
          <w:sz w:val="28"/>
        </w:rPr>
        <w:t>Sistema para la gestión de recursos y préstamos escolares</w:t>
      </w:r>
    </w:p>
    <w:p>
      <w:pPr>
        <w:spacing w:after="840"/>
        <w:ind w:left="936" w:right="936"/>
        <w:jc w:val="center"/>
      </w:pPr>
      <w:r>
        <w:t>La entrega implementa autenticación JWT, roles ADMIN y USER, inventario, solicitudes de préstamo, pruebas automatizadas, CI/CD y análisis de seguridad y calidad. Las 27 pruebas aprobaron y la cobertura superó el 80 por ciento.</w:t>
      </w:r>
    </w:p>
    <w:p>
      <w:pPr>
        <w:spacing w:before="1600"/>
        <w:jc w:val="center"/>
      </w:pPr>
      <w:r>
        <w:rPr>
          <w:b/>
        </w:rPr>
        <w:t>Fecha de cierre</w:t>
        <w:br/>
      </w:r>
      <w:r>
        <w:t>18 de septiembre de 2026</w:t>
        <w:br/>
        <w:br/>
      </w:r>
      <w:r>
        <w:rPr>
          <w:b/>
        </w:rPr>
        <w:t>Versión</w:t>
        <w:br/>
      </w:r>
      <w:r>
        <w:t>1.0.0</w:t>
      </w:r>
    </w:p>
    <w:p>
      <w:r>
        <w:br w:type="page"/>
      </w:r>
    </w:p>
    <w:p>
      <w:pPr>
        <w:pStyle w:val="Heading1"/>
      </w:pPr>
      <w:r>
        <w:t>Resumen ejecutivo</w:t>
      </w:r>
    </w:p>
    <w:p>
      <w:r>
        <w:t>EduPréstamo quedó implementado como una aplicación web funcional para registrar recursos escolares y controlar el ciclo de préstamo. El sistema permite crear cuentas USER, iniciar sesión mediante JWT, consultar disponibilidad, solicitar materiales y administrar aprobaciones, entregas y devoluciones. El administrador también dispone de indicadores, gestión de recursos y trazabilidad por solicitante.</w:t>
      </w:r>
    </w:p>
    <w:p>
      <w:r>
        <w:t>La validación automática aprobó 27 pruebas en cuatro suites. Jest registró 94.86 % de statements, 85.71 % de branches, 98.64 % de functions y 96.02 % de lines. OWASP ZAP no encontró XSS, inyección SQL ni alertas altas. SonarQube aprobó el Quality Gate con cero bugs, vulnerabilidades, code smells, deuda técnica y duplicación.</w:t>
      </w:r>
    </w:p>
    <w:p>
      <w:pPr>
        <w:pStyle w:val="Heading1"/>
      </w:pPr>
      <w:r>
        <w:t>Objetivo del proyecto</w:t>
      </w:r>
    </w:p>
    <w:p>
      <w:r>
        <w:t>Implementar y validar, antes del cierre del proyecto escolar, un módulo web de préstamos de recursos con autenticación JWT, roles ADMIN y USER, cobertura automatizada mínima de 80 %, pipeline CI/CD, análisis OWASP ZAP y análisis SonarQube, conservando evidencias reproducibles de cada resultado.</w:t>
      </w:r>
    </w:p>
    <w:p>
      <w:r>
        <w:t>El objetivo es específico porque define el módulo y sus controles; medible por la cobertura, pruebas y Quality Gate; alcanzable mediante una arquitectura modular; relevante para la administración de recursos; y delimitado por la fecha de cierre.</w:t>
      </w:r>
    </w:p>
    <w:p>
      <w:pPr>
        <w:pStyle w:val="Heading1"/>
      </w:pPr>
      <w:r>
        <w:t>Alcance funcional</w:t>
      </w:r>
    </w:p>
    <w:p>
      <w:pPr>
        <w:pStyle w:val="ListBullet"/>
        <w:spacing w:after="60" w:line="252" w:lineRule="auto"/>
      </w:pPr>
      <w:r>
        <w:t>Registro de cuentas públicas con rol USER fijo e inicio de sesión con JWT.</w:t>
      </w:r>
    </w:p>
    <w:p>
      <w:pPr>
        <w:pStyle w:val="ListBullet"/>
        <w:spacing w:after="60" w:line="252" w:lineRule="auto"/>
      </w:pPr>
      <w:r>
        <w:t>Control de acceso para funciones administrativas y funciones personales.</w:t>
      </w:r>
    </w:p>
    <w:p>
      <w:pPr>
        <w:pStyle w:val="ListBullet"/>
        <w:spacing w:after="60" w:line="252" w:lineRule="auto"/>
      </w:pPr>
      <w:r>
        <w:t>Inventario con categorías, condición, existencias, búsqueda y baja lógica.</w:t>
      </w:r>
    </w:p>
    <w:p>
      <w:pPr>
        <w:pStyle w:val="ListBullet"/>
        <w:spacing w:after="60" w:line="252" w:lineRule="auto"/>
      </w:pPr>
      <w:r>
        <w:t>Solicitudes con estados PENDING, APPROVED, REJECTED, DELIVERED, RETURNED y CANCELLED.</w:t>
      </w:r>
    </w:p>
    <w:p>
      <w:pPr>
        <w:pStyle w:val="ListBullet"/>
        <w:spacing w:after="60" w:line="252" w:lineRule="auto"/>
      </w:pPr>
      <w:r>
        <w:t>Actualización transaccional de existencias durante aprobación y devolución.</w:t>
      </w:r>
    </w:p>
    <w:p>
      <w:pPr>
        <w:pStyle w:val="ListBullet"/>
        <w:spacing w:after="60" w:line="252" w:lineRule="auto"/>
      </w:pPr>
      <w:r>
        <w:t>Panel administrativo con resumen, recursos, solicitudes y datos del solicitante.</w:t>
      </w:r>
    </w:p>
    <w:p>
      <w:pPr>
        <w:pStyle w:val="ListBullet"/>
        <w:spacing w:after="60" w:line="252" w:lineRule="auto"/>
      </w:pPr>
      <w:r>
        <w:t>Reportes técnicos de pruebas, seguridad, calidad y despliegue.</w:t>
      </w:r>
    </w:p>
    <w:p>
      <w:r>
        <w:br w:type="page"/>
      </w:r>
    </w:p>
    <w:p>
      <w:pPr>
        <w:pStyle w:val="Heading1"/>
      </w:pPr>
      <w:r>
        <w:t>Arquitectura implementada</w:t>
      </w:r>
    </w:p>
    <w:p>
      <w:r>
        <w:t>La solución utiliza una SPA en HTML, CSS y JavaScript, una API REST en Node.js 22 con Express 5 y una base SQLite. El prototipo se mantuvo como monolito modular para reducir dependencias externas y facilitar su evaluación. Las consultas SQL usan parámetros y las operaciones que afectan inventario se ejecutan dentro de transacciones.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0B675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Capa</w:t>
            </w:r>
          </w:p>
        </w:tc>
        <w:tc>
          <w:tcPr>
            <w:tcW w:type="dxa" w:w="2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0B675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Tecnología</w:t>
            </w:r>
          </w:p>
        </w:tc>
        <w:tc>
          <w:tcPr>
            <w:tcW w:type="dxa" w:w="54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0B675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Responsabilidad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Interfaz</w:t>
            </w:r>
          </w:p>
        </w:tc>
        <w:tc>
          <w:tcPr>
            <w:tcW w:type="dxa" w:w="2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HTML CSS JavaScript</w:t>
            </w:r>
          </w:p>
        </w:tc>
        <w:tc>
          <w:tcPr>
            <w:tcW w:type="dxa" w:w="54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Acceso, catálogo, solicitudes y administración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7F7"/>
          </w:tcPr>
          <w:p>
            <w:pPr>
              <w:spacing w:after="20" w:line="259" w:lineRule="auto"/>
            </w:pPr>
            <w:r>
              <w:rPr>
                <w:sz w:val="17"/>
              </w:rPr>
              <w:t>API</w:t>
            </w:r>
          </w:p>
        </w:tc>
        <w:tc>
          <w:tcPr>
            <w:tcW w:type="dxa" w:w="2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7F7"/>
          </w:tcPr>
          <w:p>
            <w:pPr>
              <w:spacing w:after="20" w:line="259" w:lineRule="auto"/>
            </w:pPr>
            <w:r>
              <w:rPr>
                <w:sz w:val="17"/>
              </w:rPr>
              <w:t>Node.js 22 y Express 5</w:t>
            </w:r>
          </w:p>
        </w:tc>
        <w:tc>
          <w:tcPr>
            <w:tcW w:type="dxa" w:w="54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7F7"/>
          </w:tcPr>
          <w:p>
            <w:pPr>
              <w:spacing w:after="20" w:line="259" w:lineRule="auto"/>
            </w:pPr>
            <w:r>
              <w:rPr>
                <w:sz w:val="17"/>
              </w:rPr>
              <w:t>Reglas de negocio, validación y respuestas JSON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Datos</w:t>
            </w:r>
          </w:p>
        </w:tc>
        <w:tc>
          <w:tcPr>
            <w:tcW w:type="dxa" w:w="2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SQLite</w:t>
            </w:r>
          </w:p>
        </w:tc>
        <w:tc>
          <w:tcPr>
            <w:tcW w:type="dxa" w:w="54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Usuarios, recursos, préstamos y trazabilidad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7F7"/>
          </w:tcPr>
          <w:p>
            <w:pPr>
              <w:spacing w:after="20" w:line="259" w:lineRule="auto"/>
            </w:pPr>
            <w:r>
              <w:rPr>
                <w:sz w:val="17"/>
              </w:rPr>
              <w:t>Seguridad</w:t>
            </w:r>
          </w:p>
        </w:tc>
        <w:tc>
          <w:tcPr>
            <w:tcW w:type="dxa" w:w="2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7F7"/>
          </w:tcPr>
          <w:p>
            <w:pPr>
              <w:spacing w:after="20" w:line="259" w:lineRule="auto"/>
            </w:pPr>
            <w:r>
              <w:rPr>
                <w:sz w:val="17"/>
              </w:rPr>
              <w:t>JWT bcrypt Helmet CORS</w:t>
            </w:r>
          </w:p>
        </w:tc>
        <w:tc>
          <w:tcPr>
            <w:tcW w:type="dxa" w:w="54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7F7"/>
          </w:tcPr>
          <w:p>
            <w:pPr>
              <w:spacing w:after="20" w:line="259" w:lineRule="auto"/>
            </w:pPr>
            <w:r>
              <w:rPr>
                <w:sz w:val="17"/>
              </w:rPr>
              <w:t>Autenticación, roles, contraseñas y encabezados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Entrega</w:t>
            </w:r>
          </w:p>
        </w:tc>
        <w:tc>
          <w:tcPr>
            <w:tcW w:type="dxa" w:w="2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Docker GitHub Actions</w:t>
            </w:r>
          </w:p>
        </w:tc>
        <w:tc>
          <w:tcPr>
            <w:tcW w:type="dxa" w:w="54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Entorno reproducible y validación automatizada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admin-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i/>
          <w:color w:val="586966"/>
          <w:sz w:val="17"/>
        </w:rPr>
        <w:t>Figura 1 Panel administrativo y resumen operativo</w:t>
      </w:r>
    </w:p>
    <w:p>
      <w:pPr>
        <w:pStyle w:val="Heading1"/>
      </w:pPr>
      <w:r>
        <w:t>Implementación y seguridad</w:t>
      </w:r>
    </w:p>
    <w:p>
      <w:pPr>
        <w:pStyle w:val="Heading2"/>
      </w:pPr>
      <w:r>
        <w:t>Autenticación y roles</w:t>
      </w:r>
    </w:p>
    <w:p>
      <w:r>
        <w:t>El servidor firma tokens JWT con HS256 y valida emisor, audiencia y caducidad. Las contraseñas se almacenan con bcrypt. El registro público no acepta un rol enviado por el cliente y asigna siempre USER. Las rutas administrativas exigen el rol ADMIN.</w:t>
      </w:r>
    </w:p>
    <w:p>
      <w:pPr>
        <w:pStyle w:val="Heading2"/>
      </w:pPr>
      <w:r>
        <w:t>Protecciones aplicadas</w:t>
      </w:r>
    </w:p>
    <w:p>
      <w:pPr>
        <w:pStyle w:val="ListBullet"/>
        <w:spacing w:after="60" w:line="252" w:lineRule="auto"/>
      </w:pPr>
      <w:r>
        <w:t>Bloqueo temporal de la cuenta después de tres intentos fallidos.</w:t>
      </w:r>
    </w:p>
    <w:p>
      <w:pPr>
        <w:pStyle w:val="ListBullet"/>
        <w:spacing w:after="60" w:line="252" w:lineRule="auto"/>
      </w:pPr>
      <w:r>
        <w:t>Respuesta uniforme de autenticación para evitar enumeración de correos.</w:t>
      </w:r>
    </w:p>
    <w:p>
      <w:pPr>
        <w:pStyle w:val="ListBullet"/>
        <w:spacing w:after="60" w:line="252" w:lineRule="auto"/>
      </w:pPr>
      <w:r>
        <w:t>Consultas SQL parametrizadas y transacciones para cambios de existencias.</w:t>
      </w:r>
    </w:p>
    <w:p>
      <w:pPr>
        <w:pStyle w:val="ListBullet"/>
        <w:spacing w:after="60" w:line="252" w:lineRule="auto"/>
      </w:pPr>
      <w:r>
        <w:t>Helmet con política de seguridad de contenido y encabezados adicionales.</w:t>
      </w:r>
    </w:p>
    <w:p>
      <w:pPr>
        <w:pStyle w:val="ListBullet"/>
        <w:spacing w:after="60" w:line="252" w:lineRule="auto"/>
      </w:pPr>
      <w:r>
        <w:t>CORS del mismo origen por defecto y cuerpo JSON limitado a 32 KiB.</w:t>
      </w:r>
    </w:p>
    <w:p>
      <w:pPr>
        <w:pStyle w:val="ListBullet"/>
        <w:spacing w:after="60" w:line="252" w:lineRule="auto"/>
      </w:pPr>
      <w:r>
        <w:t>Validación de longitud, formato, fechas, cantidades, estados y roles.</w:t>
      </w:r>
    </w:p>
    <w:p>
      <w:pPr>
        <w:pStyle w:val="ListBullet"/>
        <w:spacing w:after="60" w:line="252" w:lineRule="auto"/>
      </w:pPr>
      <w:r>
        <w:t>Secreto JWT obligatorio y de al menos 32 bytes en producción.</w:t>
      </w:r>
    </w:p>
    <w:p>
      <w:pPr>
        <w:pStyle w:val="Heading2"/>
      </w:pPr>
      <w:r>
        <w:t>Separación de información</w:t>
      </w:r>
    </w:p>
    <w:p>
      <w:r>
        <w:t>Cada usuario consulta únicamente sus préstamos. El administrador conserva dos vistas: Mis préstamos muestra sus solicitudes personales y Solicitudes muestra todos los registros con nombre y correo del solicitante. Esta separación evita confundir la actividad administrativa con la actividad personal.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user-catalo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i/>
          <w:color w:val="586966"/>
          <w:sz w:val="17"/>
        </w:rPr>
        <w:t>Figura 2 Catálogo disponible para una cuenta USER</w:t>
      </w:r>
    </w:p>
    <w:p>
      <w:r>
        <w:br w:type="page"/>
      </w:r>
    </w:p>
    <w:p>
      <w:pPr>
        <w:pStyle w:val="Heading1"/>
      </w:pPr>
      <w:r>
        <w:t>Pruebas automatizadas</w:t>
      </w:r>
    </w:p>
    <w:p>
      <w:r>
        <w:t>Las pruebas se ejecutaron con Jest y Supertest en una instalación limpia. Cubren autenticación, autorización, privacidad entre cuentas, recursos, préstamos, estados, sobreasignación, reportes y manejo de errores. El umbral global configurado es 80 %.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5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0B675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0B675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0B675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Umbral</w:t>
            </w:r>
          </w:p>
        </w:tc>
        <w:tc>
          <w:tcPr>
            <w:tcW w:type="dxa" w:w="2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0B675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Statements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94.86 %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80 %</w:t>
            </w:r>
          </w:p>
        </w:tc>
        <w:tc>
          <w:tcPr>
            <w:tcW w:type="dxa" w:w="2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Aprobado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7F7"/>
          </w:tcPr>
          <w:p>
            <w:pPr>
              <w:spacing w:after="20" w:line="259" w:lineRule="auto"/>
            </w:pPr>
            <w:r>
              <w:rPr>
                <w:sz w:val="17"/>
              </w:rPr>
              <w:t>Branches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7F7"/>
          </w:tcPr>
          <w:p>
            <w:pPr>
              <w:spacing w:after="20" w:line="259" w:lineRule="auto"/>
            </w:pPr>
            <w:r>
              <w:rPr>
                <w:sz w:val="17"/>
              </w:rPr>
              <w:t>85.71 %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7F7"/>
          </w:tcPr>
          <w:p>
            <w:pPr>
              <w:spacing w:after="20" w:line="259" w:lineRule="auto"/>
            </w:pPr>
            <w:r>
              <w:rPr>
                <w:sz w:val="17"/>
              </w:rPr>
              <w:t>80 %</w:t>
            </w:r>
          </w:p>
        </w:tc>
        <w:tc>
          <w:tcPr>
            <w:tcW w:type="dxa" w:w="2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7F7"/>
          </w:tcPr>
          <w:p>
            <w:pPr>
              <w:spacing w:after="20" w:line="259" w:lineRule="auto"/>
            </w:pPr>
            <w:r>
              <w:rPr>
                <w:sz w:val="17"/>
              </w:rPr>
              <w:t>Aprobado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Functions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98.64 %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80 %</w:t>
            </w:r>
          </w:p>
        </w:tc>
        <w:tc>
          <w:tcPr>
            <w:tcW w:type="dxa" w:w="2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Aprobado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7F7"/>
          </w:tcPr>
          <w:p>
            <w:pPr>
              <w:spacing w:after="20" w:line="259" w:lineRule="auto"/>
            </w:pPr>
            <w:r>
              <w:rPr>
                <w:sz w:val="17"/>
              </w:rPr>
              <w:t>Lines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7F7"/>
          </w:tcPr>
          <w:p>
            <w:pPr>
              <w:spacing w:after="20" w:line="259" w:lineRule="auto"/>
            </w:pPr>
            <w:r>
              <w:rPr>
                <w:sz w:val="17"/>
              </w:rPr>
              <w:t>96.02 %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7F7"/>
          </w:tcPr>
          <w:p>
            <w:pPr>
              <w:spacing w:after="20" w:line="259" w:lineRule="auto"/>
            </w:pPr>
            <w:r>
              <w:rPr>
                <w:sz w:val="17"/>
              </w:rPr>
              <w:t>80 %</w:t>
            </w:r>
          </w:p>
        </w:tc>
        <w:tc>
          <w:tcPr>
            <w:tcW w:type="dxa" w:w="2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7F7"/>
          </w:tcPr>
          <w:p>
            <w:pPr>
              <w:spacing w:after="20" w:line="259" w:lineRule="auto"/>
            </w:pPr>
            <w:r>
              <w:rPr>
                <w:sz w:val="17"/>
              </w:rPr>
              <w:t>Aprobado</w:t>
            </w:r>
          </w:p>
        </w:tc>
      </w:tr>
    </w:tbl>
    <w:p>
      <w:pPr>
        <w:spacing w:after="20"/>
      </w:pPr>
    </w:p>
    <w:p>
      <w:r>
        <w:t>Resultado de ejecución: 4 suites aprobadas, 27 pruebas aprobadas y 0 fallidas. La cobertura publicada corresponde al backend y no incluye src/public, src/server.js ni src/seed.js.</w:t>
      </w:r>
    </w:p>
    <w:p>
      <w:pPr>
        <w:pStyle w:val="Heading1"/>
      </w:pPr>
      <w:r>
        <w:t>Integración y entrega continuas</w:t>
      </w:r>
    </w:p>
    <w:p>
      <w:r>
        <w:t>El workflow de GitHub Actions se ejecuta en pushes, pull requests y de forma manual. La primera etapa instala dependencias, ejecuta ESLint y Jest, y publica la cobertura. La segunda construye la imagen, inicia un entorno efímero, espera el healthcheck y ejecuta ZAP. La tercera envía el análisis a Sonar cuando existe un token configurado.</w:t>
      </w:r>
    </w:p>
    <w:p>
      <w:pPr>
        <w:pStyle w:val="ListNumber"/>
        <w:spacing w:after="60" w:line="252" w:lineRule="auto"/>
      </w:pPr>
      <w:r>
        <w:t>Quality ejecuta npm ci, lint y pruebas con cobertura.</w:t>
      </w:r>
    </w:p>
    <w:p>
      <w:pPr>
        <w:pStyle w:val="ListNumber"/>
        <w:spacing w:after="60" w:line="252" w:lineRule="auto"/>
      </w:pPr>
      <w:r>
        <w:t>Container security construye y valida la imagen de producción.</w:t>
      </w:r>
    </w:p>
    <w:p>
      <w:pPr>
        <w:pStyle w:val="ListNumber"/>
        <w:spacing w:after="60" w:line="252" w:lineRule="auto"/>
      </w:pPr>
      <w:r>
        <w:t>El despliegue de prueba responde en GET /health.</w:t>
      </w:r>
    </w:p>
    <w:p>
      <w:pPr>
        <w:pStyle w:val="ListNumber"/>
        <w:spacing w:after="60" w:line="252" w:lineRule="auto"/>
      </w:pPr>
      <w:r>
        <w:t>OWASP ZAP escanea el entorno autorizado y conserva sus reportes.</w:t>
      </w:r>
    </w:p>
    <w:p>
      <w:pPr>
        <w:pStyle w:val="ListNumber"/>
        <w:spacing w:after="60" w:line="252" w:lineRule="auto"/>
      </w:pPr>
      <w:r>
        <w:t>Sonar analiza fuentes, pruebas y LCOV cuando se configura SONAR_TOKEN.</w:t>
      </w:r>
    </w:p>
    <w:p>
      <w:r>
        <w:t>Las etapas principales fueron validadas localmente. El repositorio aún no está conectado a GitHub, por lo que no se declara una ejecución remota ni una URL inexistente. Al publicar el repositorio, el siguiente push iniciará el workflow configurado.</w:t>
      </w:r>
    </w:p>
    <w:p>
      <w:pPr>
        <w:pStyle w:val="Heading1"/>
      </w:pPr>
      <w:r>
        <w:t>Resultados de OWASP ZAP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0B675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Severidad</w:t>
            </w:r>
          </w:p>
        </w:tc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0B675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Tipos de alerta</w:t>
            </w:r>
          </w:p>
        </w:tc>
        <w:tc>
          <w:tcPr>
            <w:tcW w:type="dxa" w:w="54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0B675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Interpretación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Alta</w:t>
            </w:r>
          </w:p>
        </w:tc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0</w:t>
            </w:r>
          </w:p>
        </w:tc>
        <w:tc>
          <w:tcPr>
            <w:tcW w:type="dxa" w:w="54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Sin hallazgos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7F7"/>
          </w:tcPr>
          <w:p>
            <w:pPr>
              <w:spacing w:after="20" w:line="259" w:lineRule="auto"/>
            </w:pPr>
            <w:r>
              <w:rPr>
                <w:sz w:val="17"/>
              </w:rPr>
              <w:t>Media</w:t>
            </w:r>
          </w:p>
        </w:tc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7F7"/>
          </w:tcPr>
          <w:p>
            <w:pPr>
              <w:spacing w:after="20" w:line="259" w:lineRule="auto"/>
            </w:pPr>
            <w:r>
              <w:rPr>
                <w:sz w:val="17"/>
              </w:rPr>
              <w:t>2</w:t>
            </w:r>
          </w:p>
        </w:tc>
        <w:tc>
          <w:tcPr>
            <w:tcW w:type="dxa" w:w="54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7F7"/>
          </w:tcPr>
          <w:p>
            <w:pPr>
              <w:spacing w:after="20" w:line="259" w:lineRule="auto"/>
            </w:pPr>
            <w:r>
              <w:rPr>
                <w:sz w:val="17"/>
              </w:rPr>
              <w:t>CSRF sin cookies y HTTP local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Baja</w:t>
            </w:r>
          </w:p>
        </w:tc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0</w:t>
            </w:r>
          </w:p>
        </w:tc>
        <w:tc>
          <w:tcPr>
            <w:tcW w:type="dxa" w:w="54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Sin hallazgos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7F7"/>
          </w:tcPr>
          <w:p>
            <w:pPr>
              <w:spacing w:after="20" w:line="259" w:lineRule="auto"/>
            </w:pPr>
            <w:r>
              <w:rPr>
                <w:sz w:val="17"/>
              </w:rPr>
              <w:t>Informativa</w:t>
            </w:r>
          </w:p>
        </w:tc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7F7"/>
          </w:tcPr>
          <w:p>
            <w:pPr>
              <w:spacing w:after="20" w:line="259" w:lineRule="auto"/>
            </w:pPr>
            <w:r>
              <w:rPr>
                <w:sz w:val="17"/>
              </w:rPr>
              <w:t>4</w:t>
            </w:r>
          </w:p>
        </w:tc>
        <w:tc>
          <w:tcPr>
            <w:tcW w:type="dxa" w:w="54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7F7"/>
          </w:tcPr>
          <w:p>
            <w:pPr>
              <w:spacing w:after="20" w:line="259" w:lineRule="auto"/>
            </w:pPr>
            <w:r>
              <w:rPr>
                <w:sz w:val="17"/>
              </w:rPr>
              <w:t>Autenticación y comportamiento de caché</w:t>
            </w:r>
          </w:p>
        </w:tc>
      </w:tr>
    </w:tbl>
    <w:p>
      <w:pPr>
        <w:spacing w:after="20"/>
      </w:pPr>
    </w:p>
    <w:p>
      <w:r>
        <w:t>ZAP 2.17.0 no detectó alertas de XSS, inyección SQL ni severidad alta. La alerta anti CSRF se revisó considerando que la autenticación se transmite mediante JWT Bearer y no mediante una cookie de sesión automática. La alerta HTTP corresponde exclusivamente al entorno local. Un despliegue público debe usar TLS.</w:t>
      </w:r>
    </w:p>
    <w:p>
      <w:r>
        <w:t>El spider cubrió la superficie pública y el endpoint de inicio de sesión. Las rutas protegidas también se ejercitaron mediante pruebas HTTP automatizadas. Se conserva como mejora pendiente un escaneo API autenticado para USER y ADMIN.</w:t>
      </w:r>
    </w:p>
    <w:p>
      <w:pPr>
        <w:pStyle w:val="Heading1"/>
      </w:pPr>
      <w:r>
        <w:t>Resultados de SonarQube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0B675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295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0B675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Primer análisis</w:t>
            </w:r>
          </w:p>
        </w:tc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0B675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 final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Quality Gate</w:t>
            </w:r>
          </w:p>
        </w:tc>
        <w:tc>
          <w:tcPr>
            <w:tcW w:type="dxa" w:w="295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Aprobado</w:t>
            </w:r>
          </w:p>
        </w:tc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Aprobado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7F7"/>
          </w:tcPr>
          <w:p>
            <w:pPr>
              <w:spacing w:after="20" w:line="259" w:lineRule="auto"/>
            </w:pPr>
            <w:r>
              <w:rPr>
                <w:sz w:val="17"/>
              </w:rPr>
              <w:t>Bugs</w:t>
            </w:r>
          </w:p>
        </w:tc>
        <w:tc>
          <w:tcPr>
            <w:tcW w:type="dxa" w:w="295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7F7"/>
          </w:tcPr>
          <w:p>
            <w:pPr>
              <w:spacing w:after="20" w:line="259" w:lineRule="auto"/>
            </w:pPr>
            <w:r>
              <w:rPr>
                <w:sz w:val="17"/>
              </w:rPr>
              <w:t>0</w:t>
            </w:r>
          </w:p>
        </w:tc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7F7"/>
          </w:tcPr>
          <w:p>
            <w:pPr>
              <w:spacing w:after="20" w:line="259" w:lineRule="auto"/>
            </w:pPr>
            <w:r>
              <w:rPr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Vulnerabilidades</w:t>
            </w:r>
          </w:p>
        </w:tc>
        <w:tc>
          <w:tcPr>
            <w:tcW w:type="dxa" w:w="295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0</w:t>
            </w:r>
          </w:p>
        </w:tc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7F7"/>
          </w:tcPr>
          <w:p>
            <w:pPr>
              <w:spacing w:after="20" w:line="259" w:lineRule="auto"/>
            </w:pPr>
            <w:r>
              <w:rPr>
                <w:sz w:val="17"/>
              </w:rPr>
              <w:t>Code smells</w:t>
            </w:r>
          </w:p>
        </w:tc>
        <w:tc>
          <w:tcPr>
            <w:tcW w:type="dxa" w:w="295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7F7"/>
          </w:tcPr>
          <w:p>
            <w:pPr>
              <w:spacing w:after="20" w:line="259" w:lineRule="auto"/>
            </w:pPr>
            <w:r>
              <w:rPr>
                <w:sz w:val="17"/>
              </w:rPr>
              <w:t>7</w:t>
            </w:r>
          </w:p>
        </w:tc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7F7"/>
          </w:tcPr>
          <w:p>
            <w:pPr>
              <w:spacing w:after="20" w:line="259" w:lineRule="auto"/>
            </w:pPr>
            <w:r>
              <w:rPr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Deuda técnica</w:t>
            </w:r>
          </w:p>
        </w:tc>
        <w:tc>
          <w:tcPr>
            <w:tcW w:type="dxa" w:w="295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63 minutos</w:t>
            </w:r>
          </w:p>
        </w:tc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0 minutos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7F7"/>
          </w:tcPr>
          <w:p>
            <w:pPr>
              <w:spacing w:after="20" w:line="259" w:lineRule="auto"/>
            </w:pPr>
            <w:r>
              <w:rPr>
                <w:sz w:val="17"/>
              </w:rPr>
              <w:t>Duplicación</w:t>
            </w:r>
          </w:p>
        </w:tc>
        <w:tc>
          <w:tcPr>
            <w:tcW w:type="dxa" w:w="295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7F7"/>
          </w:tcPr>
          <w:p>
            <w:pPr>
              <w:spacing w:after="20" w:line="259" w:lineRule="auto"/>
            </w:pPr>
            <w:r>
              <w:rPr>
                <w:sz w:val="17"/>
              </w:rPr>
              <w:t>0.0 %</w:t>
            </w:r>
          </w:p>
        </w:tc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7F7"/>
          </w:tcPr>
          <w:p>
            <w:pPr>
              <w:spacing w:after="20" w:line="259" w:lineRule="auto"/>
            </w:pPr>
            <w:r>
              <w:rPr>
                <w:sz w:val="17"/>
              </w:rPr>
              <w:t>0.0 %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Cobertura Sonar</w:t>
            </w:r>
          </w:p>
        </w:tc>
        <w:tc>
          <w:tcPr>
            <w:tcW w:type="dxa" w:w="295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91.7 %</w:t>
            </w:r>
          </w:p>
        </w:tc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91.6 %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7F7"/>
          </w:tcPr>
          <w:p>
            <w:pPr>
              <w:spacing w:after="20" w:line="259" w:lineRule="auto"/>
            </w:pPr>
            <w:r>
              <w:rPr>
                <w:sz w:val="17"/>
              </w:rPr>
              <w:t>Hotspots</w:t>
            </w:r>
          </w:p>
        </w:tc>
        <w:tc>
          <w:tcPr>
            <w:tcW w:type="dxa" w:w="295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7F7"/>
          </w:tcPr>
          <w:p>
            <w:pPr>
              <w:spacing w:after="20" w:line="259" w:lineRule="auto"/>
            </w:pPr>
            <w:r>
              <w:rPr>
                <w:sz w:val="17"/>
              </w:rPr>
              <w:t>4</w:t>
            </w:r>
          </w:p>
        </w:tc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7F7"/>
          </w:tcPr>
          <w:p>
            <w:pPr>
              <w:spacing w:after="20" w:line="259" w:lineRule="auto"/>
            </w:pPr>
            <w:r>
              <w:rPr>
                <w:sz w:val="17"/>
              </w:rPr>
              <w:t>4 revisados</w:t>
            </w:r>
          </w:p>
        </w:tc>
      </w:tr>
    </w:tbl>
    <w:p>
      <w:pPr>
        <w:spacing w:after="20"/>
      </w:pPr>
    </w:p>
    <w:p>
      <w:r>
        <w:t>La refactorización eliminó los siete code smells y toda la deuda técnica reportada. Sonar mantuvo calificaciones A en fiabilidad, seguridad y mantenibilidad. Los cuatro hotspots corresponden a dos credenciales demo, un falso positivo en la función de validación de contraseña y una expresión regular limitada a entradas de 254 caracteres.</w:t>
      </w:r>
    </w:p>
    <w:p>
      <w:pPr>
        <w:pStyle w:val="Heading1"/>
      </w:pPr>
      <w:r>
        <w:t>Comparación entre planificación y ejecución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314F6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314F6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Planificado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314F6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Ejecutado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314F6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Causa e impacto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Base de datos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MySQL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SQLite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Facilitó una demostración reproducible sin servidor externo. La migración queda prevista.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7F7"/>
          </w:tcPr>
          <w:p>
            <w:pPr>
              <w:spacing w:after="20" w:line="259" w:lineRule="auto"/>
            </w:pPr>
            <w:r>
              <w:rPr>
                <w:sz w:val="17"/>
              </w:rPr>
              <w:t>Roles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7F7"/>
          </w:tcPr>
          <w:p>
            <w:pPr>
              <w:spacing w:after="20" w:line="259" w:lineRule="auto"/>
            </w:pPr>
            <w:r>
              <w:rPr>
                <w:sz w:val="17"/>
              </w:rPr>
              <w:t>Estudiante docente administrador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7F7"/>
          </w:tcPr>
          <w:p>
            <w:pPr>
              <w:spacing w:after="20" w:line="259" w:lineRule="auto"/>
            </w:pPr>
            <w:r>
              <w:rPr>
                <w:sz w:val="17"/>
              </w:rPr>
              <w:t>USER y ADMIN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7F7"/>
          </w:tcPr>
          <w:p>
            <w:pPr>
              <w:spacing w:after="20" w:line="259" w:lineRule="auto"/>
            </w:pPr>
            <w:r>
              <w:rPr>
                <w:sz w:val="17"/>
              </w:rPr>
              <w:t>Se consolidaron perfiles operativos para cumplir el alcance básico sin duplicar permisos.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Módulos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Inventario préstamos historial reportes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Implementados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El historial se representa mediante estados y marcas de tiempo de cada préstamo.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7F7"/>
          </w:tcPr>
          <w:p>
            <w:pPr>
              <w:spacing w:after="20" w:line="259" w:lineRule="auto"/>
            </w:pPr>
            <w:r>
              <w:rPr>
                <w:sz w:val="17"/>
              </w:rPr>
              <w:t>Cobertura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7F7"/>
          </w:tcPr>
          <w:p>
            <w:pPr>
              <w:spacing w:after="20" w:line="259" w:lineRule="auto"/>
            </w:pPr>
            <w:r>
              <w:rPr>
                <w:sz w:val="17"/>
              </w:rPr>
              <w:t>Mínimo 80 %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7F7"/>
          </w:tcPr>
          <w:p>
            <w:pPr>
              <w:spacing w:after="20" w:line="259" w:lineRule="auto"/>
            </w:pPr>
            <w:r>
              <w:rPr>
                <w:sz w:val="17"/>
              </w:rPr>
              <w:t>85.71 % a 98.64 % según métrica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7F7"/>
          </w:tcPr>
          <w:p>
            <w:pPr>
              <w:spacing w:after="20" w:line="259" w:lineRule="auto"/>
            </w:pPr>
            <w:r>
              <w:rPr>
                <w:sz w:val="17"/>
              </w:rPr>
              <w:t>El umbral se superó en todas las métricas de backend.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Seguridad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JWT roles ZAP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Implementado y analizado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Los hallazgos locales quedaron documentados con su tratamiento.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7F7"/>
          </w:tcPr>
          <w:p>
            <w:pPr>
              <w:spacing w:after="20" w:line="259" w:lineRule="auto"/>
            </w:pPr>
            <w:r>
              <w:rPr>
                <w:sz w:val="17"/>
              </w:rPr>
              <w:t>Calidad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7F7"/>
          </w:tcPr>
          <w:p>
            <w:pPr>
              <w:spacing w:after="20" w:line="259" w:lineRule="auto"/>
            </w:pPr>
            <w:r>
              <w:rPr>
                <w:sz w:val="17"/>
              </w:rPr>
              <w:t>SonarQube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7F7"/>
          </w:tcPr>
          <w:p>
            <w:pPr>
              <w:spacing w:after="20" w:line="259" w:lineRule="auto"/>
            </w:pPr>
            <w:r>
              <w:rPr>
                <w:sz w:val="17"/>
              </w:rPr>
              <w:t>Quality Gate aprobado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7F7"/>
          </w:tcPr>
          <w:p>
            <w:pPr>
              <w:spacing w:after="20" w:line="259" w:lineRule="auto"/>
            </w:pPr>
            <w:r>
              <w:rPr>
                <w:sz w:val="17"/>
              </w:rPr>
              <w:t>La primera revisión permitió eliminar siete code smells.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CI CD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Automatización y despliegue de prueba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Workflow y entorno efímero implementados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La ejecución remota requiere conectar el repositorio a GitHub.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7F7"/>
          </w:tcPr>
          <w:p>
            <w:pPr>
              <w:spacing w:after="20" w:line="259" w:lineRule="auto"/>
            </w:pPr>
            <w:r>
              <w:rPr>
                <w:sz w:val="17"/>
              </w:rPr>
              <w:t>Registro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7F7"/>
          </w:tcPr>
          <w:p>
            <w:pPr>
              <w:spacing w:after="20" w:line="259" w:lineRule="auto"/>
            </w:pPr>
            <w:r>
              <w:rPr>
                <w:sz w:val="17"/>
              </w:rPr>
              <w:t>Módulo básico de personas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7F7"/>
          </w:tcPr>
          <w:p>
            <w:pPr>
              <w:spacing w:after="20" w:line="259" w:lineRule="auto"/>
            </w:pPr>
            <w:r>
              <w:rPr>
                <w:sz w:val="17"/>
              </w:rPr>
              <w:t>Autoservicio USER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7F7"/>
          </w:tcPr>
          <w:p>
            <w:pPr>
              <w:spacing w:after="20" w:line="259" w:lineRule="auto"/>
            </w:pPr>
            <w:r>
              <w:rPr>
                <w:sz w:val="17"/>
              </w:rPr>
              <w:t>El servidor impide que el cliente se asigne privilegios ADMIN.</w:t>
            </w:r>
          </w:p>
        </w:tc>
      </w:tr>
    </w:tbl>
    <w:p>
      <w:pPr>
        <w:spacing w:after="20"/>
      </w:pPr>
    </w:p>
    <w:p>
      <w:pPr>
        <w:pStyle w:val="Heading1"/>
      </w:pPr>
      <w:r>
        <w:t>Lecciones aprendidas</w:t>
      </w:r>
    </w:p>
    <w:p>
      <w:pPr>
        <w:pStyle w:val="Heading2"/>
      </w:pPr>
      <w:r>
        <w:t>La evidencia debe generarse durante el desarrollo</w:t>
      </w:r>
    </w:p>
    <w:p>
      <w:r>
        <w:t>Configurar pruebas, cobertura y reportes desde el inicio permite detectar regresiones y evita reconstruir resultados al cierre. Los archivos originales son más confiables que capturas aisladas porque conservan métricas, versiones y detalles técnicos.</w:t>
      </w:r>
    </w:p>
    <w:p>
      <w:pPr>
        <w:pStyle w:val="Heading2"/>
      </w:pPr>
      <w:r>
        <w:t>La seguridad requiere revisión humana</w:t>
      </w:r>
    </w:p>
    <w:p>
      <w:r>
        <w:t>ZAP y Sonar identifican señales, pero su severidad depende del contexto. La alerta CSRF cambia de tratamiento según el mecanismo de sesión, y los hotspots de credenciales demo no equivalen automáticamente a secretos de producción. Cada hallazgo necesita una decisión documentada.</w:t>
      </w:r>
    </w:p>
    <w:p>
      <w:pPr>
        <w:pStyle w:val="Heading2"/>
      </w:pPr>
      <w:r>
        <w:t>Los roles deben reflejarse en la interfaz</w:t>
      </w:r>
    </w:p>
    <w:p>
      <w:r>
        <w:t>Una API puede filtrar datos correctamente y aun así confundir al usuario si la interfaz usa la ruta equivocada. Separar Mis préstamos de Solicitudes administrativas aclaró la propiedad de cada registro y mejoró la trazabilidad.</w:t>
      </w:r>
    </w:p>
    <w:p>
      <w:pPr>
        <w:pStyle w:val="Heading2"/>
      </w:pPr>
      <w:r>
        <w:t>La portabilidad influye en la arquitectura</w:t>
      </w:r>
    </w:p>
    <w:p>
      <w:r>
        <w:t>SQLite simplificó la instalación y las pruebas del prototipo. La decisión reduce la carga operativa de la entrega, aunque un sistema institucional con concurrencia y copias de seguridad deberá migrar a un servicio de base de datos administrado.</w:t>
      </w:r>
    </w:p>
    <w:p>
      <w:pPr>
        <w:pStyle w:val="Heading1"/>
      </w:pPr>
      <w:r>
        <w:t>Plan de mejora continua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2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314F6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Plazo</w:t>
            </w:r>
          </w:p>
        </w:tc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314F6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Mejora</w:t>
            </w:r>
          </w:p>
        </w:tc>
        <w:tc>
          <w:tcPr>
            <w:tcW w:type="dxa" w:w="417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314F6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201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314F6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Indicador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30 días</w:t>
            </w:r>
          </w:p>
        </w:tc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GitHub y protección de ramas</w:t>
            </w:r>
          </w:p>
        </w:tc>
        <w:tc>
          <w:tcPr>
            <w:tcW w:type="dxa" w:w="417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Publicar el repositorio, configurar secretos y exigir el workflow en cada pull request.</w:t>
            </w:r>
          </w:p>
        </w:tc>
        <w:tc>
          <w:tcPr>
            <w:tcW w:type="dxa" w:w="201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100 % de cambios con pipeline aprobado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7F7"/>
          </w:tcPr>
          <w:p>
            <w:pPr>
              <w:spacing w:after="20" w:line="259" w:lineRule="auto"/>
            </w:pPr>
            <w:r>
              <w:rPr>
                <w:sz w:val="17"/>
              </w:rPr>
              <w:t>30 días</w:t>
            </w:r>
          </w:p>
        </w:tc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7F7"/>
          </w:tcPr>
          <w:p>
            <w:pPr>
              <w:spacing w:after="20" w:line="259" w:lineRule="auto"/>
            </w:pPr>
            <w:r>
              <w:rPr>
                <w:sz w:val="17"/>
              </w:rPr>
              <w:t>Sesiones</w:t>
            </w:r>
          </w:p>
        </w:tc>
        <w:tc>
          <w:tcPr>
            <w:tcW w:type="dxa" w:w="417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7F7"/>
          </w:tcPr>
          <w:p>
            <w:pPr>
              <w:spacing w:after="20" w:line="259" w:lineRule="auto"/>
            </w:pPr>
            <w:r>
              <w:rPr>
                <w:sz w:val="17"/>
              </w:rPr>
              <w:t>Migrar el JWT de localStorage a cookie HttpOnly Secure SameSite y agregar rate limiting.</w:t>
            </w:r>
          </w:p>
        </w:tc>
        <w:tc>
          <w:tcPr>
            <w:tcW w:type="dxa" w:w="201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7F7"/>
          </w:tcPr>
          <w:p>
            <w:pPr>
              <w:spacing w:after="20" w:line="259" w:lineRule="auto"/>
            </w:pPr>
            <w:r>
              <w:rPr>
                <w:sz w:val="17"/>
              </w:rPr>
              <w:t>0 tokens accesibles desde JavaScript y respuesta 429 probada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60 días</w:t>
            </w:r>
          </w:p>
        </w:tc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Seguridad API</w:t>
            </w:r>
          </w:p>
        </w:tc>
        <w:tc>
          <w:tcPr>
            <w:tcW w:type="dxa" w:w="417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Publicar OpenAPI y ejecutar ZAP autenticado para USER y ADMIN.</w:t>
            </w:r>
          </w:p>
        </w:tc>
        <w:tc>
          <w:tcPr>
            <w:tcW w:type="dxa" w:w="201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0 alertas altas y 0 medias sin revisión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7F7"/>
          </w:tcPr>
          <w:p>
            <w:pPr>
              <w:spacing w:after="20" w:line="259" w:lineRule="auto"/>
            </w:pPr>
            <w:r>
              <w:rPr>
                <w:sz w:val="17"/>
              </w:rPr>
              <w:t>90 días</w:t>
            </w:r>
          </w:p>
        </w:tc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7F7"/>
          </w:tcPr>
          <w:p>
            <w:pPr>
              <w:spacing w:after="20" w:line="259" w:lineRule="auto"/>
            </w:pPr>
            <w:r>
              <w:rPr>
                <w:sz w:val="17"/>
              </w:rPr>
              <w:t>Persistencia</w:t>
            </w:r>
          </w:p>
        </w:tc>
        <w:tc>
          <w:tcPr>
            <w:tcW w:type="dxa" w:w="417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7F7"/>
          </w:tcPr>
          <w:p>
            <w:pPr>
              <w:spacing w:after="20" w:line="259" w:lineRule="auto"/>
            </w:pPr>
            <w:r>
              <w:rPr>
                <w:sz w:val="17"/>
              </w:rPr>
              <w:t>Migrar a MySQL o PostgreSQL administrado y automatizar respaldos.</w:t>
            </w:r>
          </w:p>
        </w:tc>
        <w:tc>
          <w:tcPr>
            <w:tcW w:type="dxa" w:w="201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7F7"/>
          </w:tcPr>
          <w:p>
            <w:pPr>
              <w:spacing w:after="20" w:line="259" w:lineRule="auto"/>
            </w:pPr>
            <w:r>
              <w:rPr>
                <w:sz w:val="17"/>
              </w:rPr>
              <w:t>RPO máximo de 24 horas y restauración probada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90 días</w:t>
            </w:r>
          </w:p>
        </w:tc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Interfaz</w:t>
            </w:r>
          </w:p>
        </w:tc>
        <w:tc>
          <w:tcPr>
            <w:tcW w:type="dxa" w:w="417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Agregar pruebas de navegador para registro, roles y flujo completo de préstamo.</w:t>
            </w:r>
          </w:p>
        </w:tc>
        <w:tc>
          <w:tcPr>
            <w:tcW w:type="dxa" w:w="201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Flujos críticos aprobados en cada release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7F7"/>
          </w:tcPr>
          <w:p>
            <w:pPr>
              <w:spacing w:after="20" w:line="259" w:lineRule="auto"/>
            </w:pPr>
            <w:r>
              <w:rPr>
                <w:sz w:val="17"/>
              </w:rPr>
              <w:t>6 meses</w:t>
            </w:r>
          </w:p>
        </w:tc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7F7"/>
          </w:tcPr>
          <w:p>
            <w:pPr>
              <w:spacing w:after="20" w:line="259" w:lineRule="auto"/>
            </w:pPr>
            <w:r>
              <w:rPr>
                <w:sz w:val="17"/>
              </w:rPr>
              <w:t>Predicción de demanda</w:t>
            </w:r>
          </w:p>
        </w:tc>
        <w:tc>
          <w:tcPr>
            <w:tcW w:type="dxa" w:w="417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7F7"/>
          </w:tcPr>
          <w:p>
            <w:pPr>
              <w:spacing w:after="20" w:line="259" w:lineRule="auto"/>
            </w:pPr>
            <w:r>
              <w:rPr>
                <w:sz w:val="17"/>
              </w:rPr>
              <w:t>Evaluar un modelo que anticipe recursos con mayor demanda usando historial suficiente.</w:t>
            </w:r>
          </w:p>
        </w:tc>
        <w:tc>
          <w:tcPr>
            <w:tcW w:type="dxa" w:w="201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7F7"/>
          </w:tcPr>
          <w:p>
            <w:pPr>
              <w:spacing w:after="20" w:line="259" w:lineRule="auto"/>
            </w:pPr>
            <w:r>
              <w:rPr>
                <w:sz w:val="17"/>
              </w:rPr>
              <w:t>MAPE menor o igual a 20 % frente a una línea base</w:t>
            </w:r>
          </w:p>
        </w:tc>
      </w:tr>
    </w:tbl>
    <w:p>
      <w:pPr>
        <w:spacing w:after="20"/>
      </w:pPr>
    </w:p>
    <w:p>
      <w:pPr>
        <w:pStyle w:val="Heading1"/>
      </w:pPr>
      <w:r>
        <w:t>Limitaciones y riesgos restantes</w:t>
      </w:r>
    </w:p>
    <w:p>
      <w:pPr>
        <w:pStyle w:val="ListBullet"/>
        <w:spacing w:after="60" w:line="252" w:lineRule="auto"/>
      </w:pPr>
      <w:r>
        <w:t>El pipeline remoto todavía no tiene una ejecución porque falta conectar el repositorio a GitHub.</w:t>
      </w:r>
    </w:p>
    <w:p>
      <w:pPr>
        <w:pStyle w:val="ListBullet"/>
        <w:spacing w:after="60" w:line="252" w:lineRule="auto"/>
      </w:pPr>
      <w:r>
        <w:t>El escaneo ZAP público no reemplaza un escaneo autenticado de todos los endpoints protegidos.</w:t>
      </w:r>
    </w:p>
    <w:p>
      <w:pPr>
        <w:pStyle w:val="ListBullet"/>
        <w:spacing w:after="60" w:line="252" w:lineRule="auto"/>
      </w:pPr>
      <w:r>
        <w:t>El JWT se conserva en localStorage y debe migrarse antes de un despliegue público.</w:t>
      </w:r>
    </w:p>
    <w:p>
      <w:pPr>
        <w:pStyle w:val="ListBullet"/>
        <w:spacing w:after="60" w:line="252" w:lineRule="auto"/>
      </w:pPr>
      <w:r>
        <w:t>Las credenciales demo deben eliminarse fuera de la presentación académica.</w:t>
      </w:r>
    </w:p>
    <w:p>
      <w:pPr>
        <w:pStyle w:val="ListBullet"/>
        <w:spacing w:after="60" w:line="252" w:lineRule="auto"/>
      </w:pPr>
      <w:r>
        <w:t>SQLite es adecuado para el prototipo, pero requiere una estrategia adicional de concurrencia y respaldo en producción.</w:t>
      </w:r>
    </w:p>
    <w:p>
      <w:pPr>
        <w:pStyle w:val="Heading1"/>
      </w:pPr>
      <w:r>
        <w:t>Cierre</w:t>
      </w:r>
    </w:p>
    <w:p>
      <w:r>
        <w:t>EduPréstamo cumple el alcance funcional y técnico solicitado para la entrega académica. La aplicación implementa autenticación JWT, roles, registro USER, inventario y préstamo de recursos. Las pruebas superan el umbral de cobertura y las herramientas de seguridad y calidad producen evidencia verificable. Las limitaciones pendientes están convertidas en acciones medibles dentro del plan de mejora.</w:t>
      </w:r>
    </w:p>
    <w:p>
      <w:r>
        <w:br w:type="page"/>
      </w:r>
    </w:p>
    <w:p>
      <w:pPr>
        <w:pStyle w:val="Heading1"/>
      </w:pPr>
      <w:r>
        <w:t>Ubicación de las evidencias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0B675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Evidencia</w:t>
            </w:r>
          </w:p>
        </w:tc>
        <w:tc>
          <w:tcPr>
            <w:tcW w:type="dxa" w:w="633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0B675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Ruta dentro del repositorio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Cobertura Jest</w:t>
            </w:r>
          </w:p>
        </w:tc>
        <w:tc>
          <w:tcPr>
            <w:tcW w:type="dxa" w:w="633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reports/coverage/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7F7"/>
          </w:tcPr>
          <w:p>
            <w:pPr>
              <w:spacing w:after="20" w:line="259" w:lineRule="auto"/>
            </w:pPr>
            <w:r>
              <w:rPr>
                <w:sz w:val="17"/>
              </w:rPr>
              <w:t>Resumen de pruebas</w:t>
            </w:r>
          </w:p>
        </w:tc>
        <w:tc>
          <w:tcPr>
            <w:tcW w:type="dxa" w:w="633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7F7"/>
          </w:tcPr>
          <w:p>
            <w:pPr>
              <w:spacing w:after="20" w:line="259" w:lineRule="auto"/>
            </w:pPr>
            <w:r>
              <w:rPr>
                <w:sz w:val="17"/>
              </w:rPr>
              <w:t>reports/unit/test-summary.md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OWASP ZAP</w:t>
            </w:r>
          </w:p>
        </w:tc>
        <w:tc>
          <w:tcPr>
            <w:tcW w:type="dxa" w:w="633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reports/security/zap/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7F7"/>
          </w:tcPr>
          <w:p>
            <w:pPr>
              <w:spacing w:after="20" w:line="259" w:lineRule="auto"/>
            </w:pPr>
            <w:r>
              <w:rPr>
                <w:sz w:val="17"/>
              </w:rPr>
              <w:t>SonarQube</w:t>
            </w:r>
          </w:p>
        </w:tc>
        <w:tc>
          <w:tcPr>
            <w:tcW w:type="dxa" w:w="633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7F7"/>
          </w:tcPr>
          <w:p>
            <w:pPr>
              <w:spacing w:after="20" w:line="259" w:lineRule="auto"/>
            </w:pPr>
            <w:r>
              <w:rPr>
                <w:sz w:val="17"/>
              </w:rPr>
              <w:t>reports/quality/sonarqube/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CI CD</w:t>
            </w:r>
          </w:p>
        </w:tc>
        <w:tc>
          <w:tcPr>
            <w:tcW w:type="dxa" w:w="633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reports/cicd/local-validation.md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7F7"/>
          </w:tcPr>
          <w:p>
            <w:pPr>
              <w:spacing w:after="20" w:line="259" w:lineRule="auto"/>
            </w:pPr>
            <w:r>
              <w:rPr>
                <w:sz w:val="17"/>
              </w:rPr>
              <w:t>Despliegue</w:t>
            </w:r>
          </w:p>
        </w:tc>
        <w:tc>
          <w:tcPr>
            <w:tcW w:type="dxa" w:w="633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7F7"/>
          </w:tcPr>
          <w:p>
            <w:pPr>
              <w:spacing w:after="20" w:line="259" w:lineRule="auto"/>
            </w:pPr>
            <w:r>
              <w:rPr>
                <w:sz w:val="17"/>
              </w:rPr>
              <w:t>reports/deployment/container-evidence.md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Workflow</w:t>
            </w:r>
          </w:p>
        </w:tc>
        <w:tc>
          <w:tcPr>
            <w:tcW w:type="dxa" w:w="633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.github/workflows/ci-cd.yml</w:t>
            </w:r>
          </w:p>
        </w:tc>
      </w:tr>
    </w:tbl>
    <w:p>
      <w:pPr>
        <w:spacing w:after="20"/>
      </w:pPr>
    </w:p>
    <w:sectPr w:rsidR="00FC693F" w:rsidRPr="0006063C" w:rsidSect="00034616">
      <w:pgSz w:w="12240" w:h="15840"/>
      <w:pgMar w:top="1037" w:right="1123" w:bottom="1872" w:left="1123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8" w:lineRule="auto"/>
    </w:pPr>
    <w:rPr>
      <w:rFonts w:ascii="Arial" w:hAnsi="Arial"/>
      <w:color w:val="1F2D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