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SME Retail Intelligence</w:t>
        <w:br/>
        <w:t>Full System Test Report</w:t>
      </w:r>
    </w:p>
    <w:p>
      <w:r>
        <w:rPr>
          <w:b/>
          <w:color w:val="18281F"/>
          <w:sz w:val="32"/>
        </w:rPr>
        <w:t>Release Verification Architecture and Visual Evidence</w:t>
      </w:r>
    </w:p>
    <w:p>
      <w:r>
        <w:t>Prepared for Sarmad Ali</w:t>
        <w:br/>
        <w:t>Tests completed 4 September 2026</w:t>
        <w:br/>
        <w:t>Report finalized 9 September 2026</w:t>
        <w:br/>
        <w:t>Repository Sme-Retail-Intelligence</w:t>
      </w:r>
    </w:p>
    <w:p>
      <w:pPr>
        <w:pStyle w:val="Heading2"/>
      </w:pPr>
      <w:r>
        <w:t>Release result</w:t>
      </w:r>
    </w:p>
    <w:p>
      <w:r>
        <w:rPr>
          <w:b/>
          <w:color w:val="155B3A"/>
        </w:rPr>
        <w:t xml:space="preserve">Passed. </w:t>
      </w:r>
      <w:r>
        <w:t>All locally executable checks passed after the issues found during this audit were corrected.</w:t>
      </w:r>
    </w:p>
    <w:p>
      <w:r>
        <w:t>This report records what was tested, what changed, how the services communicate, and which production checks remain dependent on external cloud accounts. It does not claim that Oracle Cloud, DuckDNS, Resend, Gemini, Groq, or YouTube were exercised without the required credentials.</w:t>
      </w:r>
    </w:p>
    <w:p>
      <w:r>
        <w:br w:type="page"/>
      </w:r>
    </w:p>
    <w:p>
      <w:pPr>
        <w:pStyle w:val="Heading1"/>
        <w:keepNext/>
      </w:pPr>
      <w:r>
        <w:t>Executive Summary</w:t>
      </w:r>
    </w:p>
    <w:p>
      <w:r>
        <w:t>The platform is working in its local running form. The owner dashboard, staff workspace, API, worker, and PostgreSQL database start together through Docker Compose and report healthy status. Authenticated browser and API journeys returned live retail data, a seven day demand forecast, safe natural language answers, tenant scoped access, and completed background CSV processing.</w:t>
      </w:r>
    </w:p>
    <w:p>
      <w:pPr>
        <w:pStyle w:val="Heading2"/>
        <w:keepNext/>
      </w:pPr>
      <w:r>
        <w:t>Result at a Glance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55B3A"/>
          </w:tcPr>
          <w:p>
            <w:r>
              <w:rPr>
                <w:b/>
                <w:color w:val="FFFFFF"/>
              </w:rPr>
              <w:t>Area</w:t>
            </w:r>
          </w:p>
        </w:tc>
        <w:tc>
          <w:tcPr>
            <w:tcW w:type="dxa" w:w="5040"/>
            <w:shd w:fill="155B3A"/>
          </w:tcPr>
          <w:p>
            <w:r>
              <w:rPr>
                <w:b/>
                <w:color w:val="FFFFFF"/>
              </w:rPr>
              <w:t>Verified result</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FastAPI</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7 unit and regression tests passed</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End to end API</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50 checks passed</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Browser journeys</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14 screens captured without browser console errors</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Security scans</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No known Python dependency vulnerabilities and no reachable Go vulnerabilities</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Frontend audits</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0 npm vulnerabilities in the Next.js and Angular applications</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Containers</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5 of 5 application services healthy after a fresh rebuild and recreate</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Kubernetes</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30 valid resources, 0 invalid, 0 errors, and 1 custom resource schema skipped</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Database restore</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Custom format backup restored into a temporary database and row counts matched</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Service logs</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No ERROR, FATAL, panic, or Traceback entries in the final ten minute window</w:t>
            </w:r>
          </w:p>
        </w:tc>
      </w:tr>
    </w:tbl>
    <w:p>
      <w:pPr>
        <w:pStyle w:val="Heading2"/>
        <w:keepNext/>
      </w:pPr>
      <w:r>
        <w:t>Verdict</w:t>
      </w:r>
    </w:p>
    <w:p>
      <w:r>
        <w:t>The repository is ready as a complete local portfolio project and release candidate. Production deployment cannot be marked complete until the owner supplies and authorizes the cloud, DNS, email, language model, and video accounts listed later in this report.</w:t>
      </w:r>
    </w:p>
    <w:p>
      <w:r>
        <w:br w:type="page"/>
      </w:r>
    </w:p>
    <w:p>
      <w:pPr>
        <w:pStyle w:val="Heading1"/>
        <w:keepNext/>
      </w:pPr>
      <w:r>
        <w:t>Architecture and Service Connections</w:t>
      </w:r>
    </w:p>
    <w:p>
      <w:r>
        <w:t>Both web applications use the same authenticated API. FastAPI owns validation, permissions, forecasting, safe query approval, and request metrics. PostgreSQL is the system of record. The Go worker shares the database contract for queued imports and weekly digests. Optional providers sit behind clear interfaces, while Docker Compose and k3s supply the runtime layer.</w:t>
      </w:r>
    </w:p>
    <w:p>
      <w:pPr>
        <w:keepNext/>
        <w:jc w:val="center"/>
      </w:pPr>
      <w:r>
        <w:drawing>
          <wp:inline xmlns:a="http://schemas.openxmlformats.org/drawingml/2006/main" xmlns:pic="http://schemas.openxmlformats.org/drawingml/2006/picture">
            <wp:extent cx="6217920" cy="3808476"/>
            <wp:docPr id="1" name="Picture 1" descr="Architecture and service connection diagram" title="Architecture and service connection diagram"/>
            <wp:cNvGraphicFramePr>
              <a:graphicFrameLocks noChangeAspect="1"/>
            </wp:cNvGraphicFramePr>
            <a:graphic>
              <a:graphicData uri="http://schemas.openxmlformats.org/drawingml/2006/picture">
                <pic:pic>
                  <pic:nvPicPr>
                    <pic:cNvPr id="0" name="00-system-architecture.png"/>
                    <pic:cNvPicPr/>
                  </pic:nvPicPr>
                  <pic:blipFill>
                    <a:blip r:embed="rId9"/>
                    <a:stretch>
                      <a:fillRect/>
                    </a:stretch>
                  </pic:blipFill>
                  <pic:spPr>
                    <a:xfrm>
                      <a:off x="0" y="0"/>
                      <a:ext cx="6217920" cy="3808476"/>
                    </a:xfrm>
                    <a:prstGeom prst="rect"/>
                  </pic:spPr>
                </pic:pic>
              </a:graphicData>
            </a:graphic>
          </wp:inline>
        </w:drawing>
      </w:r>
    </w:p>
    <w:p>
      <w:pPr>
        <w:pStyle w:val="Caption"/>
        <w:jc w:val="center"/>
      </w:pPr>
      <w:r>
        <w:t>Figure 1. Architecture and verified service connections</w:t>
      </w:r>
    </w:p>
    <w:p>
      <w:pPr>
        <w:pStyle w:val="Heading2"/>
        <w:keepNext/>
      </w:pPr>
      <w:r>
        <w:t>Request Flow</w:t>
      </w:r>
    </w:p>
    <w:p>
      <w:pPr>
        <w:pStyle w:val="ListBullet"/>
      </w:pPr>
      <w:r>
        <w:t>An owner or staff member signs in and receives a short lived JWT access token.</w:t>
      </w:r>
    </w:p>
    <w:p>
      <w:pPr>
        <w:pStyle w:val="ListBullet"/>
      </w:pPr>
      <w:r>
        <w:t>The browser sends the token to FastAPI, which resolves the user and organization before reading or writing data.</w:t>
      </w:r>
    </w:p>
    <w:p>
      <w:pPr>
        <w:pStyle w:val="ListBullet"/>
      </w:pPr>
      <w:r>
        <w:t>CSV uploads are validated and either processed immediately or stored as queued work for the Go service.</w:t>
      </w:r>
    </w:p>
    <w:p>
      <w:pPr>
        <w:pStyle w:val="ListBullet"/>
      </w:pPr>
      <w:r>
        <w:t>Forecast requests read organization scoped sales history and return predictions, MAE, RMSE, model, and confidence metadata.</w:t>
      </w:r>
    </w:p>
    <w:p>
      <w:pPr>
        <w:pStyle w:val="ListBullet"/>
      </w:pPr>
      <w:r>
        <w:t>Chat requests pass through question safety checks, SQL parsing, allowlists, tenant constraint injection, row limits, and a database timeout.</w:t>
      </w:r>
    </w:p>
    <w:p>
      <w:r>
        <w:br w:type="page"/>
      </w:r>
    </w:p>
    <w:p>
      <w:pPr>
        <w:pStyle w:val="Heading1"/>
        <w:keepNext/>
      </w:pPr>
      <w:r>
        <w:t>Detailed Test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648"/>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ID</w:t>
            </w:r>
          </w:p>
        </w:tc>
        <w:tc>
          <w:tcPr>
            <w:tcW w:type="dxa" w:w="3024"/>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Check</w:t>
            </w:r>
          </w:p>
        </w:tc>
        <w:tc>
          <w:tcPr>
            <w:tcW w:type="dxa" w:w="1800"/>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Method</w:t>
            </w:r>
          </w:p>
        </w:tc>
        <w:tc>
          <w:tcPr>
            <w:tcW w:type="dxa" w:w="3240"/>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Result</w:t>
            </w:r>
          </w:p>
        </w:tc>
        <w:tc>
          <w:tcPr>
            <w:tcW w:type="dxa" w:w="792"/>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State</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T01</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API unit and regression tests</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pytest</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7 passed</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T02</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Go worker tests</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go test</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All packages passed</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T03</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Python dependency audit</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pip-audit</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No known vulnerabilities</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T04</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Go vulnerability scan</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govulncheck</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No reachable vulnerabilities</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T05</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Owner production build</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Next.js build</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Compiled and prerendered</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T06</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Staff production build</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Angular build</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280.55 kB initial bundle</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T07</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Frontend dependency audits</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npm audit</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0 vulnerabilities in both apps</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T08</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Container build and health</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Docker Compose</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All five services healthy</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T09</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Authenticated system workflow</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HTTP end to end suite</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50 checks passed</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T10</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Browser workflow</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Headless Chrome</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14 views completed</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T11</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Kubernetes schema validation</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kubeconform strict</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30 valid, 0 invalid, 0 errors</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T12</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Database restore drill</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pg_dump and pg_restore</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276 sales, 10 inventory, 10 users restored</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shd w:fill="EEF4EA"/>
          </w:tcPr>
          <w:p>
            <w:r>
              <w:t>T13</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shd w:fill="EEF4EA"/>
          </w:tcPr>
          <w:p>
            <w:r>
              <w:t>Worker observability</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shd w:fill="EEF4EA"/>
          </w:tcPr>
          <w:p>
            <w:r>
              <w:t>Health and Prometheus</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shd w:fill="EEF4EA"/>
          </w:tcPr>
          <w:p>
            <w:r>
              <w:t>1 import, 1 digest, 0 errors</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shd w:fill="EEF4EA"/>
          </w:tcPr>
          <w:p>
            <w:r>
              <w:rPr>
                <w:b/>
                <w:color w:val="155B3A"/>
              </w:rPr>
              <w:t>Pass</w:t>
            </w:r>
          </w:p>
        </w:tc>
      </w:tr>
      <w:tr>
        <w:tc>
          <w:tcPr>
            <w:tcW w:type="dxa" w:w="648"/>
            <w:tcBorders>
              <w:top w:val="single" w:sz="6" w:color="D9E2D7"/>
              <w:left w:val="single" w:sz="6" w:color="D9E2D7"/>
              <w:bottom w:val="single" w:sz="6" w:color="D9E2D7"/>
              <w:right w:val="single" w:sz="6" w:color="D9E2D7"/>
              <w:insideH w:val="single" w:sz="6" w:color="D9E2D7"/>
              <w:insideV w:val="single" w:sz="6" w:color="D9E2D7"/>
            </w:tcBorders>
          </w:tcPr>
          <w:p>
            <w:r>
              <w:t>T14</w:t>
            </w:r>
          </w:p>
        </w:tc>
        <w:tc>
          <w:tcPr>
            <w:tcW w:type="dxa" w:w="3024"/>
            <w:tcBorders>
              <w:top w:val="single" w:sz="6" w:color="D9E2D7"/>
              <w:left w:val="single" w:sz="6" w:color="D9E2D7"/>
              <w:bottom w:val="single" w:sz="6" w:color="D9E2D7"/>
              <w:right w:val="single" w:sz="6" w:color="D9E2D7"/>
              <w:insideH w:val="single" w:sz="6" w:color="D9E2D7"/>
              <w:insideV w:val="single" w:sz="6" w:color="D9E2D7"/>
            </w:tcBorders>
          </w:tcPr>
          <w:p>
            <w:r>
              <w:t>Runtime log review</w:t>
            </w:r>
          </w:p>
        </w:tc>
        <w:tc>
          <w:tcPr>
            <w:tcW w:type="dxa" w:w="1800"/>
            <w:tcBorders>
              <w:top w:val="single" w:sz="6" w:color="D9E2D7"/>
              <w:left w:val="single" w:sz="6" w:color="D9E2D7"/>
              <w:bottom w:val="single" w:sz="6" w:color="D9E2D7"/>
              <w:right w:val="single" w:sz="6" w:color="D9E2D7"/>
              <w:insideH w:val="single" w:sz="6" w:color="D9E2D7"/>
              <w:insideV w:val="single" w:sz="6" w:color="D9E2D7"/>
            </w:tcBorders>
          </w:tcPr>
          <w:p>
            <w:r>
              <w:t>Docker logs</w:t>
            </w:r>
          </w:p>
        </w:tc>
        <w:tc>
          <w:tcPr>
            <w:tcW w:type="dxa" w:w="3240"/>
            <w:tcBorders>
              <w:top w:val="single" w:sz="6" w:color="D9E2D7"/>
              <w:left w:val="single" w:sz="6" w:color="D9E2D7"/>
              <w:bottom w:val="single" w:sz="6" w:color="D9E2D7"/>
              <w:right w:val="single" w:sz="6" w:color="D9E2D7"/>
              <w:insideH w:val="single" w:sz="6" w:color="D9E2D7"/>
              <w:insideV w:val="single" w:sz="6" w:color="D9E2D7"/>
            </w:tcBorders>
          </w:tcPr>
          <w:p>
            <w:r>
              <w:t>No final error patterns</w:t>
            </w:r>
          </w:p>
        </w:tc>
        <w:tc>
          <w:tcPr>
            <w:tcW w:type="dxa" w:w="792"/>
            <w:tcBorders>
              <w:top w:val="single" w:sz="6" w:color="D9E2D7"/>
              <w:left w:val="single" w:sz="6" w:color="D9E2D7"/>
              <w:bottom w:val="single" w:sz="6" w:color="D9E2D7"/>
              <w:right w:val="single" w:sz="6" w:color="D9E2D7"/>
              <w:insideH w:val="single" w:sz="6" w:color="D9E2D7"/>
              <w:insideV w:val="single" w:sz="6" w:color="D9E2D7"/>
            </w:tcBorders>
          </w:tcPr>
          <w:p>
            <w:r>
              <w:rPr>
                <w:b/>
                <w:color w:val="155B3A"/>
              </w:rPr>
              <w:t>Pass</w:t>
            </w:r>
          </w:p>
        </w:tc>
      </w:tr>
    </w:tbl>
    <w:p>
      <w:r>
        <w:t>The Kubernetes skipped item is a cert-manager custom resource whose schema is not bundled with the validator. It was intentionally accepted through the workflow's ignore missing schemas setting; no standard Kubernetes resource was skipped.</w:t>
      </w:r>
    </w:p>
    <w:p>
      <w:r>
        <w:br w:type="page"/>
      </w:r>
    </w:p>
    <w:p>
      <w:pPr>
        <w:pStyle w:val="Heading1"/>
        <w:keepNext/>
      </w:pPr>
      <w:r>
        <w:t>Security, Data, and Forecast Verification</w:t>
      </w:r>
    </w:p>
    <w:p>
      <w:pPr>
        <w:pStyle w:val="Heading2"/>
        <w:keepNext/>
      </w:pPr>
      <w:r>
        <w:t>Authentication and Tenant Boundaries</w:t>
      </w:r>
    </w:p>
    <w:p>
      <w:pPr>
        <w:pStyle w:val="ListBullet"/>
      </w:pPr>
      <w:r>
        <w:t>Requests without a bearer token were denied with HTTP 401 and an invalid password was denied with HTTP 401.</w:t>
      </w:r>
    </w:p>
    <w:p>
      <w:pPr>
        <w:pStyle w:val="ListBullet"/>
      </w:pPr>
      <w:r>
        <w:t>The demo owner could manage users and settings. A newly created staff user could review uploads but received HTTP 403 for owner only user and settings endpoints.</w:t>
      </w:r>
    </w:p>
    <w:p>
      <w:pPr>
        <w:pStyle w:val="ListBullet"/>
      </w:pPr>
      <w:r>
        <w:t>A newly registered organization received an empty inventory response and could not see the demo organization's records.</w:t>
      </w:r>
    </w:p>
    <w:p>
      <w:pPr>
        <w:pStyle w:val="Heading2"/>
        <w:keepNext/>
      </w:pPr>
      <w:r>
        <w:t>CSV and Worker Processing</w:t>
      </w:r>
    </w:p>
    <w:p>
      <w:pPr>
        <w:pStyle w:val="ListBullet"/>
      </w:pPr>
      <w:r>
        <w:t>A unique sales CSV entered the queue, the Go worker completed it, and the upload reported one processed row.</w:t>
      </w:r>
    </w:p>
    <w:p>
      <w:pPr>
        <w:pStyle w:val="ListBullet"/>
      </w:pPr>
      <w:r>
        <w:t>Uploading the same content again returned the original upload ID with the duplicate flag, confirming idempotency.</w:t>
      </w:r>
    </w:p>
    <w:p>
      <w:pPr>
        <w:pStyle w:val="ListBullet"/>
      </w:pPr>
      <w:r>
        <w:t>A CSV with incorrect column names was rejected with HTTP 422.</w:t>
      </w:r>
    </w:p>
    <w:p>
      <w:pPr>
        <w:pStyle w:val="Heading2"/>
        <w:keepNext/>
      </w:pPr>
      <w:r>
        <w:t>Forecast and Chat</w:t>
      </w:r>
    </w:p>
    <w:p>
      <w:pPr>
        <w:pStyle w:val="ListBullet"/>
      </w:pPr>
      <w:r>
        <w:t>A seven day COFFEE-01 forecast returned seven predictions using simple exponential smoothing with high confidence, MAE 0.648, and RMSE 0.803.</w:t>
      </w:r>
    </w:p>
    <w:p>
      <w:pPr>
        <w:pStyle w:val="ListBullet"/>
      </w:pPr>
      <w:r>
        <w:t>Inventory availability, low stock, sales by SKU, best movers, and reorder oriented questions all returned approved tenant scoped results.</w:t>
      </w:r>
    </w:p>
    <w:p>
      <w:pPr>
        <w:pStyle w:val="ListBullet"/>
      </w:pPr>
      <w:r>
        <w:t>A request to drop the sales table and expose users was rejected and executed no query.</w:t>
      </w:r>
    </w:p>
    <w:p>
      <w:pPr>
        <w:pStyle w:val="Heading2"/>
        <w:keepNext/>
      </w:pPr>
      <w:r>
        <w:t>Dependency and Secret Review</w:t>
      </w:r>
    </w:p>
    <w:p>
      <w:pPr>
        <w:pStyle w:val="ListBullet"/>
      </w:pPr>
      <w:r>
        <w:t>FastAPI, PyJWT, python-multipart, Starlette, pgx, and Go text dependencies were updated during the audit.</w:t>
      </w:r>
    </w:p>
    <w:p>
      <w:pPr>
        <w:pStyle w:val="ListBullet"/>
      </w:pPr>
      <w:r>
        <w:t>The final Python, Go, Next.js, and Angular scans reported no known or reachable vulnerabilities at test time.</w:t>
      </w:r>
    </w:p>
    <w:p>
      <w:pPr>
        <w:pStyle w:val="ListBullet"/>
      </w:pPr>
      <w:r>
        <w:t>The tracked repository contains environment templates only. Local credentials remain in the ignored .env file and were not included in the report or evidence.</w:t>
      </w:r>
    </w:p>
    <w:p>
      <w:r>
        <w:br w:type="page"/>
      </w:r>
    </w:p>
    <w:p>
      <w:pPr>
        <w:pStyle w:val="Heading1"/>
        <w:keepNext/>
      </w:pPr>
      <w:r>
        <w:t>Issues Found and Corrected</w:t>
      </w:r>
    </w:p>
    <w:tbl>
      <w:tblPr>
        <w:tblW w:type="auto" w:w="0"/>
        <w:jc w:val="center"/>
        <w:tblLook w:firstColumn="1" w:firstRow="1" w:lastColumn="0" w:lastRow="0" w:noHBand="0" w:noVBand="1" w:val="04A0"/>
      </w:tblPr>
      <w:tblGrid>
        <w:gridCol w:w="5040"/>
        <w:gridCol w:w="5040"/>
      </w:tblGrid>
      <w:tr>
        <w:trPr>
          <w:tblHeader w:val="true"/>
        </w:trPr>
        <w:tc>
          <w:tcPr>
            <w:tcW w:type="dxa" w:w="5040"/>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Issue</w:t>
            </w:r>
          </w:p>
        </w:tc>
        <w:tc>
          <w:tcPr>
            <w:tcW w:type="dxa" w:w="5040"/>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Correction</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Low stock question classification</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The wording 'low in stock' was being routed to general inventory. The deterministic rule and regression test now recognize the phrase.</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Outdated dependencies</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Python and Go packages with published advisories were upgraded, container toolchains were aligned, and the final scanners returned clean results.</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Local hostname support</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The API now accepts both localhost and 127.0.0.1 origins for the owner and staff development ports.</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Staff root redirect</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Nginx previously generated an absolute redirect that could lose port 4200. Relative redirects now preserve the correct local address.</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Angular async rendering</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Successful login requests did not update the visible view under Angular's zoneless behavior. RxJS callbacks now explicitly notify Angular to render.</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Browser polish</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Form autocomplete attributes and the staff favicon were added so the final browser journey runs without console errors or form advisories.</w:t>
            </w:r>
          </w:p>
        </w:tc>
      </w:tr>
    </w:tbl>
    <w:p>
      <w:pPr>
        <w:pStyle w:val="Heading2"/>
        <w:keepNext/>
      </w:pPr>
      <w:r>
        <w:t>External Production Checks Still Required</w:t>
      </w:r>
    </w:p>
    <w:p>
      <w:r>
        <w:t>The following items are implemented or documented but were not marked as passed because no production credentials or accounts were supplied for this verification run:</w:t>
      </w:r>
    </w:p>
    <w:p>
      <w:pPr>
        <w:pStyle w:val="ListBullet"/>
      </w:pPr>
      <w:r>
        <w:t>Oracle Cloud ARM VM creation and the final k3s rollout</w:t>
      </w:r>
    </w:p>
    <w:p>
      <w:pPr>
        <w:pStyle w:val="ListBullet"/>
      </w:pPr>
      <w:r>
        <w:t>DuckDNS updates and live Let's Encrypt certificate issuance or renewal</w:t>
      </w:r>
    </w:p>
    <w:p>
      <w:pPr>
        <w:pStyle w:val="ListBullet"/>
      </w:pPr>
      <w:r>
        <w:t>Encrypted backup upload to OCI Object Storage</w:t>
      </w:r>
    </w:p>
    <w:p>
      <w:pPr>
        <w:pStyle w:val="ListBullet"/>
      </w:pPr>
      <w:r>
        <w:t>Resend email delivery outside local worker execution</w:t>
      </w:r>
    </w:p>
    <w:p>
      <w:pPr>
        <w:pStyle w:val="ListBullet"/>
      </w:pPr>
      <w:r>
        <w:t>Live Gemini and Groq provider calls beyond deterministic offline chat rules</w:t>
      </w:r>
    </w:p>
    <w:p>
      <w:pPr>
        <w:pStyle w:val="ListBullet"/>
      </w:pPr>
      <w:r>
        <w:t>A public HTTPS URL and an unlisted YouTube walkthrough</w:t>
      </w:r>
    </w:p>
    <w:p>
      <w:r>
        <w:t>These are deployment follow ups, not failures in the verified local application. Each one needs an account owner action or secret before it can be tested honestly.</w:t>
      </w:r>
    </w:p>
    <w:p>
      <w:r>
        <w:br w:type="page"/>
      </w:r>
    </w:p>
    <w:p>
      <w:pPr>
        <w:pStyle w:val="Heading1"/>
        <w:keepNext/>
      </w:pPr>
      <w:r>
        <w:t>Owner Sign In</w:t>
      </w:r>
    </w:p>
    <w:p>
      <w:pPr>
        <w:spacing w:after="160"/>
      </w:pPr>
      <w:r>
        <w:t>The Next.js entry screen presents a focused owner login and explains the product without exposing any data before authentication.</w:t>
      </w:r>
    </w:p>
    <w:p>
      <w:pPr>
        <w:keepNext/>
        <w:jc w:val="center"/>
      </w:pPr>
      <w:r>
        <w:drawing>
          <wp:inline xmlns:a="http://schemas.openxmlformats.org/drawingml/2006/main" xmlns:pic="http://schemas.openxmlformats.org/drawingml/2006/picture">
            <wp:extent cx="6126480" cy="4254500"/>
            <wp:docPr id="2" name="Picture 2" descr="Owner Sign In" title="Owner Sign In"/>
            <wp:cNvGraphicFramePr>
              <a:graphicFrameLocks noChangeAspect="1"/>
            </wp:cNvGraphicFramePr>
            <a:graphic>
              <a:graphicData uri="http://schemas.openxmlformats.org/drawingml/2006/picture">
                <pic:pic>
                  <pic:nvPicPr>
                    <pic:cNvPr id="0" name="01-owner-login.png"/>
                    <pic:cNvPicPr/>
                  </pic:nvPicPr>
                  <pic:blipFill>
                    <a:blip r:embed="rId10"/>
                    <a:stretch>
                      <a:fillRect/>
                    </a:stretch>
                  </pic:blipFill>
                  <pic:spPr>
                    <a:xfrm>
                      <a:off x="0" y="0"/>
                      <a:ext cx="6126480" cy="4254500"/>
                    </a:xfrm>
                    <a:prstGeom prst="rect"/>
                  </pic:spPr>
                </pic:pic>
              </a:graphicData>
            </a:graphic>
          </wp:inline>
        </w:drawing>
      </w:r>
    </w:p>
    <w:p>
      <w:pPr>
        <w:pStyle w:val="Caption"/>
        <w:jc w:val="center"/>
      </w:pPr>
      <w:r>
        <w:t>Figure 2. Owner Sign In</w:t>
      </w:r>
    </w:p>
    <w:p>
      <w:r>
        <w:br w:type="page"/>
      </w:r>
    </w:p>
    <w:p>
      <w:pPr>
        <w:pStyle w:val="Heading1"/>
        <w:keepNext/>
      </w:pPr>
      <w:r>
        <w:t>Owner Overview With Live Data</w:t>
      </w:r>
    </w:p>
    <w:p>
      <w:pPr>
        <w:spacing w:after="160"/>
      </w:pPr>
      <w:r>
        <w:t>After authentication, the dashboard shows live organization scoped counts, sales momentum, reorder suggestions, and inventory status.</w:t>
      </w:r>
    </w:p>
    <w:p>
      <w:pPr>
        <w:keepNext/>
        <w:jc w:val="center"/>
      </w:pPr>
      <w:r>
        <w:drawing>
          <wp:inline xmlns:a="http://schemas.openxmlformats.org/drawingml/2006/main" xmlns:pic="http://schemas.openxmlformats.org/drawingml/2006/picture">
            <wp:extent cx="6126480" cy="4254500"/>
            <wp:docPr id="3" name="Picture 3" descr="Owner Overview With Live Data" title="Owner Overview With Live Data"/>
            <wp:cNvGraphicFramePr>
              <a:graphicFrameLocks noChangeAspect="1"/>
            </wp:cNvGraphicFramePr>
            <a:graphic>
              <a:graphicData uri="http://schemas.openxmlformats.org/drawingml/2006/picture">
                <pic:pic>
                  <pic:nvPicPr>
                    <pic:cNvPr id="0" name="02-owner-overview.png"/>
                    <pic:cNvPicPr/>
                  </pic:nvPicPr>
                  <pic:blipFill>
                    <a:blip r:embed="rId11"/>
                    <a:stretch>
                      <a:fillRect/>
                    </a:stretch>
                  </pic:blipFill>
                  <pic:spPr>
                    <a:xfrm>
                      <a:off x="0" y="0"/>
                      <a:ext cx="6126480" cy="4254500"/>
                    </a:xfrm>
                    <a:prstGeom prst="rect"/>
                  </pic:spPr>
                </pic:pic>
              </a:graphicData>
            </a:graphic>
          </wp:inline>
        </w:drawing>
      </w:r>
    </w:p>
    <w:p>
      <w:pPr>
        <w:pStyle w:val="Caption"/>
        <w:jc w:val="center"/>
      </w:pPr>
      <w:r>
        <w:t>Figure 3. Owner Overview With Live Data</w:t>
      </w:r>
    </w:p>
    <w:p>
      <w:r>
        <w:br w:type="page"/>
      </w:r>
    </w:p>
    <w:p>
      <w:pPr>
        <w:pStyle w:val="Heading1"/>
        <w:keepNext/>
      </w:pPr>
      <w:r>
        <w:t>Inventory View</w:t>
      </w:r>
    </w:p>
    <w:p>
      <w:pPr>
        <w:spacing w:after="160"/>
      </w:pPr>
      <w:r>
        <w:t>The inventory table lists six SKUs with on hand quantities, reorder points, and clear low stock or healthy status labels.</w:t>
      </w:r>
    </w:p>
    <w:p>
      <w:pPr>
        <w:keepNext/>
        <w:jc w:val="center"/>
      </w:pPr>
      <w:r>
        <w:drawing>
          <wp:inline xmlns:a="http://schemas.openxmlformats.org/drawingml/2006/main" xmlns:pic="http://schemas.openxmlformats.org/drawingml/2006/picture">
            <wp:extent cx="6126480" cy="2461015"/>
            <wp:docPr id="4" name="Picture 4" descr="Inventory View" title="Inventory View"/>
            <wp:cNvGraphicFramePr>
              <a:graphicFrameLocks noChangeAspect="1"/>
            </wp:cNvGraphicFramePr>
            <a:graphic>
              <a:graphicData uri="http://schemas.openxmlformats.org/drawingml/2006/picture">
                <pic:pic>
                  <pic:nvPicPr>
                    <pic:cNvPr id="0" name="03-owner-inventory.png"/>
                    <pic:cNvPicPr/>
                  </pic:nvPicPr>
                  <pic:blipFill>
                    <a:blip r:embed="rId12"/>
                    <a:stretch>
                      <a:fillRect/>
                    </a:stretch>
                  </pic:blipFill>
                  <pic:spPr>
                    <a:xfrm>
                      <a:off x="0" y="0"/>
                      <a:ext cx="6126480" cy="2461015"/>
                    </a:xfrm>
                    <a:prstGeom prst="rect"/>
                  </pic:spPr>
                </pic:pic>
              </a:graphicData>
            </a:graphic>
          </wp:inline>
        </w:drawing>
      </w:r>
    </w:p>
    <w:p>
      <w:pPr>
        <w:pStyle w:val="Caption"/>
        <w:jc w:val="center"/>
      </w:pPr>
      <w:r>
        <w:t>Figure 4. Inventory View</w:t>
      </w:r>
    </w:p>
    <w:p>
      <w:r>
        <w:br w:type="page"/>
      </w:r>
    </w:p>
    <w:p>
      <w:pPr>
        <w:pStyle w:val="Heading1"/>
        <w:keepNext/>
      </w:pPr>
      <w:r>
        <w:t>Demand Forecast</w:t>
      </w:r>
    </w:p>
    <w:p>
      <w:pPr>
        <w:spacing w:after="160"/>
      </w:pPr>
      <w:r>
        <w:t>The seven day forecast displays its model, confidence, predicted units, MAE, RMSE, and daily bars.</w:t>
      </w:r>
    </w:p>
    <w:p>
      <w:pPr>
        <w:keepNext/>
        <w:jc w:val="center"/>
      </w:pPr>
      <w:r>
        <w:drawing>
          <wp:inline xmlns:a="http://schemas.openxmlformats.org/drawingml/2006/main" xmlns:pic="http://schemas.openxmlformats.org/drawingml/2006/picture">
            <wp:extent cx="6126480" cy="4565040"/>
            <wp:docPr id="5" name="Picture 5" descr="Demand Forecast" title="Demand Forecast"/>
            <wp:cNvGraphicFramePr>
              <a:graphicFrameLocks noChangeAspect="1"/>
            </wp:cNvGraphicFramePr>
            <a:graphic>
              <a:graphicData uri="http://schemas.openxmlformats.org/drawingml/2006/picture">
                <pic:pic>
                  <pic:nvPicPr>
                    <pic:cNvPr id="0" name="04-owner-forecast.png"/>
                    <pic:cNvPicPr/>
                  </pic:nvPicPr>
                  <pic:blipFill>
                    <a:blip r:embed="rId13"/>
                    <a:stretch>
                      <a:fillRect/>
                    </a:stretch>
                  </pic:blipFill>
                  <pic:spPr>
                    <a:xfrm>
                      <a:off x="0" y="0"/>
                      <a:ext cx="6126480" cy="4565040"/>
                    </a:xfrm>
                    <a:prstGeom prst="rect"/>
                  </pic:spPr>
                </pic:pic>
              </a:graphicData>
            </a:graphic>
          </wp:inline>
        </w:drawing>
      </w:r>
    </w:p>
    <w:p>
      <w:pPr>
        <w:pStyle w:val="Caption"/>
        <w:jc w:val="center"/>
      </w:pPr>
      <w:r>
        <w:t>Figure 5. Demand Forecast</w:t>
      </w:r>
    </w:p>
    <w:p>
      <w:r>
        <w:br w:type="page"/>
      </w:r>
    </w:p>
    <w:p>
      <w:pPr>
        <w:pStyle w:val="Heading1"/>
        <w:keepNext/>
      </w:pPr>
      <w:r>
        <w:t>Secure Retail Assistant</w:t>
      </w:r>
    </w:p>
    <w:p>
      <w:pPr>
        <w:spacing w:after="160"/>
      </w:pPr>
      <w:r>
        <w:t>The low stock wording regression test is visible here: two items are returned below their organization reorder points.</w:t>
      </w:r>
    </w:p>
    <w:p>
      <w:pPr>
        <w:keepNext/>
        <w:jc w:val="center"/>
      </w:pPr>
      <w:r>
        <w:drawing>
          <wp:inline xmlns:a="http://schemas.openxmlformats.org/drawingml/2006/main" xmlns:pic="http://schemas.openxmlformats.org/drawingml/2006/picture">
            <wp:extent cx="6126480" cy="5384651"/>
            <wp:docPr id="6" name="Picture 6" descr="Secure Retail Assistant" title="Secure Retail Assistant"/>
            <wp:cNvGraphicFramePr>
              <a:graphicFrameLocks noChangeAspect="1"/>
            </wp:cNvGraphicFramePr>
            <a:graphic>
              <a:graphicData uri="http://schemas.openxmlformats.org/drawingml/2006/picture">
                <pic:pic>
                  <pic:nvPicPr>
                    <pic:cNvPr id="0" name="05-owner-assistant.png"/>
                    <pic:cNvPicPr/>
                  </pic:nvPicPr>
                  <pic:blipFill>
                    <a:blip r:embed="rId14"/>
                    <a:stretch>
                      <a:fillRect/>
                    </a:stretch>
                  </pic:blipFill>
                  <pic:spPr>
                    <a:xfrm>
                      <a:off x="0" y="0"/>
                      <a:ext cx="6126480" cy="5384651"/>
                    </a:xfrm>
                    <a:prstGeom prst="rect"/>
                  </pic:spPr>
                </pic:pic>
              </a:graphicData>
            </a:graphic>
          </wp:inline>
        </w:drawing>
      </w:r>
    </w:p>
    <w:p>
      <w:pPr>
        <w:pStyle w:val="Caption"/>
        <w:jc w:val="center"/>
      </w:pPr>
      <w:r>
        <w:t>Figure 6. Secure Retail Assistant</w:t>
      </w:r>
    </w:p>
    <w:p>
      <w:r>
        <w:br w:type="page"/>
      </w:r>
    </w:p>
    <w:p>
      <w:pPr>
        <w:pStyle w:val="Heading1"/>
        <w:keepNext/>
      </w:pPr>
      <w:r>
        <w:t>CSV Import Entry</w:t>
      </w:r>
    </w:p>
    <w:p>
      <w:pPr>
        <w:spacing w:after="160"/>
      </w:pPr>
      <w:r>
        <w:t>Owners can choose sales or inventory CSV files using the documented required column names.</w:t>
      </w:r>
    </w:p>
    <w:p>
      <w:pPr>
        <w:keepNext/>
        <w:jc w:val="center"/>
      </w:pPr>
      <w:r>
        <w:drawing>
          <wp:inline xmlns:a="http://schemas.openxmlformats.org/drawingml/2006/main" xmlns:pic="http://schemas.openxmlformats.org/drawingml/2006/picture">
            <wp:extent cx="6126480" cy="4651787"/>
            <wp:docPr id="7" name="Picture 7" descr="CSV Import Entry" title="CSV Import Entry"/>
            <wp:cNvGraphicFramePr>
              <a:graphicFrameLocks noChangeAspect="1"/>
            </wp:cNvGraphicFramePr>
            <a:graphic>
              <a:graphicData uri="http://schemas.openxmlformats.org/drawingml/2006/picture">
                <pic:pic>
                  <pic:nvPicPr>
                    <pic:cNvPr id="0" name="06-owner-imports.png"/>
                    <pic:cNvPicPr/>
                  </pic:nvPicPr>
                  <pic:blipFill>
                    <a:blip r:embed="rId15"/>
                    <a:stretch>
                      <a:fillRect/>
                    </a:stretch>
                  </pic:blipFill>
                  <pic:spPr>
                    <a:xfrm>
                      <a:off x="0" y="0"/>
                      <a:ext cx="6126480" cy="4651787"/>
                    </a:xfrm>
                    <a:prstGeom prst="rect"/>
                  </pic:spPr>
                </pic:pic>
              </a:graphicData>
            </a:graphic>
          </wp:inline>
        </w:drawing>
      </w:r>
    </w:p>
    <w:p>
      <w:pPr>
        <w:pStyle w:val="Caption"/>
        <w:jc w:val="center"/>
      </w:pPr>
      <w:r>
        <w:t>Figure 7. CSV Import Entry</w:t>
      </w:r>
    </w:p>
    <w:p>
      <w:r>
        <w:br w:type="page"/>
      </w:r>
    </w:p>
    <w:p>
      <w:pPr>
        <w:pStyle w:val="Heading1"/>
        <w:keepNext/>
      </w:pPr>
      <w:r>
        <w:t>Staff Sign In</w:t>
      </w:r>
    </w:p>
    <w:p>
      <w:pPr>
        <w:spacing w:after="160"/>
      </w:pPr>
      <w:r>
        <w:t>The Angular staff workspace has its own clean sign in experience while using the same API and authentication contract.</w:t>
      </w:r>
    </w:p>
    <w:p>
      <w:pPr>
        <w:keepNext/>
        <w:jc w:val="center"/>
      </w:pPr>
      <w:r>
        <w:drawing>
          <wp:inline xmlns:a="http://schemas.openxmlformats.org/drawingml/2006/main" xmlns:pic="http://schemas.openxmlformats.org/drawingml/2006/picture">
            <wp:extent cx="6126480" cy="4254500"/>
            <wp:docPr id="8" name="Picture 8" descr="Staff Sign In" title="Staff Sign In"/>
            <wp:cNvGraphicFramePr>
              <a:graphicFrameLocks noChangeAspect="1"/>
            </wp:cNvGraphicFramePr>
            <a:graphic>
              <a:graphicData uri="http://schemas.openxmlformats.org/drawingml/2006/picture">
                <pic:pic>
                  <pic:nvPicPr>
                    <pic:cNvPr id="0" name="07-staff-login.png"/>
                    <pic:cNvPicPr/>
                  </pic:nvPicPr>
                  <pic:blipFill>
                    <a:blip r:embed="rId16"/>
                    <a:stretch>
                      <a:fillRect/>
                    </a:stretch>
                  </pic:blipFill>
                  <pic:spPr>
                    <a:xfrm>
                      <a:off x="0" y="0"/>
                      <a:ext cx="6126480" cy="4254500"/>
                    </a:xfrm>
                    <a:prstGeom prst="rect"/>
                  </pic:spPr>
                </pic:pic>
              </a:graphicData>
            </a:graphic>
          </wp:inline>
        </w:drawing>
      </w:r>
    </w:p>
    <w:p>
      <w:pPr>
        <w:pStyle w:val="Caption"/>
        <w:jc w:val="center"/>
      </w:pPr>
      <w:r>
        <w:t>Figure 8. Staff Sign In</w:t>
      </w:r>
    </w:p>
    <w:p>
      <w:r>
        <w:br w:type="page"/>
      </w:r>
    </w:p>
    <w:p>
      <w:pPr>
        <w:pStyle w:val="Heading1"/>
        <w:keepNext/>
      </w:pPr>
      <w:r>
        <w:t>Staff Operations Overview</w:t>
      </w:r>
    </w:p>
    <w:p>
      <w:pPr>
        <w:spacing w:after="160"/>
      </w:pPr>
      <w:r>
        <w:t>An owner in the staff workspace can create users, queue imports, review the team, and control operational settings.</w:t>
      </w:r>
    </w:p>
    <w:p>
      <w:pPr>
        <w:keepNext/>
        <w:jc w:val="center"/>
      </w:pPr>
      <w:r>
        <w:drawing>
          <wp:inline xmlns:a="http://schemas.openxmlformats.org/drawingml/2006/main" xmlns:pic="http://schemas.openxmlformats.org/drawingml/2006/picture">
            <wp:extent cx="6126480" cy="4254500"/>
            <wp:docPr id="9" name="Picture 9" descr="Staff Operations Overview" title="Staff Operations Overview"/>
            <wp:cNvGraphicFramePr>
              <a:graphicFrameLocks noChangeAspect="1"/>
            </wp:cNvGraphicFramePr>
            <a:graphic>
              <a:graphicData uri="http://schemas.openxmlformats.org/drawingml/2006/picture">
                <pic:pic>
                  <pic:nvPicPr>
                    <pic:cNvPr id="0" name="08-staff-overview.png"/>
                    <pic:cNvPicPr/>
                  </pic:nvPicPr>
                  <pic:blipFill>
                    <a:blip r:embed="rId17"/>
                    <a:stretch>
                      <a:fillRect/>
                    </a:stretch>
                  </pic:blipFill>
                  <pic:spPr>
                    <a:xfrm>
                      <a:off x="0" y="0"/>
                      <a:ext cx="6126480" cy="4254500"/>
                    </a:xfrm>
                    <a:prstGeom prst="rect"/>
                  </pic:spPr>
                </pic:pic>
              </a:graphicData>
            </a:graphic>
          </wp:inline>
        </w:drawing>
      </w:r>
    </w:p>
    <w:p>
      <w:pPr>
        <w:pStyle w:val="Caption"/>
        <w:jc w:val="center"/>
      </w:pPr>
      <w:r>
        <w:t>Figure 9. Staff Operations Overview</w:t>
      </w:r>
    </w:p>
    <w:p>
      <w:r>
        <w:br w:type="page"/>
      </w:r>
    </w:p>
    <w:p>
      <w:pPr>
        <w:pStyle w:val="Heading1"/>
        <w:keepNext/>
      </w:pPr>
      <w:r>
        <w:t>Workspace Members</w:t>
      </w:r>
    </w:p>
    <w:p>
      <w:pPr>
        <w:spacing w:after="160"/>
      </w:pPr>
      <w:r>
        <w:t>The team view shows organization members, roles, and active state. The current owner account is protected from accidental self changes.</w:t>
      </w:r>
    </w:p>
    <w:p>
      <w:pPr>
        <w:keepNext/>
        <w:jc w:val="center"/>
      </w:pPr>
      <w:r>
        <w:drawing>
          <wp:inline xmlns:a="http://schemas.openxmlformats.org/drawingml/2006/main" xmlns:pic="http://schemas.openxmlformats.org/drawingml/2006/picture">
            <wp:extent cx="6126480" cy="2739658"/>
            <wp:docPr id="10" name="Picture 10" descr="Workspace Members" title="Workspace Members"/>
            <wp:cNvGraphicFramePr>
              <a:graphicFrameLocks noChangeAspect="1"/>
            </wp:cNvGraphicFramePr>
            <a:graphic>
              <a:graphicData uri="http://schemas.openxmlformats.org/drawingml/2006/picture">
                <pic:pic>
                  <pic:nvPicPr>
                    <pic:cNvPr id="0" name="09-staff-team.png"/>
                    <pic:cNvPicPr/>
                  </pic:nvPicPr>
                  <pic:blipFill>
                    <a:blip r:embed="rId18"/>
                    <a:stretch>
                      <a:fillRect/>
                    </a:stretch>
                  </pic:blipFill>
                  <pic:spPr>
                    <a:xfrm>
                      <a:off x="0" y="0"/>
                      <a:ext cx="6126480" cy="2739658"/>
                    </a:xfrm>
                    <a:prstGeom prst="rect"/>
                  </pic:spPr>
                </pic:pic>
              </a:graphicData>
            </a:graphic>
          </wp:inline>
        </w:drawing>
      </w:r>
    </w:p>
    <w:p>
      <w:pPr>
        <w:pStyle w:val="Caption"/>
        <w:jc w:val="center"/>
      </w:pPr>
      <w:r>
        <w:t>Figure 10. Workspace Members</w:t>
      </w:r>
    </w:p>
    <w:p>
      <w:r>
        <w:br w:type="page"/>
      </w:r>
    </w:p>
    <w:p>
      <w:pPr>
        <w:pStyle w:val="Heading1"/>
        <w:keepNext/>
      </w:pPr>
      <w:r>
        <w:t>Import Review</w:t>
      </w:r>
    </w:p>
    <w:p>
      <w:pPr>
        <w:spacing w:after="160"/>
      </w:pPr>
      <w:r>
        <w:t>The latest worker processed file and earlier demo imports appear with completion status and processed row counts.</w:t>
      </w:r>
    </w:p>
    <w:p>
      <w:pPr>
        <w:keepNext/>
        <w:jc w:val="center"/>
      </w:pPr>
      <w:r>
        <w:drawing>
          <wp:inline xmlns:a="http://schemas.openxmlformats.org/drawingml/2006/main" xmlns:pic="http://schemas.openxmlformats.org/drawingml/2006/picture">
            <wp:extent cx="6126480" cy="4739558"/>
            <wp:docPr id="11" name="Picture 11" descr="Import Review" title="Import Review"/>
            <wp:cNvGraphicFramePr>
              <a:graphicFrameLocks noChangeAspect="1"/>
            </wp:cNvGraphicFramePr>
            <a:graphic>
              <a:graphicData uri="http://schemas.openxmlformats.org/drawingml/2006/picture">
                <pic:pic>
                  <pic:nvPicPr>
                    <pic:cNvPr id="0" name="10-staff-import-review.png"/>
                    <pic:cNvPicPr/>
                  </pic:nvPicPr>
                  <pic:blipFill>
                    <a:blip r:embed="rId19"/>
                    <a:stretch>
                      <a:fillRect/>
                    </a:stretch>
                  </pic:blipFill>
                  <pic:spPr>
                    <a:xfrm>
                      <a:off x="0" y="0"/>
                      <a:ext cx="6126480" cy="4739558"/>
                    </a:xfrm>
                    <a:prstGeom prst="rect"/>
                  </pic:spPr>
                </pic:pic>
              </a:graphicData>
            </a:graphic>
          </wp:inline>
        </w:drawing>
      </w:r>
    </w:p>
    <w:p>
      <w:pPr>
        <w:pStyle w:val="Caption"/>
        <w:jc w:val="center"/>
      </w:pPr>
      <w:r>
        <w:t>Figure 11. Import Review</w:t>
      </w:r>
    </w:p>
    <w:p>
      <w:r>
        <w:br w:type="page"/>
      </w:r>
    </w:p>
    <w:p>
      <w:pPr>
        <w:pStyle w:val="Heading1"/>
        <w:keepNext/>
      </w:pPr>
      <w:r>
        <w:t>Shop Settings</w:t>
      </w:r>
    </w:p>
    <w:p>
      <w:pPr>
        <w:spacing w:after="160"/>
      </w:pPr>
      <w:r>
        <w:t>Owner settings control the low stock threshold, overstock day window, and weekly digest preference.</w:t>
      </w:r>
    </w:p>
    <w:p>
      <w:pPr>
        <w:keepNext/>
        <w:jc w:val="center"/>
      </w:pPr>
      <w:r>
        <w:drawing>
          <wp:inline xmlns:a="http://schemas.openxmlformats.org/drawingml/2006/main" xmlns:pic="http://schemas.openxmlformats.org/drawingml/2006/picture">
            <wp:extent cx="6126480" cy="4739558"/>
            <wp:docPr id="12" name="Picture 12" descr="Shop Settings" title="Shop Settings"/>
            <wp:cNvGraphicFramePr>
              <a:graphicFrameLocks noChangeAspect="1"/>
            </wp:cNvGraphicFramePr>
            <a:graphic>
              <a:graphicData uri="http://schemas.openxmlformats.org/drawingml/2006/picture">
                <pic:pic>
                  <pic:nvPicPr>
                    <pic:cNvPr id="0" name="11-staff-settings.png"/>
                    <pic:cNvPicPr/>
                  </pic:nvPicPr>
                  <pic:blipFill>
                    <a:blip r:embed="rId20"/>
                    <a:stretch>
                      <a:fillRect/>
                    </a:stretch>
                  </pic:blipFill>
                  <pic:spPr>
                    <a:xfrm>
                      <a:off x="0" y="0"/>
                      <a:ext cx="6126480" cy="4739558"/>
                    </a:xfrm>
                    <a:prstGeom prst="rect"/>
                  </pic:spPr>
                </pic:pic>
              </a:graphicData>
            </a:graphic>
          </wp:inline>
        </w:drawing>
      </w:r>
    </w:p>
    <w:p>
      <w:pPr>
        <w:pStyle w:val="Caption"/>
        <w:jc w:val="center"/>
      </w:pPr>
      <w:r>
        <w:t>Figure 12. Shop Settings</w:t>
      </w:r>
    </w:p>
    <w:p>
      <w:r>
        <w:br w:type="page"/>
      </w:r>
    </w:p>
    <w:p>
      <w:pPr>
        <w:pStyle w:val="Heading1"/>
        <w:keepNext/>
      </w:pPr>
      <w:r>
        <w:t>Interactive API Documentation</w:t>
      </w:r>
    </w:p>
    <w:p>
      <w:pPr>
        <w:spacing w:after="160"/>
      </w:pPr>
      <w:r>
        <w:t>FastAPI exposes an OpenAPI 3.1 interface with authentication, users, settings, uploads, analytics, forecasts, chat, health, and metrics routes.</w:t>
      </w:r>
    </w:p>
    <w:p>
      <w:pPr>
        <w:keepNext/>
        <w:jc w:val="center"/>
      </w:pPr>
      <w:r>
        <w:drawing>
          <wp:inline xmlns:a="http://schemas.openxmlformats.org/drawingml/2006/main" xmlns:pic="http://schemas.openxmlformats.org/drawingml/2006/picture">
            <wp:extent cx="6126480" cy="4254500"/>
            <wp:docPr id="13" name="Picture 13" descr="Interactive API Documentation" title="Interactive API Documentation"/>
            <wp:cNvGraphicFramePr>
              <a:graphicFrameLocks noChangeAspect="1"/>
            </wp:cNvGraphicFramePr>
            <a:graphic>
              <a:graphicData uri="http://schemas.openxmlformats.org/drawingml/2006/picture">
                <pic:pic>
                  <pic:nvPicPr>
                    <pic:cNvPr id="0" name="12-api-documentation.png"/>
                    <pic:cNvPicPr/>
                  </pic:nvPicPr>
                  <pic:blipFill>
                    <a:blip r:embed="rId21"/>
                    <a:stretch>
                      <a:fillRect/>
                    </a:stretch>
                  </pic:blipFill>
                  <pic:spPr>
                    <a:xfrm>
                      <a:off x="0" y="0"/>
                      <a:ext cx="6126480" cy="4254500"/>
                    </a:xfrm>
                    <a:prstGeom prst="rect"/>
                  </pic:spPr>
                </pic:pic>
              </a:graphicData>
            </a:graphic>
          </wp:inline>
        </w:drawing>
      </w:r>
    </w:p>
    <w:p>
      <w:pPr>
        <w:pStyle w:val="Caption"/>
        <w:jc w:val="center"/>
      </w:pPr>
      <w:r>
        <w:t>Figure 13. Interactive API Documentation</w:t>
      </w:r>
    </w:p>
    <w:p>
      <w:r>
        <w:br w:type="page"/>
      </w:r>
    </w:p>
    <w:p>
      <w:pPr>
        <w:pStyle w:val="Heading1"/>
        <w:keepNext/>
      </w:pPr>
      <w:r>
        <w:t>API Health Response</w:t>
      </w:r>
    </w:p>
    <w:p>
      <w:pPr>
        <w:spacing w:after="160"/>
      </w:pPr>
      <w:r>
        <w:t>The public health route returned status ok and API version 1.1.0 after the final container rebuild.</w:t>
      </w:r>
    </w:p>
    <w:p>
      <w:pPr>
        <w:keepNext/>
        <w:jc w:val="center"/>
      </w:pPr>
      <w:r>
        <w:drawing>
          <wp:inline xmlns:a="http://schemas.openxmlformats.org/drawingml/2006/main" xmlns:pic="http://schemas.openxmlformats.org/drawingml/2006/picture">
            <wp:extent cx="6126480" cy="4254500"/>
            <wp:docPr id="14" name="Picture 14" descr="API Health Response" title="API Health Response"/>
            <wp:cNvGraphicFramePr>
              <a:graphicFrameLocks noChangeAspect="1"/>
            </wp:cNvGraphicFramePr>
            <a:graphic>
              <a:graphicData uri="http://schemas.openxmlformats.org/drawingml/2006/picture">
                <pic:pic>
                  <pic:nvPicPr>
                    <pic:cNvPr id="0" name="13-api-health.png"/>
                    <pic:cNvPicPr/>
                  </pic:nvPicPr>
                  <pic:blipFill>
                    <a:blip r:embed="rId22"/>
                    <a:stretch>
                      <a:fillRect/>
                    </a:stretch>
                  </pic:blipFill>
                  <pic:spPr>
                    <a:xfrm>
                      <a:off x="0" y="0"/>
                      <a:ext cx="6126480" cy="4254500"/>
                    </a:xfrm>
                    <a:prstGeom prst="rect"/>
                  </pic:spPr>
                </pic:pic>
              </a:graphicData>
            </a:graphic>
          </wp:inline>
        </w:drawing>
      </w:r>
    </w:p>
    <w:p>
      <w:pPr>
        <w:pStyle w:val="Caption"/>
        <w:jc w:val="center"/>
      </w:pPr>
      <w:r>
        <w:t>Figure 14. API Health Response</w:t>
      </w:r>
    </w:p>
    <w:p>
      <w:r>
        <w:br w:type="page"/>
      </w:r>
    </w:p>
    <w:p>
      <w:pPr>
        <w:pStyle w:val="Heading1"/>
        <w:keepNext/>
      </w:pPr>
      <w:r>
        <w:t>Prometheus Metrics</w:t>
      </w:r>
    </w:p>
    <w:p>
      <w:pPr>
        <w:spacing w:after="160"/>
      </w:pPr>
      <w:r>
        <w:t>The metrics endpoint exports runtime values plus application counters for login, forecast, chat, upload, and registration outcomes.</w:t>
      </w:r>
    </w:p>
    <w:p>
      <w:pPr>
        <w:keepNext/>
        <w:jc w:val="center"/>
      </w:pPr>
      <w:r>
        <w:drawing>
          <wp:inline xmlns:a="http://schemas.openxmlformats.org/drawingml/2006/main" xmlns:pic="http://schemas.openxmlformats.org/drawingml/2006/picture">
            <wp:extent cx="6126480" cy="4254500"/>
            <wp:docPr id="15" name="Picture 15" descr="Prometheus Metrics" title="Prometheus Metrics"/>
            <wp:cNvGraphicFramePr>
              <a:graphicFrameLocks noChangeAspect="1"/>
            </wp:cNvGraphicFramePr>
            <a:graphic>
              <a:graphicData uri="http://schemas.openxmlformats.org/drawingml/2006/picture">
                <pic:pic>
                  <pic:nvPicPr>
                    <pic:cNvPr id="0" name="14-api-metrics.png"/>
                    <pic:cNvPicPr/>
                  </pic:nvPicPr>
                  <pic:blipFill>
                    <a:blip r:embed="rId23"/>
                    <a:stretch>
                      <a:fillRect/>
                    </a:stretch>
                  </pic:blipFill>
                  <pic:spPr>
                    <a:xfrm>
                      <a:off x="0" y="0"/>
                      <a:ext cx="6126480" cy="4254500"/>
                    </a:xfrm>
                    <a:prstGeom prst="rect"/>
                  </pic:spPr>
                </pic:pic>
              </a:graphicData>
            </a:graphic>
          </wp:inline>
        </w:drawing>
      </w:r>
    </w:p>
    <w:p>
      <w:pPr>
        <w:pStyle w:val="Caption"/>
        <w:jc w:val="center"/>
      </w:pPr>
      <w:r>
        <w:t>Figure 15. Prometheus Metrics</w:t>
      </w:r>
    </w:p>
    <w:p>
      <w:r>
        <w:br w:type="page"/>
      </w:r>
    </w:p>
    <w:p>
      <w:pPr>
        <w:pStyle w:val="Heading1"/>
        <w:keepNext/>
      </w:pPr>
      <w:r>
        <w:t>Final Release Checklist</w:t>
      </w:r>
    </w:p>
    <w:tbl>
      <w:tblPr>
        <w:tblW w:type="auto" w:w="0"/>
        <w:jc w:val="center"/>
        <w:tblLook w:firstColumn="1" w:firstRow="1" w:lastColumn="0" w:lastRow="0" w:noHBand="0" w:noVBand="1" w:val="04A0"/>
      </w:tblPr>
      <w:tblGrid>
        <w:gridCol w:w="5040"/>
        <w:gridCol w:w="5040"/>
      </w:tblGrid>
      <w:tr>
        <w:trPr>
          <w:tblHeader w:val="true"/>
        </w:trPr>
        <w:tc>
          <w:tcPr>
            <w:tcW w:type="dxa" w:w="5040"/>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Release item</w:t>
            </w:r>
          </w:p>
        </w:tc>
        <w:tc>
          <w:tcPr>
            <w:tcW w:type="dxa" w:w="5040"/>
            <w:shd w:fill="155B3A"/>
            <w:tcBorders>
              <w:top w:val="single" w:sz="6" w:color="D9E2D7"/>
              <w:left w:val="single" w:sz="6" w:color="D9E2D7"/>
              <w:bottom w:val="single" w:sz="6" w:color="D9E2D7"/>
              <w:right w:val="single" w:sz="6" w:color="D9E2D7"/>
              <w:insideH w:val="single" w:sz="6" w:color="D9E2D7"/>
              <w:insideV w:val="single" w:sz="6" w:color="D9E2D7"/>
            </w:tcBorders>
          </w:tcPr>
          <w:p>
            <w:r>
              <w:rPr>
                <w:b/>
                <w:color w:val="FFFFFF"/>
              </w:rPr>
              <w:t>State</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Source builds</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Automated tests</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Dependency security scans</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Authenticated browser and API journeys</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Docker Compose startup and health</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PostgreSQL backup and restore drill</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Kubernetes schema validation</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Visual evidence and report</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Complete</w:t>
            </w:r>
          </w:p>
        </w:tc>
      </w:tr>
      <w:tr>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Final GitHub commit and CI run</w:t>
            </w:r>
          </w:p>
        </w:tc>
        <w:tc>
          <w:tcPr>
            <w:tcW w:type="dxa" w:w="5040"/>
            <w:shd w:fill="EEF4EA"/>
            <w:tcBorders>
              <w:top w:val="single" w:sz="6" w:color="D9E2D7"/>
              <w:left w:val="single" w:sz="6" w:color="D9E2D7"/>
              <w:bottom w:val="single" w:sz="6" w:color="D9E2D7"/>
              <w:right w:val="single" w:sz="6" w:color="D9E2D7"/>
              <w:insideH w:val="single" w:sz="6" w:color="D9E2D7"/>
              <w:insideV w:val="single" w:sz="6" w:color="D9E2D7"/>
            </w:tcBorders>
          </w:tcPr>
          <w:p>
            <w:r>
              <w:t>Performed after this report is generated</w:t>
            </w:r>
          </w:p>
        </w:tc>
      </w:tr>
      <w:tr>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Oracle Cloud live deployment</w:t>
            </w:r>
          </w:p>
        </w:tc>
        <w:tc>
          <w:tcPr>
            <w:tcW w:type="dxa" w:w="5040"/>
            <w:tcBorders>
              <w:top w:val="single" w:sz="6" w:color="D9E2D7"/>
              <w:left w:val="single" w:sz="6" w:color="D9E2D7"/>
              <w:bottom w:val="single" w:sz="6" w:color="D9E2D7"/>
              <w:right w:val="single" w:sz="6" w:color="D9E2D7"/>
              <w:insideH w:val="single" w:sz="6" w:color="D9E2D7"/>
              <w:insideV w:val="single" w:sz="6" w:color="D9E2D7"/>
            </w:tcBorders>
          </w:tcPr>
          <w:p>
            <w:r>
              <w:t>Waiting for production accounts and secrets</w:t>
            </w:r>
          </w:p>
        </w:tc>
      </w:tr>
    </w:tbl>
    <w:p/>
    <w:p>
      <w:pPr>
        <w:jc w:val="center"/>
      </w:pPr>
      <w:r>
        <w:rPr>
          <w:b/>
          <w:color w:val="155B3A"/>
          <w:sz w:val="32"/>
        </w:rPr>
        <w:t>Local release verification passed.</w:t>
      </w:r>
    </w:p>
    <w:sectPr w:rsidR="00FC693F" w:rsidRPr="0006063C" w:rsidSect="00034616">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828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575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Retail Intelligence Full System Test Report</dc:title>
  <dc:subject>Release verification and visual evidence</dc:subject>
  <dc:creator>Sarmad Ali</dc:creator>
  <cp:keywords>retail intelligence, FastAPI, Go, Next.js, Angular, PostgreSQL, Docker, Kubernetes, verification</cp:keywords>
  <dc:description>generated by python-docx</dc:description>
  <cp:lastModifiedBy/>
  <cp:revision>1</cp:revision>
  <dcterms:created xsi:type="dcterms:W3CDTF">2013-12-23T23:15:00Z</dcterms:created>
  <dcterms:modified xsi:type="dcterms:W3CDTF">2013-12-23T23:15:00Z</dcterms:modified>
  <cp:category/>
</cp:coreProperties>
</file>