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C32E4" w14:textId="38FA01D2" w:rsidR="00540EEC" w:rsidRPr="00132D23" w:rsidRDefault="008A732D" w:rsidP="00132D23">
      <w:pPr>
        <w:pStyle w:val="Default"/>
        <w:spacing w:line="480" w:lineRule="auto"/>
        <w:rPr>
          <w:rFonts w:ascii="Times New Roman" w:hAnsi="Times New Roman" w:cs="Times New Roman"/>
        </w:rPr>
      </w:pPr>
      <w:r w:rsidRPr="00132D23">
        <w:rPr>
          <w:rFonts w:ascii="Times New Roman" w:hAnsi="Times New Roman" w:cs="Times New Roman"/>
        </w:rPr>
        <w:tab/>
      </w:r>
    </w:p>
    <w:p w14:paraId="0632B0CC" w14:textId="039B99BE" w:rsidR="00540EEC" w:rsidRPr="00D470F4" w:rsidRDefault="00B818DC" w:rsidP="00132D23">
      <w:pPr>
        <w:pStyle w:val="Default"/>
        <w:spacing w:line="480" w:lineRule="auto"/>
        <w:jc w:val="center"/>
        <w:rPr>
          <w:rFonts w:ascii="Times New Roman" w:hAnsi="Times New Roman" w:cs="Times New Roman"/>
          <w:b/>
        </w:rPr>
      </w:pPr>
      <w:r w:rsidRPr="00D470F4">
        <w:rPr>
          <w:rFonts w:ascii="Times New Roman" w:hAnsi="Times New Roman" w:cs="Times New Roman"/>
          <w:b/>
        </w:rPr>
        <w:t>P</w:t>
      </w:r>
      <w:r w:rsidR="00540EEC" w:rsidRPr="00D470F4">
        <w:rPr>
          <w:rFonts w:ascii="Times New Roman" w:hAnsi="Times New Roman" w:cs="Times New Roman"/>
          <w:b/>
        </w:rPr>
        <w:t xml:space="preserve">olíticas de promoción de Energías Renovables </w:t>
      </w:r>
      <w:r w:rsidR="00D470F4" w:rsidRPr="00D470F4">
        <w:rPr>
          <w:rFonts w:ascii="Times New Roman" w:hAnsi="Times New Roman" w:cs="Times New Roman"/>
          <w:b/>
        </w:rPr>
        <w:t>para Alta Tensión</w:t>
      </w:r>
    </w:p>
    <w:p w14:paraId="61B53A4E" w14:textId="50236221" w:rsidR="00A14D6F" w:rsidRPr="00D470F4" w:rsidRDefault="00D470F4" w:rsidP="00132D23">
      <w:pPr>
        <w:spacing w:line="480" w:lineRule="auto"/>
        <w:jc w:val="center"/>
        <w:rPr>
          <w:rFonts w:ascii="Times New Roman" w:hAnsi="Times New Roman" w:cs="Times New Roman"/>
          <w:b/>
          <w:sz w:val="24"/>
          <w:szCs w:val="24"/>
        </w:rPr>
      </w:pPr>
      <w:r w:rsidRPr="00D470F4">
        <w:rPr>
          <w:rFonts w:ascii="Times New Roman" w:hAnsi="Times New Roman" w:cs="Times New Roman"/>
          <w:b/>
          <w:sz w:val="24"/>
          <w:szCs w:val="24"/>
        </w:rPr>
        <w:t>en</w:t>
      </w:r>
      <w:r w:rsidR="00540EEC" w:rsidRPr="00D470F4">
        <w:rPr>
          <w:rFonts w:ascii="Times New Roman" w:hAnsi="Times New Roman" w:cs="Times New Roman"/>
          <w:b/>
          <w:sz w:val="24"/>
          <w:szCs w:val="24"/>
        </w:rPr>
        <w:t xml:space="preserve"> Argentina</w:t>
      </w:r>
      <w:r w:rsidR="003862AC" w:rsidRPr="00D470F4">
        <w:rPr>
          <w:rFonts w:ascii="Times New Roman" w:hAnsi="Times New Roman" w:cs="Times New Roman"/>
          <w:b/>
          <w:sz w:val="24"/>
          <w:szCs w:val="24"/>
        </w:rPr>
        <w:t xml:space="preserve"> y </w:t>
      </w:r>
      <w:r w:rsidR="00540EEC" w:rsidRPr="00D470F4">
        <w:rPr>
          <w:rFonts w:ascii="Times New Roman" w:hAnsi="Times New Roman" w:cs="Times New Roman"/>
          <w:b/>
          <w:sz w:val="24"/>
          <w:szCs w:val="24"/>
        </w:rPr>
        <w:t>Chile (</w:t>
      </w:r>
      <w:r w:rsidRPr="00D470F4">
        <w:rPr>
          <w:rFonts w:ascii="Times New Roman" w:hAnsi="Times New Roman" w:cs="Times New Roman"/>
          <w:b/>
          <w:sz w:val="24"/>
          <w:szCs w:val="24"/>
        </w:rPr>
        <w:t>1990</w:t>
      </w:r>
      <w:r w:rsidR="00540EEC" w:rsidRPr="00D470F4">
        <w:rPr>
          <w:rFonts w:ascii="Times New Roman" w:hAnsi="Times New Roman" w:cs="Times New Roman"/>
          <w:b/>
          <w:sz w:val="24"/>
          <w:szCs w:val="24"/>
        </w:rPr>
        <w:t>-2020)</w:t>
      </w:r>
    </w:p>
    <w:p w14:paraId="008AA505" w14:textId="77777777" w:rsidR="00540EEC" w:rsidRPr="00D470F4" w:rsidRDefault="00540EEC" w:rsidP="00132D23">
      <w:pPr>
        <w:spacing w:line="480" w:lineRule="auto"/>
        <w:jc w:val="center"/>
        <w:rPr>
          <w:rFonts w:ascii="Times New Roman" w:hAnsi="Times New Roman" w:cs="Times New Roman"/>
          <w:sz w:val="24"/>
          <w:szCs w:val="24"/>
        </w:rPr>
      </w:pPr>
    </w:p>
    <w:p w14:paraId="61E96CC2" w14:textId="77777777" w:rsidR="00540EEC" w:rsidRPr="00D470F4" w:rsidRDefault="00540EEC" w:rsidP="00132D23">
      <w:pPr>
        <w:spacing w:line="480" w:lineRule="auto"/>
        <w:jc w:val="center"/>
        <w:rPr>
          <w:rFonts w:ascii="Times New Roman" w:hAnsi="Times New Roman" w:cs="Times New Roman"/>
          <w:sz w:val="24"/>
          <w:szCs w:val="24"/>
        </w:rPr>
      </w:pPr>
    </w:p>
    <w:p w14:paraId="52FE344E" w14:textId="77777777" w:rsidR="00540EEC" w:rsidRPr="00D470F4" w:rsidRDefault="00540EEC" w:rsidP="00132D23">
      <w:pPr>
        <w:spacing w:line="480" w:lineRule="auto"/>
        <w:jc w:val="center"/>
        <w:rPr>
          <w:rFonts w:ascii="Times New Roman" w:hAnsi="Times New Roman" w:cs="Times New Roman"/>
          <w:sz w:val="24"/>
          <w:szCs w:val="24"/>
        </w:rPr>
      </w:pPr>
    </w:p>
    <w:p w14:paraId="7D2973DE" w14:textId="77777777" w:rsidR="00540EEC" w:rsidRPr="00D470F4" w:rsidRDefault="00540EEC" w:rsidP="00132D23">
      <w:pPr>
        <w:spacing w:line="480" w:lineRule="auto"/>
        <w:jc w:val="center"/>
        <w:rPr>
          <w:rFonts w:ascii="Times New Roman" w:hAnsi="Times New Roman" w:cs="Times New Roman"/>
          <w:sz w:val="24"/>
          <w:szCs w:val="24"/>
        </w:rPr>
      </w:pPr>
    </w:p>
    <w:p w14:paraId="3A4EFC31" w14:textId="77777777" w:rsidR="00540EEC" w:rsidRPr="00D470F4" w:rsidRDefault="00540EEC" w:rsidP="00132D23">
      <w:pPr>
        <w:spacing w:line="480" w:lineRule="auto"/>
        <w:jc w:val="center"/>
        <w:rPr>
          <w:rFonts w:ascii="Times New Roman" w:hAnsi="Times New Roman" w:cs="Times New Roman"/>
          <w:sz w:val="24"/>
          <w:szCs w:val="24"/>
        </w:rPr>
      </w:pPr>
    </w:p>
    <w:p w14:paraId="032DB70D" w14:textId="77777777" w:rsidR="00540EEC" w:rsidRPr="00D470F4" w:rsidRDefault="00540EEC" w:rsidP="00132D23">
      <w:pPr>
        <w:spacing w:line="480" w:lineRule="auto"/>
        <w:jc w:val="center"/>
        <w:rPr>
          <w:rFonts w:ascii="Times New Roman" w:hAnsi="Times New Roman" w:cs="Times New Roman"/>
          <w:sz w:val="24"/>
          <w:szCs w:val="24"/>
        </w:rPr>
      </w:pPr>
    </w:p>
    <w:p w14:paraId="0BD419A2" w14:textId="77777777" w:rsidR="00540EEC" w:rsidRPr="00D470F4" w:rsidRDefault="00540EEC" w:rsidP="00132D23">
      <w:pPr>
        <w:spacing w:line="480" w:lineRule="auto"/>
        <w:jc w:val="center"/>
        <w:rPr>
          <w:rFonts w:ascii="Times New Roman" w:hAnsi="Times New Roman" w:cs="Times New Roman"/>
          <w:sz w:val="24"/>
          <w:szCs w:val="24"/>
        </w:rPr>
      </w:pPr>
    </w:p>
    <w:p w14:paraId="62E82043" w14:textId="77777777" w:rsidR="00540EEC" w:rsidRPr="00D470F4" w:rsidRDefault="00540EEC" w:rsidP="00132D23">
      <w:pPr>
        <w:spacing w:line="480" w:lineRule="auto"/>
        <w:jc w:val="center"/>
        <w:rPr>
          <w:rFonts w:ascii="Times New Roman" w:hAnsi="Times New Roman" w:cs="Times New Roman"/>
          <w:sz w:val="24"/>
          <w:szCs w:val="24"/>
        </w:rPr>
      </w:pPr>
    </w:p>
    <w:p w14:paraId="7E2A94F3" w14:textId="77777777" w:rsidR="00540EEC" w:rsidRPr="00D470F4" w:rsidRDefault="00540EEC" w:rsidP="00132D23">
      <w:pPr>
        <w:spacing w:line="480" w:lineRule="auto"/>
        <w:jc w:val="center"/>
        <w:rPr>
          <w:rFonts w:ascii="Times New Roman" w:hAnsi="Times New Roman" w:cs="Times New Roman"/>
          <w:sz w:val="24"/>
          <w:szCs w:val="24"/>
        </w:rPr>
      </w:pPr>
    </w:p>
    <w:p w14:paraId="42A13167" w14:textId="77777777" w:rsidR="00540EEC" w:rsidRPr="00D470F4" w:rsidRDefault="00540EEC" w:rsidP="00132D23">
      <w:pPr>
        <w:spacing w:line="480" w:lineRule="auto"/>
        <w:jc w:val="center"/>
        <w:rPr>
          <w:rFonts w:ascii="Times New Roman" w:hAnsi="Times New Roman" w:cs="Times New Roman"/>
          <w:sz w:val="24"/>
          <w:szCs w:val="24"/>
        </w:rPr>
      </w:pPr>
    </w:p>
    <w:p w14:paraId="3CF11176" w14:textId="049A7E85" w:rsidR="00540EEC" w:rsidRPr="00D470F4" w:rsidRDefault="00540EEC" w:rsidP="00132D23">
      <w:pPr>
        <w:spacing w:line="480" w:lineRule="auto"/>
        <w:jc w:val="center"/>
        <w:rPr>
          <w:rFonts w:ascii="Times New Roman" w:hAnsi="Times New Roman" w:cs="Times New Roman"/>
          <w:sz w:val="24"/>
          <w:szCs w:val="24"/>
        </w:rPr>
      </w:pPr>
    </w:p>
    <w:p w14:paraId="35F47162" w14:textId="7DAE97DC" w:rsidR="0090586B" w:rsidRPr="00D470F4" w:rsidRDefault="0090586B" w:rsidP="00132D23">
      <w:pPr>
        <w:spacing w:line="480" w:lineRule="auto"/>
        <w:jc w:val="center"/>
        <w:rPr>
          <w:rFonts w:ascii="Times New Roman" w:hAnsi="Times New Roman" w:cs="Times New Roman"/>
          <w:sz w:val="24"/>
          <w:szCs w:val="24"/>
        </w:rPr>
      </w:pPr>
    </w:p>
    <w:p w14:paraId="2E04DC44" w14:textId="00E4A5EE" w:rsidR="0090586B" w:rsidRPr="00D470F4" w:rsidRDefault="0090586B" w:rsidP="00132D23">
      <w:pPr>
        <w:spacing w:line="480" w:lineRule="auto"/>
        <w:jc w:val="center"/>
        <w:rPr>
          <w:rFonts w:ascii="Times New Roman" w:hAnsi="Times New Roman" w:cs="Times New Roman"/>
          <w:sz w:val="24"/>
          <w:szCs w:val="24"/>
        </w:rPr>
      </w:pPr>
    </w:p>
    <w:p w14:paraId="5EBE3ED3" w14:textId="77777777" w:rsidR="003E6D2A" w:rsidRPr="00D470F4" w:rsidRDefault="003E6D2A" w:rsidP="00132D23">
      <w:pPr>
        <w:spacing w:line="480" w:lineRule="auto"/>
        <w:jc w:val="center"/>
        <w:rPr>
          <w:rFonts w:ascii="Times New Roman" w:hAnsi="Times New Roman" w:cs="Times New Roman"/>
          <w:sz w:val="24"/>
          <w:szCs w:val="24"/>
        </w:rPr>
      </w:pPr>
    </w:p>
    <w:p w14:paraId="39EE4788" w14:textId="77777777" w:rsidR="0090586B" w:rsidRPr="00D470F4" w:rsidRDefault="0090586B" w:rsidP="00132D23">
      <w:pPr>
        <w:spacing w:line="480" w:lineRule="auto"/>
        <w:jc w:val="center"/>
        <w:rPr>
          <w:rFonts w:ascii="Times New Roman" w:hAnsi="Times New Roman" w:cs="Times New Roman"/>
          <w:sz w:val="24"/>
          <w:szCs w:val="24"/>
        </w:rPr>
      </w:pPr>
    </w:p>
    <w:p w14:paraId="0737BBEE" w14:textId="77777777" w:rsidR="00540EEC" w:rsidRPr="00D470F4" w:rsidRDefault="00540EEC" w:rsidP="00132D23">
      <w:pPr>
        <w:spacing w:line="480" w:lineRule="auto"/>
        <w:jc w:val="center"/>
        <w:rPr>
          <w:rFonts w:ascii="Times New Roman" w:hAnsi="Times New Roman" w:cs="Times New Roman"/>
          <w:sz w:val="24"/>
          <w:szCs w:val="24"/>
        </w:rPr>
      </w:pPr>
    </w:p>
    <w:p w14:paraId="003147B2" w14:textId="77777777" w:rsidR="00540EEC" w:rsidRPr="00D470F4" w:rsidRDefault="00540EEC" w:rsidP="00132D23">
      <w:pPr>
        <w:spacing w:line="480" w:lineRule="auto"/>
        <w:jc w:val="center"/>
        <w:rPr>
          <w:rFonts w:ascii="Times New Roman" w:hAnsi="Times New Roman" w:cs="Times New Roman"/>
          <w:sz w:val="24"/>
          <w:szCs w:val="24"/>
        </w:rPr>
      </w:pPr>
    </w:p>
    <w:p w14:paraId="522630F7" w14:textId="77777777" w:rsidR="00540EEC" w:rsidRPr="00D470F4" w:rsidRDefault="003862AC" w:rsidP="00132D23">
      <w:pPr>
        <w:spacing w:line="480" w:lineRule="auto"/>
        <w:rPr>
          <w:rFonts w:ascii="Times New Roman" w:hAnsi="Times New Roman" w:cs="Times New Roman"/>
          <w:b/>
          <w:bCs/>
          <w:sz w:val="24"/>
          <w:szCs w:val="24"/>
        </w:rPr>
      </w:pPr>
      <w:r w:rsidRPr="00D470F4">
        <w:rPr>
          <w:rFonts w:ascii="Times New Roman" w:hAnsi="Times New Roman" w:cs="Times New Roman"/>
          <w:b/>
          <w:bCs/>
          <w:sz w:val="24"/>
          <w:szCs w:val="24"/>
        </w:rPr>
        <w:lastRenderedPageBreak/>
        <w:t>Resumen</w:t>
      </w:r>
    </w:p>
    <w:p w14:paraId="1E315C8F" w14:textId="34F3F978" w:rsidR="003862AC" w:rsidRPr="00D470F4" w:rsidRDefault="003862AC" w:rsidP="00132D23">
      <w:pPr>
        <w:autoSpaceDE w:val="0"/>
        <w:autoSpaceDN w:val="0"/>
        <w:adjustRightInd w:val="0"/>
        <w:spacing w:after="0" w:line="480" w:lineRule="auto"/>
        <w:jc w:val="both"/>
        <w:rPr>
          <w:rFonts w:ascii="Times New Roman" w:hAnsi="Times New Roman" w:cs="Times New Roman"/>
          <w:color w:val="212121"/>
          <w:sz w:val="24"/>
          <w:szCs w:val="24"/>
          <w:shd w:val="clear" w:color="auto" w:fill="FFFFFF"/>
        </w:rPr>
      </w:pPr>
      <w:r w:rsidRPr="00D470F4">
        <w:rPr>
          <w:rFonts w:ascii="Times New Roman" w:hAnsi="Times New Roman" w:cs="Times New Roman"/>
          <w:color w:val="212121"/>
          <w:sz w:val="24"/>
          <w:szCs w:val="24"/>
          <w:shd w:val="clear" w:color="auto" w:fill="FFFFFF"/>
        </w:rPr>
        <w:t>Las energías renovables no convencionales (ERNC) tienen el potencial de satisfacer la creciente demanda energética, reduciendo los impactos ambientales y mitigando el calentamiento global. En este sentido, este tipo de energías ha experimentado un notable crecimiento en todo el mundo durante las últimas dos décadas. Sin embargo, las políticas de promoción de las mismas no han sido idénticas en todos los países y sus resultados han sido divergentes. En particular, en el cono sur de América Latina, países de ingresos medios como Argentina y Chile, han tenido un resultado muy diferente según las políticas que implementaron.</w:t>
      </w:r>
    </w:p>
    <w:p w14:paraId="2214B588" w14:textId="77777777" w:rsidR="00D470F4" w:rsidRDefault="00F71827" w:rsidP="00132D23">
      <w:pPr>
        <w:autoSpaceDE w:val="0"/>
        <w:autoSpaceDN w:val="0"/>
        <w:adjustRightInd w:val="0"/>
        <w:spacing w:after="0" w:line="480" w:lineRule="auto"/>
        <w:jc w:val="both"/>
        <w:rPr>
          <w:rFonts w:ascii="Times New Roman" w:hAnsi="Times New Roman" w:cs="Times New Roman"/>
          <w:color w:val="212121"/>
          <w:sz w:val="24"/>
          <w:szCs w:val="24"/>
          <w:shd w:val="clear" w:color="auto" w:fill="FFFFFF"/>
        </w:rPr>
      </w:pPr>
      <w:r w:rsidRPr="00D470F4">
        <w:rPr>
          <w:rFonts w:ascii="Times New Roman" w:hAnsi="Times New Roman" w:cs="Times New Roman"/>
          <w:color w:val="212121"/>
          <w:sz w:val="24"/>
          <w:szCs w:val="24"/>
          <w:shd w:val="clear" w:color="auto" w:fill="FFFFFF"/>
        </w:rPr>
        <w:t>En el caso de las acciones estatales que constituyen el conjunto de políticas de promoción de ERNC encontramos una relación entre la ideología del poder ejecutivo, la estructura del sistema eléctrico y las medidas desarrolladas para la incorporación de</w:t>
      </w:r>
      <w:r w:rsidR="00AF0064" w:rsidRPr="00D470F4">
        <w:rPr>
          <w:rFonts w:ascii="Times New Roman" w:hAnsi="Times New Roman" w:cs="Times New Roman"/>
          <w:color w:val="212121"/>
          <w:sz w:val="24"/>
          <w:szCs w:val="24"/>
          <w:shd w:val="clear" w:color="auto" w:fill="FFFFFF"/>
        </w:rPr>
        <w:t xml:space="preserve"> estas</w:t>
      </w:r>
      <w:r w:rsidRPr="00D470F4">
        <w:rPr>
          <w:rFonts w:ascii="Times New Roman" w:hAnsi="Times New Roman" w:cs="Times New Roman"/>
          <w:color w:val="212121"/>
          <w:sz w:val="24"/>
          <w:szCs w:val="24"/>
          <w:shd w:val="clear" w:color="auto" w:fill="FFFFFF"/>
        </w:rPr>
        <w:t xml:space="preserve"> nuevas fuentes energéticas.</w:t>
      </w:r>
      <w:r w:rsidR="003862AC" w:rsidRPr="00D470F4">
        <w:rPr>
          <w:rFonts w:ascii="Times New Roman" w:hAnsi="Times New Roman" w:cs="Times New Roman"/>
          <w:color w:val="212121"/>
          <w:sz w:val="24"/>
          <w:szCs w:val="24"/>
          <w:shd w:val="clear" w:color="auto" w:fill="FFFFFF"/>
        </w:rPr>
        <w:t xml:space="preserve"> </w:t>
      </w:r>
      <w:r w:rsidRPr="00D470F4">
        <w:rPr>
          <w:rFonts w:ascii="Times New Roman" w:hAnsi="Times New Roman" w:cs="Times New Roman"/>
          <w:color w:val="212121"/>
          <w:sz w:val="24"/>
          <w:szCs w:val="24"/>
          <w:shd w:val="clear" w:color="auto" w:fill="FFFFFF"/>
        </w:rPr>
        <w:t>Se parte de la base de que los mercados</w:t>
      </w:r>
      <w:r w:rsidR="00AF0064" w:rsidRPr="00D470F4">
        <w:rPr>
          <w:rFonts w:ascii="Times New Roman" w:hAnsi="Times New Roman" w:cs="Times New Roman"/>
          <w:color w:val="212121"/>
          <w:sz w:val="24"/>
          <w:szCs w:val="24"/>
          <w:shd w:val="clear" w:color="auto" w:fill="FFFFFF"/>
        </w:rPr>
        <w:t xml:space="preserve"> son generados por la acción estatal y la ideología del poder ejecutivo despliega un rol significativo en las características que estos mercados asumen. Una vez que estos mercados se constituyen generan determinados arreglos institucionales que restringen las opciones de política pública. </w:t>
      </w:r>
    </w:p>
    <w:p w14:paraId="66B891D8" w14:textId="48C3FED9" w:rsidR="00463C59" w:rsidRPr="00D470F4" w:rsidRDefault="00AF0064" w:rsidP="00132D23">
      <w:pPr>
        <w:autoSpaceDE w:val="0"/>
        <w:autoSpaceDN w:val="0"/>
        <w:adjustRightInd w:val="0"/>
        <w:spacing w:after="0" w:line="480" w:lineRule="auto"/>
        <w:jc w:val="both"/>
        <w:rPr>
          <w:rFonts w:ascii="Times New Roman" w:hAnsi="Times New Roman" w:cs="Times New Roman"/>
          <w:color w:val="212121"/>
          <w:sz w:val="24"/>
          <w:szCs w:val="24"/>
          <w:shd w:val="clear" w:color="auto" w:fill="FFFFFF"/>
        </w:rPr>
      </w:pPr>
      <w:r w:rsidRPr="00D470F4">
        <w:rPr>
          <w:rFonts w:ascii="Times New Roman" w:hAnsi="Times New Roman" w:cs="Times New Roman"/>
          <w:color w:val="212121"/>
          <w:sz w:val="24"/>
          <w:szCs w:val="24"/>
          <w:shd w:val="clear" w:color="auto" w:fill="FFFFFF"/>
        </w:rPr>
        <w:t>En el caso chileno, las políticas neoliberales</w:t>
      </w:r>
      <w:r w:rsidR="00463C59" w:rsidRPr="00D470F4">
        <w:rPr>
          <w:rFonts w:ascii="Times New Roman" w:hAnsi="Times New Roman" w:cs="Times New Roman"/>
          <w:color w:val="212121"/>
          <w:sz w:val="24"/>
          <w:szCs w:val="24"/>
          <w:shd w:val="clear" w:color="auto" w:fill="FFFFFF"/>
        </w:rPr>
        <w:t>, vigentes desde la última dictadura, conformaron un sistema eléctrico claramente concentrado. E</w:t>
      </w:r>
      <w:r w:rsidR="00AA5850" w:rsidRPr="00D470F4">
        <w:rPr>
          <w:rFonts w:ascii="Times New Roman" w:hAnsi="Times New Roman" w:cs="Times New Roman"/>
          <w:color w:val="212121"/>
          <w:sz w:val="24"/>
          <w:szCs w:val="24"/>
          <w:shd w:val="clear" w:color="auto" w:fill="FFFFFF"/>
        </w:rPr>
        <w:t>n la primera década de este siglo, e</w:t>
      </w:r>
      <w:r w:rsidR="00463C59" w:rsidRPr="00D470F4">
        <w:rPr>
          <w:rFonts w:ascii="Times New Roman" w:hAnsi="Times New Roman" w:cs="Times New Roman"/>
          <w:color w:val="212121"/>
          <w:sz w:val="24"/>
          <w:szCs w:val="24"/>
          <w:shd w:val="clear" w:color="auto" w:fill="FFFFFF"/>
        </w:rPr>
        <w:t xml:space="preserve">l cierre de las importaciones de gas argentino, la sequía y la ausencia de inversiones, contribuyeron a conformar una coyuntura crítica que sólo pudo superarse con la superación del dogma neoliberal de no intervención en la economía. Las políticas públicas desplegadas </w:t>
      </w:r>
      <w:r w:rsidR="00AA5850" w:rsidRPr="00D470F4">
        <w:rPr>
          <w:rFonts w:ascii="Times New Roman" w:hAnsi="Times New Roman" w:cs="Times New Roman"/>
          <w:color w:val="212121"/>
          <w:sz w:val="24"/>
          <w:szCs w:val="24"/>
          <w:shd w:val="clear" w:color="auto" w:fill="FFFFFF"/>
        </w:rPr>
        <w:t xml:space="preserve">para la incorporación de ERNC </w:t>
      </w:r>
      <w:r w:rsidR="00463C59" w:rsidRPr="00D470F4">
        <w:rPr>
          <w:rFonts w:ascii="Times New Roman" w:hAnsi="Times New Roman" w:cs="Times New Roman"/>
          <w:color w:val="212121"/>
          <w:sz w:val="24"/>
          <w:szCs w:val="24"/>
          <w:shd w:val="clear" w:color="auto" w:fill="FFFFFF"/>
        </w:rPr>
        <w:t>estuvieron dirigidas a romper esta situación de oligopolio y ampliar la oferta energética</w:t>
      </w:r>
      <w:r w:rsidR="0083467F" w:rsidRPr="00D470F4">
        <w:rPr>
          <w:rFonts w:ascii="Times New Roman" w:hAnsi="Times New Roman" w:cs="Times New Roman"/>
          <w:color w:val="212121"/>
          <w:sz w:val="24"/>
          <w:szCs w:val="24"/>
          <w:shd w:val="clear" w:color="auto" w:fill="FFFFFF"/>
        </w:rPr>
        <w:t xml:space="preserve"> para superar la crisis energética que estaba amenazando la competitividad del país</w:t>
      </w:r>
      <w:r w:rsidR="00463C59" w:rsidRPr="00D470F4">
        <w:rPr>
          <w:rFonts w:ascii="Times New Roman" w:hAnsi="Times New Roman" w:cs="Times New Roman"/>
          <w:color w:val="212121"/>
          <w:sz w:val="24"/>
          <w:szCs w:val="24"/>
          <w:shd w:val="clear" w:color="auto" w:fill="FFFFFF"/>
        </w:rPr>
        <w:t>.</w:t>
      </w:r>
    </w:p>
    <w:p w14:paraId="51BFF8A3" w14:textId="77777777" w:rsidR="00463C59" w:rsidRPr="00D470F4" w:rsidRDefault="00463C59" w:rsidP="00132D23">
      <w:pPr>
        <w:autoSpaceDE w:val="0"/>
        <w:autoSpaceDN w:val="0"/>
        <w:adjustRightInd w:val="0"/>
        <w:spacing w:after="0" w:line="480" w:lineRule="auto"/>
        <w:jc w:val="both"/>
        <w:rPr>
          <w:rFonts w:ascii="Times New Roman" w:hAnsi="Times New Roman" w:cs="Times New Roman"/>
          <w:color w:val="212121"/>
          <w:sz w:val="24"/>
          <w:szCs w:val="24"/>
          <w:shd w:val="clear" w:color="auto" w:fill="FFFFFF"/>
        </w:rPr>
      </w:pPr>
      <w:r w:rsidRPr="00D470F4">
        <w:rPr>
          <w:rFonts w:ascii="Times New Roman" w:hAnsi="Times New Roman" w:cs="Times New Roman"/>
          <w:color w:val="212121"/>
          <w:sz w:val="24"/>
          <w:szCs w:val="24"/>
          <w:shd w:val="clear" w:color="auto" w:fill="FFFFFF"/>
        </w:rPr>
        <w:lastRenderedPageBreak/>
        <w:t>En el caso argentino, el funcionamiento del sistema eléctrico bajo los principios neoliberales</w:t>
      </w:r>
      <w:r w:rsidR="00A305E0" w:rsidRPr="00D470F4">
        <w:rPr>
          <w:rFonts w:ascii="Times New Roman" w:hAnsi="Times New Roman" w:cs="Times New Roman"/>
          <w:color w:val="212121"/>
          <w:sz w:val="24"/>
          <w:szCs w:val="24"/>
          <w:shd w:val="clear" w:color="auto" w:fill="FFFFFF"/>
        </w:rPr>
        <w:t>, implementados luego de la reforma de 1990, colapsó a partir de la crisis general del año 2001. La</w:t>
      </w:r>
      <w:r w:rsidR="00AA5850" w:rsidRPr="00D470F4">
        <w:rPr>
          <w:rFonts w:ascii="Times New Roman" w:hAnsi="Times New Roman" w:cs="Times New Roman"/>
          <w:color w:val="212121"/>
          <w:sz w:val="24"/>
          <w:szCs w:val="24"/>
          <w:shd w:val="clear" w:color="auto" w:fill="FFFFFF"/>
        </w:rPr>
        <w:t xml:space="preserve"> brusca devaluación del peso argentino y el aumento exponencial de la pobreza y el desempleo </w:t>
      </w:r>
      <w:r w:rsidR="00A305E0" w:rsidRPr="00D470F4">
        <w:rPr>
          <w:rFonts w:ascii="Times New Roman" w:hAnsi="Times New Roman" w:cs="Times New Roman"/>
          <w:color w:val="212121"/>
          <w:sz w:val="24"/>
          <w:szCs w:val="24"/>
          <w:shd w:val="clear" w:color="auto" w:fill="FFFFFF"/>
        </w:rPr>
        <w:t>conformaron una coyuntura crítica que implicó un</w:t>
      </w:r>
      <w:r w:rsidR="00AA5850" w:rsidRPr="00D470F4">
        <w:rPr>
          <w:rFonts w:ascii="Times New Roman" w:hAnsi="Times New Roman" w:cs="Times New Roman"/>
          <w:color w:val="212121"/>
          <w:sz w:val="24"/>
          <w:szCs w:val="24"/>
          <w:shd w:val="clear" w:color="auto" w:fill="FFFFFF"/>
        </w:rPr>
        <w:t xml:space="preserve">a fuerte tensión sobre la capacidad de la población de cubrir los servicios. Esta situación se resolvió parcialmente con una creciente participación del Estado en la cobertura de los costos, a través de una política de subsidios, que, sin embargo, no avanzó en una reforma integral del sistema eléctrico como tal. La creciente intervención estatal con tarifas congeladas y un estado deficitario generó </w:t>
      </w:r>
      <w:r w:rsidR="0083467F" w:rsidRPr="00D470F4">
        <w:rPr>
          <w:rFonts w:ascii="Times New Roman" w:hAnsi="Times New Roman" w:cs="Times New Roman"/>
          <w:color w:val="212121"/>
          <w:sz w:val="24"/>
          <w:szCs w:val="24"/>
          <w:shd w:val="clear" w:color="auto" w:fill="FFFFFF"/>
        </w:rPr>
        <w:t xml:space="preserve">un clima de desconfianza a la inversión para las empresas eléctricas, que redundó en un encarecimiento del crédito para las mismas y el fracaso de los proyectos de incorporación de renovables. </w:t>
      </w:r>
    </w:p>
    <w:p w14:paraId="4CB27801" w14:textId="77777777" w:rsidR="002609D6" w:rsidRPr="00D470F4" w:rsidRDefault="0083467F" w:rsidP="00132D23">
      <w:pPr>
        <w:autoSpaceDE w:val="0"/>
        <w:autoSpaceDN w:val="0"/>
        <w:adjustRightInd w:val="0"/>
        <w:spacing w:after="0" w:line="480" w:lineRule="auto"/>
        <w:jc w:val="both"/>
        <w:rPr>
          <w:rFonts w:ascii="Times New Roman" w:hAnsi="Times New Roman" w:cs="Times New Roman"/>
          <w:color w:val="212121"/>
          <w:sz w:val="24"/>
          <w:szCs w:val="24"/>
          <w:shd w:val="clear" w:color="auto" w:fill="FFFFFF"/>
        </w:rPr>
      </w:pPr>
      <w:r w:rsidRPr="00D470F4">
        <w:rPr>
          <w:rFonts w:ascii="Times New Roman" w:hAnsi="Times New Roman" w:cs="Times New Roman"/>
          <w:color w:val="212121"/>
          <w:sz w:val="24"/>
          <w:szCs w:val="24"/>
          <w:shd w:val="clear" w:color="auto" w:fill="FFFFFF"/>
        </w:rPr>
        <w:t>En 2015, la llegada al poder de una nueva coalición</w:t>
      </w:r>
      <w:r w:rsidR="002609D6" w:rsidRPr="00D470F4">
        <w:rPr>
          <w:rFonts w:ascii="Times New Roman" w:hAnsi="Times New Roman" w:cs="Times New Roman"/>
          <w:color w:val="212121"/>
          <w:sz w:val="24"/>
          <w:szCs w:val="24"/>
          <w:shd w:val="clear" w:color="auto" w:fill="FFFFFF"/>
        </w:rPr>
        <w:t xml:space="preserve"> de gobierno</w:t>
      </w:r>
      <w:r w:rsidRPr="00D470F4">
        <w:rPr>
          <w:rFonts w:ascii="Times New Roman" w:hAnsi="Times New Roman" w:cs="Times New Roman"/>
          <w:color w:val="212121"/>
          <w:sz w:val="24"/>
          <w:szCs w:val="24"/>
          <w:shd w:val="clear" w:color="auto" w:fill="FFFFFF"/>
        </w:rPr>
        <w:t>, con un marcado sesgo promercado</w:t>
      </w:r>
      <w:r w:rsidR="002609D6" w:rsidRPr="00D470F4">
        <w:rPr>
          <w:rFonts w:ascii="Times New Roman" w:hAnsi="Times New Roman" w:cs="Times New Roman"/>
          <w:color w:val="212121"/>
          <w:sz w:val="24"/>
          <w:szCs w:val="24"/>
          <w:shd w:val="clear" w:color="auto" w:fill="FFFFFF"/>
        </w:rPr>
        <w:t>,</w:t>
      </w:r>
      <w:r w:rsidRPr="00D470F4">
        <w:rPr>
          <w:rFonts w:ascii="Times New Roman" w:hAnsi="Times New Roman" w:cs="Times New Roman"/>
          <w:color w:val="212121"/>
          <w:sz w:val="24"/>
          <w:szCs w:val="24"/>
          <w:shd w:val="clear" w:color="auto" w:fill="FFFFFF"/>
        </w:rPr>
        <w:t xml:space="preserve"> implicó la puesta en marcha de una serie de medidas destinadas a crear un clima propicio para las inversiones. En particular, el Estado actuó de manera </w:t>
      </w:r>
      <w:r w:rsidR="002609D6" w:rsidRPr="00D470F4">
        <w:rPr>
          <w:rFonts w:ascii="Times New Roman" w:hAnsi="Times New Roman" w:cs="Times New Roman"/>
          <w:color w:val="212121"/>
          <w:sz w:val="24"/>
          <w:szCs w:val="24"/>
          <w:shd w:val="clear" w:color="auto" w:fill="FFFFFF"/>
        </w:rPr>
        <w:t>de aislar la percepción del riesgo argentino por parte de los financistas internacionales, brindando distintas garantías a las inversiones energéticas. Esto permitió un exponencial despliegue de las fuentes energéticas renovables hasta 2020, cuando la falta de inversiones en infraestructura</w:t>
      </w:r>
      <w:r w:rsidR="008063B0" w:rsidRPr="00D470F4">
        <w:rPr>
          <w:rFonts w:ascii="Times New Roman" w:hAnsi="Times New Roman" w:cs="Times New Roman"/>
          <w:color w:val="212121"/>
          <w:sz w:val="24"/>
          <w:szCs w:val="24"/>
          <w:shd w:val="clear" w:color="auto" w:fill="FFFFFF"/>
        </w:rPr>
        <w:t xml:space="preserve"> de transporte</w:t>
      </w:r>
      <w:r w:rsidR="002609D6" w:rsidRPr="00D470F4">
        <w:rPr>
          <w:rFonts w:ascii="Times New Roman" w:hAnsi="Times New Roman" w:cs="Times New Roman"/>
          <w:color w:val="212121"/>
          <w:sz w:val="24"/>
          <w:szCs w:val="24"/>
          <w:shd w:val="clear" w:color="auto" w:fill="FFFFFF"/>
        </w:rPr>
        <w:t xml:space="preserve">, y la necesidad de dólares </w:t>
      </w:r>
      <w:r w:rsidR="008063B0" w:rsidRPr="00D470F4">
        <w:rPr>
          <w:rFonts w:ascii="Times New Roman" w:hAnsi="Times New Roman" w:cs="Times New Roman"/>
          <w:color w:val="212121"/>
          <w:sz w:val="24"/>
          <w:szCs w:val="24"/>
          <w:shd w:val="clear" w:color="auto" w:fill="FFFFFF"/>
        </w:rPr>
        <w:t>para afrontar</w:t>
      </w:r>
      <w:r w:rsidR="002609D6" w:rsidRPr="00D470F4">
        <w:rPr>
          <w:rFonts w:ascii="Times New Roman" w:hAnsi="Times New Roman" w:cs="Times New Roman"/>
          <w:color w:val="212121"/>
          <w:sz w:val="24"/>
          <w:szCs w:val="24"/>
          <w:shd w:val="clear" w:color="auto" w:fill="FFFFFF"/>
        </w:rPr>
        <w:t xml:space="preserve"> la crisis</w:t>
      </w:r>
      <w:r w:rsidR="008063B0" w:rsidRPr="00D470F4">
        <w:rPr>
          <w:rFonts w:ascii="Times New Roman" w:hAnsi="Times New Roman" w:cs="Times New Roman"/>
          <w:color w:val="212121"/>
          <w:sz w:val="24"/>
          <w:szCs w:val="24"/>
          <w:shd w:val="clear" w:color="auto" w:fill="FFFFFF"/>
        </w:rPr>
        <w:t xml:space="preserve"> de deuda</w:t>
      </w:r>
      <w:r w:rsidR="002609D6" w:rsidRPr="00D470F4">
        <w:rPr>
          <w:rFonts w:ascii="Times New Roman" w:hAnsi="Times New Roman" w:cs="Times New Roman"/>
          <w:color w:val="212121"/>
          <w:sz w:val="24"/>
          <w:szCs w:val="24"/>
          <w:shd w:val="clear" w:color="auto" w:fill="FFFFFF"/>
        </w:rPr>
        <w:t xml:space="preserve">, paralizaron la afluencia de crédito y la posibilidad de desplegar nuevos proyectos.  </w:t>
      </w:r>
    </w:p>
    <w:p w14:paraId="75B2A2B0" w14:textId="5B494D93" w:rsidR="003862AC" w:rsidRPr="00D470F4" w:rsidRDefault="002609D6" w:rsidP="00132D23">
      <w:pPr>
        <w:autoSpaceDE w:val="0"/>
        <w:autoSpaceDN w:val="0"/>
        <w:adjustRightInd w:val="0"/>
        <w:spacing w:after="0" w:line="480" w:lineRule="auto"/>
        <w:jc w:val="both"/>
        <w:rPr>
          <w:rFonts w:ascii="Times New Roman" w:hAnsi="Times New Roman" w:cs="Times New Roman"/>
          <w:color w:val="000000"/>
          <w:sz w:val="24"/>
          <w:szCs w:val="24"/>
        </w:rPr>
      </w:pPr>
      <w:r w:rsidRPr="00D470F4">
        <w:rPr>
          <w:rFonts w:ascii="Times New Roman" w:hAnsi="Times New Roman" w:cs="Times New Roman"/>
          <w:color w:val="000000"/>
          <w:sz w:val="24"/>
          <w:szCs w:val="24"/>
          <w:rPrChange w:id="0" w:author="Joaquin Sarmiento" w:date="2023-02-11T12:19:00Z">
            <w:rPr>
              <w:rFonts w:ascii="Times New Roman" w:hAnsi="Times New Roman" w:cs="Times New Roman"/>
              <w:color w:val="000000"/>
              <w:sz w:val="24"/>
              <w:szCs w:val="24"/>
              <w:highlight w:val="yellow"/>
            </w:rPr>
          </w:rPrChange>
        </w:rPr>
        <w:t>E</w:t>
      </w:r>
      <w:r w:rsidR="003862AC" w:rsidRPr="00D470F4">
        <w:rPr>
          <w:rFonts w:ascii="Times New Roman" w:hAnsi="Times New Roman" w:cs="Times New Roman"/>
          <w:color w:val="000000"/>
          <w:sz w:val="24"/>
          <w:szCs w:val="24"/>
          <w:rPrChange w:id="1" w:author="Joaquin Sarmiento" w:date="2023-02-11T12:19:00Z">
            <w:rPr>
              <w:rFonts w:ascii="Times New Roman" w:hAnsi="Times New Roman" w:cs="Times New Roman"/>
              <w:color w:val="000000"/>
              <w:sz w:val="24"/>
              <w:szCs w:val="24"/>
              <w:highlight w:val="yellow"/>
            </w:rPr>
          </w:rPrChange>
        </w:rPr>
        <w:t xml:space="preserve">sta tesis </w:t>
      </w:r>
      <w:r w:rsidRPr="00D470F4">
        <w:rPr>
          <w:rFonts w:ascii="Times New Roman" w:hAnsi="Times New Roman" w:cs="Times New Roman"/>
          <w:color w:val="000000"/>
          <w:sz w:val="24"/>
          <w:szCs w:val="24"/>
          <w:rPrChange w:id="2" w:author="Joaquin Sarmiento" w:date="2023-02-11T12:19:00Z">
            <w:rPr>
              <w:rFonts w:ascii="Times New Roman" w:hAnsi="Times New Roman" w:cs="Times New Roman"/>
              <w:color w:val="000000"/>
              <w:sz w:val="24"/>
              <w:szCs w:val="24"/>
              <w:highlight w:val="yellow"/>
            </w:rPr>
          </w:rPrChange>
        </w:rPr>
        <w:t>pretende</w:t>
      </w:r>
      <w:r w:rsidR="003862AC" w:rsidRPr="00D470F4">
        <w:rPr>
          <w:rFonts w:ascii="Times New Roman" w:hAnsi="Times New Roman" w:cs="Times New Roman"/>
          <w:color w:val="000000"/>
          <w:sz w:val="24"/>
          <w:szCs w:val="24"/>
          <w:rPrChange w:id="3" w:author="Joaquin Sarmiento" w:date="2023-02-11T12:19:00Z">
            <w:rPr>
              <w:rFonts w:ascii="Times New Roman" w:hAnsi="Times New Roman" w:cs="Times New Roman"/>
              <w:color w:val="000000"/>
              <w:sz w:val="24"/>
              <w:szCs w:val="24"/>
              <w:highlight w:val="yellow"/>
            </w:rPr>
          </w:rPrChange>
        </w:rPr>
        <w:t xml:space="preserve"> analiza</w:t>
      </w:r>
      <w:r w:rsidRPr="00D470F4">
        <w:rPr>
          <w:rFonts w:ascii="Times New Roman" w:hAnsi="Times New Roman" w:cs="Times New Roman"/>
          <w:color w:val="000000"/>
          <w:sz w:val="24"/>
          <w:szCs w:val="24"/>
          <w:rPrChange w:id="4" w:author="Joaquin Sarmiento" w:date="2023-02-11T12:19:00Z">
            <w:rPr>
              <w:rFonts w:ascii="Times New Roman" w:hAnsi="Times New Roman" w:cs="Times New Roman"/>
              <w:color w:val="000000"/>
              <w:sz w:val="24"/>
              <w:szCs w:val="24"/>
              <w:highlight w:val="yellow"/>
            </w:rPr>
          </w:rPrChange>
        </w:rPr>
        <w:t>r</w:t>
      </w:r>
      <w:r w:rsidR="003862AC" w:rsidRPr="00D470F4">
        <w:rPr>
          <w:rFonts w:ascii="Times New Roman" w:hAnsi="Times New Roman" w:cs="Times New Roman"/>
          <w:color w:val="000000"/>
          <w:sz w:val="24"/>
          <w:szCs w:val="24"/>
          <w:rPrChange w:id="5" w:author="Joaquin Sarmiento" w:date="2023-02-11T12:19:00Z">
            <w:rPr>
              <w:rFonts w:ascii="Times New Roman" w:hAnsi="Times New Roman" w:cs="Times New Roman"/>
              <w:color w:val="000000"/>
              <w:sz w:val="24"/>
              <w:szCs w:val="24"/>
              <w:highlight w:val="yellow"/>
            </w:rPr>
          </w:rPrChange>
        </w:rPr>
        <w:t xml:space="preserve"> el diseño y la evolución de las políticas referidas</w:t>
      </w:r>
      <w:r w:rsidRPr="00D470F4">
        <w:rPr>
          <w:rFonts w:ascii="Times New Roman" w:hAnsi="Times New Roman" w:cs="Times New Roman"/>
          <w:color w:val="000000"/>
          <w:sz w:val="24"/>
          <w:szCs w:val="24"/>
          <w:rPrChange w:id="6" w:author="Joaquin Sarmiento" w:date="2023-02-11T12:19:00Z">
            <w:rPr>
              <w:rFonts w:ascii="Times New Roman" w:hAnsi="Times New Roman" w:cs="Times New Roman"/>
              <w:color w:val="000000"/>
              <w:sz w:val="24"/>
              <w:szCs w:val="24"/>
              <w:highlight w:val="yellow"/>
            </w:rPr>
          </w:rPrChange>
        </w:rPr>
        <w:t xml:space="preserve"> a la promoción de ERNC</w:t>
      </w:r>
      <w:r w:rsidR="003862AC" w:rsidRPr="00D470F4">
        <w:rPr>
          <w:rFonts w:ascii="Times New Roman" w:hAnsi="Times New Roman" w:cs="Times New Roman"/>
          <w:color w:val="000000"/>
          <w:sz w:val="24"/>
          <w:szCs w:val="24"/>
          <w:rPrChange w:id="7" w:author="Joaquin Sarmiento" w:date="2023-02-11T12:19:00Z">
            <w:rPr>
              <w:rFonts w:ascii="Times New Roman" w:hAnsi="Times New Roman" w:cs="Times New Roman"/>
              <w:color w:val="000000"/>
              <w:sz w:val="24"/>
              <w:szCs w:val="24"/>
              <w:highlight w:val="yellow"/>
            </w:rPr>
          </w:rPrChange>
        </w:rPr>
        <w:t xml:space="preserve"> a los Argentina</w:t>
      </w:r>
      <w:r w:rsidR="00AE1F8E" w:rsidRPr="00D470F4">
        <w:rPr>
          <w:rFonts w:ascii="Times New Roman" w:hAnsi="Times New Roman" w:cs="Times New Roman"/>
          <w:color w:val="000000"/>
          <w:sz w:val="24"/>
          <w:szCs w:val="24"/>
          <w:rPrChange w:id="8" w:author="Joaquin Sarmiento" w:date="2023-02-11T12:19:00Z">
            <w:rPr>
              <w:rFonts w:ascii="Times New Roman" w:hAnsi="Times New Roman" w:cs="Times New Roman"/>
              <w:color w:val="000000"/>
              <w:sz w:val="24"/>
              <w:szCs w:val="24"/>
              <w:highlight w:val="yellow"/>
            </w:rPr>
          </w:rPrChange>
        </w:rPr>
        <w:t xml:space="preserve"> y </w:t>
      </w:r>
      <w:r w:rsidR="003862AC" w:rsidRPr="00D470F4">
        <w:rPr>
          <w:rFonts w:ascii="Times New Roman" w:hAnsi="Times New Roman" w:cs="Times New Roman"/>
          <w:color w:val="000000"/>
          <w:sz w:val="24"/>
          <w:szCs w:val="24"/>
          <w:rPrChange w:id="9" w:author="Joaquin Sarmiento" w:date="2023-02-11T12:19:00Z">
            <w:rPr>
              <w:rFonts w:ascii="Times New Roman" w:hAnsi="Times New Roman" w:cs="Times New Roman"/>
              <w:color w:val="000000"/>
              <w:sz w:val="24"/>
              <w:szCs w:val="24"/>
              <w:highlight w:val="yellow"/>
            </w:rPr>
          </w:rPrChange>
        </w:rPr>
        <w:t xml:space="preserve">Chile durante el periodo </w:t>
      </w:r>
      <w:r w:rsidR="00AE1F8E" w:rsidRPr="00D470F4">
        <w:rPr>
          <w:rFonts w:ascii="Times New Roman" w:hAnsi="Times New Roman" w:cs="Times New Roman"/>
          <w:color w:val="000000"/>
          <w:sz w:val="24"/>
          <w:szCs w:val="24"/>
          <w:rPrChange w:id="10" w:author="Joaquin Sarmiento" w:date="2023-02-11T12:19:00Z">
            <w:rPr>
              <w:rFonts w:ascii="Times New Roman" w:hAnsi="Times New Roman" w:cs="Times New Roman"/>
              <w:color w:val="000000"/>
              <w:sz w:val="24"/>
              <w:szCs w:val="24"/>
              <w:highlight w:val="yellow"/>
            </w:rPr>
          </w:rPrChange>
        </w:rPr>
        <w:t>1990</w:t>
      </w:r>
      <w:r w:rsidR="003862AC" w:rsidRPr="00D470F4">
        <w:rPr>
          <w:rFonts w:ascii="Times New Roman" w:hAnsi="Times New Roman" w:cs="Times New Roman"/>
          <w:color w:val="000000"/>
          <w:sz w:val="24"/>
          <w:szCs w:val="24"/>
          <w:rPrChange w:id="11" w:author="Joaquin Sarmiento" w:date="2023-02-11T12:19:00Z">
            <w:rPr>
              <w:rFonts w:ascii="Times New Roman" w:hAnsi="Times New Roman" w:cs="Times New Roman"/>
              <w:color w:val="000000"/>
              <w:sz w:val="24"/>
              <w:szCs w:val="24"/>
              <w:highlight w:val="yellow"/>
            </w:rPr>
          </w:rPrChange>
        </w:rPr>
        <w:t>-20</w:t>
      </w:r>
      <w:r w:rsidRPr="00D470F4">
        <w:rPr>
          <w:rFonts w:ascii="Times New Roman" w:hAnsi="Times New Roman" w:cs="Times New Roman"/>
          <w:color w:val="000000"/>
          <w:sz w:val="24"/>
          <w:szCs w:val="24"/>
          <w:rPrChange w:id="12" w:author="Joaquin Sarmiento" w:date="2023-02-11T12:19:00Z">
            <w:rPr>
              <w:rFonts w:ascii="Times New Roman" w:hAnsi="Times New Roman" w:cs="Times New Roman"/>
              <w:color w:val="000000"/>
              <w:sz w:val="24"/>
              <w:szCs w:val="24"/>
              <w:highlight w:val="yellow"/>
            </w:rPr>
          </w:rPrChange>
        </w:rPr>
        <w:t>20</w:t>
      </w:r>
      <w:r w:rsidR="00AE1F8E" w:rsidRPr="00D470F4">
        <w:rPr>
          <w:rFonts w:ascii="Times New Roman" w:hAnsi="Times New Roman" w:cs="Times New Roman"/>
          <w:color w:val="000000"/>
          <w:sz w:val="24"/>
          <w:szCs w:val="24"/>
          <w:rPrChange w:id="13" w:author="Joaquin Sarmiento" w:date="2023-02-11T12:19:00Z">
            <w:rPr>
              <w:rFonts w:ascii="Times New Roman" w:hAnsi="Times New Roman" w:cs="Times New Roman"/>
              <w:color w:val="000000"/>
              <w:sz w:val="24"/>
              <w:szCs w:val="24"/>
              <w:highlight w:val="yellow"/>
            </w:rPr>
          </w:rPrChange>
        </w:rPr>
        <w:t xml:space="preserve">. </w:t>
      </w:r>
      <w:r w:rsidR="003862AC" w:rsidRPr="00D470F4">
        <w:rPr>
          <w:rFonts w:ascii="Times New Roman" w:hAnsi="Times New Roman" w:cs="Times New Roman"/>
          <w:color w:val="000000"/>
          <w:sz w:val="24"/>
          <w:szCs w:val="24"/>
          <w:rPrChange w:id="14" w:author="Joaquin Sarmiento" w:date="2023-02-11T12:19:00Z">
            <w:rPr>
              <w:rFonts w:ascii="Times New Roman" w:hAnsi="Times New Roman" w:cs="Times New Roman"/>
              <w:color w:val="000000"/>
              <w:sz w:val="24"/>
              <w:szCs w:val="24"/>
              <w:highlight w:val="yellow"/>
            </w:rPr>
          </w:rPrChange>
        </w:rPr>
        <w:t xml:space="preserve">Para ello, la estrategia metodológica adoptada fue el estudio de casos múltiples a través del método comparado, haciendo uso de la narrativa histórica para identificar los procesos que llevaron a que en cada caso las políticas adoptaran modelos </w:t>
      </w:r>
      <w:proofErr w:type="spellStart"/>
      <w:proofErr w:type="gramStart"/>
      <w:r w:rsidR="003862AC" w:rsidRPr="00D470F4">
        <w:rPr>
          <w:rFonts w:ascii="Times New Roman" w:hAnsi="Times New Roman" w:cs="Times New Roman"/>
          <w:color w:val="000000"/>
          <w:sz w:val="24"/>
          <w:szCs w:val="24"/>
          <w:rPrChange w:id="15" w:author="Joaquin Sarmiento" w:date="2023-02-11T12:19:00Z">
            <w:rPr>
              <w:rFonts w:ascii="Times New Roman" w:hAnsi="Times New Roman" w:cs="Times New Roman"/>
              <w:color w:val="000000"/>
              <w:sz w:val="24"/>
              <w:szCs w:val="24"/>
              <w:highlight w:val="yellow"/>
            </w:rPr>
          </w:rPrChange>
        </w:rPr>
        <w:t>diferentes.</w:t>
      </w:r>
      <w:r w:rsidR="00544FA3" w:rsidRPr="00D470F4">
        <w:rPr>
          <w:rFonts w:ascii="Times New Roman" w:hAnsi="Times New Roman" w:cs="Times New Roman"/>
          <w:color w:val="000000"/>
          <w:sz w:val="24"/>
          <w:szCs w:val="24"/>
        </w:rPr>
        <w:t>La</w:t>
      </w:r>
      <w:proofErr w:type="spellEnd"/>
      <w:proofErr w:type="gramEnd"/>
      <w:r w:rsidR="00544FA3" w:rsidRPr="00D470F4">
        <w:rPr>
          <w:rFonts w:ascii="Times New Roman" w:hAnsi="Times New Roman" w:cs="Times New Roman"/>
          <w:color w:val="000000"/>
          <w:sz w:val="24"/>
          <w:szCs w:val="24"/>
        </w:rPr>
        <w:t xml:space="preserve"> hipótesis se basa en el rol de las ideas </w:t>
      </w:r>
      <w:r w:rsidR="00D470F4" w:rsidRPr="00D470F4">
        <w:rPr>
          <w:rFonts w:ascii="Times New Roman" w:hAnsi="Times New Roman" w:cs="Times New Roman"/>
          <w:color w:val="000000"/>
          <w:sz w:val="24"/>
          <w:szCs w:val="24"/>
        </w:rPr>
        <w:t xml:space="preserve">y los modelos de desarrollo tanto en la configuración de los </w:t>
      </w:r>
      <w:r w:rsidR="00D470F4" w:rsidRPr="00D470F4">
        <w:rPr>
          <w:rFonts w:ascii="Times New Roman" w:hAnsi="Times New Roman" w:cs="Times New Roman"/>
          <w:color w:val="000000"/>
          <w:sz w:val="24"/>
          <w:szCs w:val="24"/>
        </w:rPr>
        <w:lastRenderedPageBreak/>
        <w:t xml:space="preserve">sistemas eléctricos como en el diseño de las políticas de promoción de ERNC. Estas últimas estarán doblemente condicionadas tanto por la estructura del sistema eléctrico en el que deben insertarse, como por la orientación ideológica de los gobiernos que las implementan. </w:t>
      </w:r>
    </w:p>
    <w:p w14:paraId="61184275" w14:textId="77777777" w:rsidR="00180695" w:rsidRPr="00D470F4" w:rsidRDefault="00180695" w:rsidP="00132D23">
      <w:pPr>
        <w:autoSpaceDE w:val="0"/>
        <w:autoSpaceDN w:val="0"/>
        <w:adjustRightInd w:val="0"/>
        <w:spacing w:after="0" w:line="480" w:lineRule="auto"/>
        <w:jc w:val="both"/>
        <w:rPr>
          <w:rFonts w:ascii="Times New Roman" w:hAnsi="Times New Roman" w:cs="Times New Roman"/>
          <w:color w:val="000000"/>
          <w:sz w:val="24"/>
          <w:szCs w:val="24"/>
        </w:rPr>
      </w:pPr>
    </w:p>
    <w:p w14:paraId="7ABA5A8B" w14:textId="77777777" w:rsidR="00180695" w:rsidRPr="00D470F4" w:rsidRDefault="00180695" w:rsidP="00132D23">
      <w:pPr>
        <w:autoSpaceDE w:val="0"/>
        <w:autoSpaceDN w:val="0"/>
        <w:adjustRightInd w:val="0"/>
        <w:spacing w:after="0" w:line="480" w:lineRule="auto"/>
        <w:jc w:val="both"/>
        <w:rPr>
          <w:rFonts w:ascii="Times New Roman" w:hAnsi="Times New Roman" w:cs="Times New Roman"/>
          <w:color w:val="000000"/>
          <w:sz w:val="24"/>
          <w:szCs w:val="24"/>
        </w:rPr>
      </w:pPr>
    </w:p>
    <w:p w14:paraId="5A3070BE" w14:textId="77777777" w:rsidR="00180695" w:rsidRPr="00D470F4" w:rsidRDefault="00180695" w:rsidP="00132D23">
      <w:pPr>
        <w:autoSpaceDE w:val="0"/>
        <w:autoSpaceDN w:val="0"/>
        <w:adjustRightInd w:val="0"/>
        <w:spacing w:after="0" w:line="480" w:lineRule="auto"/>
        <w:jc w:val="both"/>
        <w:rPr>
          <w:rFonts w:ascii="Times New Roman" w:hAnsi="Times New Roman" w:cs="Times New Roman"/>
          <w:color w:val="000000"/>
          <w:sz w:val="24"/>
          <w:szCs w:val="24"/>
        </w:rPr>
      </w:pPr>
    </w:p>
    <w:p w14:paraId="0F6218BF" w14:textId="77777777" w:rsidR="00180695" w:rsidRPr="00D470F4" w:rsidRDefault="00180695" w:rsidP="00132D23">
      <w:pPr>
        <w:autoSpaceDE w:val="0"/>
        <w:autoSpaceDN w:val="0"/>
        <w:adjustRightInd w:val="0"/>
        <w:spacing w:after="0" w:line="480" w:lineRule="auto"/>
        <w:jc w:val="both"/>
        <w:rPr>
          <w:rFonts w:ascii="Times New Roman" w:hAnsi="Times New Roman" w:cs="Times New Roman"/>
          <w:color w:val="000000"/>
          <w:sz w:val="24"/>
          <w:szCs w:val="24"/>
        </w:rPr>
      </w:pPr>
    </w:p>
    <w:p w14:paraId="415C0432" w14:textId="77777777" w:rsidR="00180695" w:rsidRPr="00D470F4" w:rsidRDefault="00180695" w:rsidP="00132D23">
      <w:pPr>
        <w:autoSpaceDE w:val="0"/>
        <w:autoSpaceDN w:val="0"/>
        <w:adjustRightInd w:val="0"/>
        <w:spacing w:after="0" w:line="480" w:lineRule="auto"/>
        <w:jc w:val="both"/>
        <w:rPr>
          <w:rFonts w:ascii="Times New Roman" w:hAnsi="Times New Roman" w:cs="Times New Roman"/>
          <w:color w:val="000000"/>
          <w:sz w:val="24"/>
          <w:szCs w:val="24"/>
        </w:rPr>
      </w:pPr>
    </w:p>
    <w:p w14:paraId="0219BD79" w14:textId="77777777" w:rsidR="00180695" w:rsidRPr="00D470F4" w:rsidRDefault="00180695" w:rsidP="00132D23">
      <w:pPr>
        <w:autoSpaceDE w:val="0"/>
        <w:autoSpaceDN w:val="0"/>
        <w:adjustRightInd w:val="0"/>
        <w:spacing w:after="0" w:line="480" w:lineRule="auto"/>
        <w:jc w:val="both"/>
        <w:rPr>
          <w:rFonts w:ascii="Times New Roman" w:hAnsi="Times New Roman" w:cs="Times New Roman"/>
          <w:color w:val="000000"/>
          <w:sz w:val="24"/>
          <w:szCs w:val="24"/>
        </w:rPr>
      </w:pPr>
    </w:p>
    <w:p w14:paraId="30866D20" w14:textId="77777777" w:rsidR="00180695" w:rsidRPr="00D470F4" w:rsidRDefault="00180695" w:rsidP="00132D23">
      <w:pPr>
        <w:autoSpaceDE w:val="0"/>
        <w:autoSpaceDN w:val="0"/>
        <w:adjustRightInd w:val="0"/>
        <w:spacing w:after="0" w:line="480" w:lineRule="auto"/>
        <w:jc w:val="both"/>
        <w:rPr>
          <w:rFonts w:ascii="Times New Roman" w:hAnsi="Times New Roman" w:cs="Times New Roman"/>
          <w:color w:val="000000"/>
          <w:sz w:val="24"/>
          <w:szCs w:val="24"/>
        </w:rPr>
      </w:pPr>
    </w:p>
    <w:p w14:paraId="301537E0" w14:textId="77777777" w:rsidR="00180695" w:rsidRPr="00D470F4" w:rsidRDefault="00180695" w:rsidP="00132D23">
      <w:pPr>
        <w:autoSpaceDE w:val="0"/>
        <w:autoSpaceDN w:val="0"/>
        <w:adjustRightInd w:val="0"/>
        <w:spacing w:after="0" w:line="480" w:lineRule="auto"/>
        <w:jc w:val="both"/>
        <w:rPr>
          <w:rFonts w:ascii="Times New Roman" w:hAnsi="Times New Roman" w:cs="Times New Roman"/>
          <w:color w:val="000000"/>
          <w:sz w:val="24"/>
          <w:szCs w:val="24"/>
        </w:rPr>
      </w:pPr>
    </w:p>
    <w:p w14:paraId="390D4F49" w14:textId="77777777" w:rsidR="00180695" w:rsidRPr="00D470F4" w:rsidRDefault="00180695" w:rsidP="00132D23">
      <w:pPr>
        <w:autoSpaceDE w:val="0"/>
        <w:autoSpaceDN w:val="0"/>
        <w:adjustRightInd w:val="0"/>
        <w:spacing w:after="0" w:line="480" w:lineRule="auto"/>
        <w:jc w:val="both"/>
        <w:rPr>
          <w:rFonts w:ascii="Times New Roman" w:hAnsi="Times New Roman" w:cs="Times New Roman"/>
          <w:color w:val="000000"/>
          <w:sz w:val="24"/>
          <w:szCs w:val="24"/>
        </w:rPr>
      </w:pPr>
    </w:p>
    <w:p w14:paraId="4EA7853A" w14:textId="77777777" w:rsidR="00180695" w:rsidRPr="00D470F4" w:rsidRDefault="00180695" w:rsidP="00132D23">
      <w:pPr>
        <w:autoSpaceDE w:val="0"/>
        <w:autoSpaceDN w:val="0"/>
        <w:adjustRightInd w:val="0"/>
        <w:spacing w:after="0" w:line="480" w:lineRule="auto"/>
        <w:jc w:val="both"/>
        <w:rPr>
          <w:rFonts w:ascii="Times New Roman" w:hAnsi="Times New Roman" w:cs="Times New Roman"/>
          <w:color w:val="000000"/>
          <w:sz w:val="24"/>
          <w:szCs w:val="24"/>
        </w:rPr>
      </w:pPr>
    </w:p>
    <w:p w14:paraId="0BAED685" w14:textId="77777777" w:rsidR="00180695" w:rsidRPr="00D470F4" w:rsidRDefault="00180695" w:rsidP="00132D23">
      <w:pPr>
        <w:autoSpaceDE w:val="0"/>
        <w:autoSpaceDN w:val="0"/>
        <w:adjustRightInd w:val="0"/>
        <w:spacing w:after="0" w:line="480" w:lineRule="auto"/>
        <w:jc w:val="both"/>
        <w:rPr>
          <w:rFonts w:ascii="Times New Roman" w:hAnsi="Times New Roman" w:cs="Times New Roman"/>
          <w:color w:val="000000"/>
          <w:sz w:val="24"/>
          <w:szCs w:val="24"/>
        </w:rPr>
      </w:pPr>
    </w:p>
    <w:p w14:paraId="4D6854A1" w14:textId="77777777" w:rsidR="00180695" w:rsidRPr="00D470F4" w:rsidRDefault="00180695" w:rsidP="00132D23">
      <w:pPr>
        <w:autoSpaceDE w:val="0"/>
        <w:autoSpaceDN w:val="0"/>
        <w:adjustRightInd w:val="0"/>
        <w:spacing w:after="0" w:line="480" w:lineRule="auto"/>
        <w:jc w:val="both"/>
        <w:rPr>
          <w:rFonts w:ascii="Times New Roman" w:hAnsi="Times New Roman" w:cs="Times New Roman"/>
          <w:color w:val="000000"/>
          <w:sz w:val="24"/>
          <w:szCs w:val="24"/>
        </w:rPr>
      </w:pPr>
    </w:p>
    <w:p w14:paraId="368373B0" w14:textId="77777777" w:rsidR="00180695" w:rsidRPr="00D470F4" w:rsidRDefault="00180695" w:rsidP="00132D23">
      <w:pPr>
        <w:autoSpaceDE w:val="0"/>
        <w:autoSpaceDN w:val="0"/>
        <w:adjustRightInd w:val="0"/>
        <w:spacing w:after="0" w:line="480" w:lineRule="auto"/>
        <w:jc w:val="both"/>
        <w:rPr>
          <w:rFonts w:ascii="Times New Roman" w:hAnsi="Times New Roman" w:cs="Times New Roman"/>
          <w:color w:val="000000"/>
          <w:sz w:val="24"/>
          <w:szCs w:val="24"/>
        </w:rPr>
      </w:pPr>
    </w:p>
    <w:p w14:paraId="6BFA008D" w14:textId="77777777" w:rsidR="00180695" w:rsidRPr="00D470F4" w:rsidRDefault="00180695" w:rsidP="00132D23">
      <w:pPr>
        <w:autoSpaceDE w:val="0"/>
        <w:autoSpaceDN w:val="0"/>
        <w:adjustRightInd w:val="0"/>
        <w:spacing w:after="0" w:line="480" w:lineRule="auto"/>
        <w:jc w:val="both"/>
        <w:rPr>
          <w:rFonts w:ascii="Times New Roman" w:hAnsi="Times New Roman" w:cs="Times New Roman"/>
          <w:color w:val="000000"/>
          <w:sz w:val="24"/>
          <w:szCs w:val="24"/>
        </w:rPr>
      </w:pPr>
    </w:p>
    <w:p w14:paraId="70F4045A" w14:textId="77777777" w:rsidR="00180695" w:rsidRPr="00D470F4" w:rsidRDefault="00180695" w:rsidP="00132D23">
      <w:pPr>
        <w:autoSpaceDE w:val="0"/>
        <w:autoSpaceDN w:val="0"/>
        <w:adjustRightInd w:val="0"/>
        <w:spacing w:after="0" w:line="480" w:lineRule="auto"/>
        <w:jc w:val="both"/>
        <w:rPr>
          <w:rFonts w:ascii="Times New Roman" w:hAnsi="Times New Roman" w:cs="Times New Roman"/>
          <w:color w:val="000000"/>
          <w:sz w:val="24"/>
          <w:szCs w:val="24"/>
        </w:rPr>
      </w:pPr>
    </w:p>
    <w:p w14:paraId="3126C276" w14:textId="36FEFEF6" w:rsidR="003E6D2A" w:rsidRPr="00D470F4" w:rsidRDefault="003E6D2A" w:rsidP="00132D23">
      <w:pPr>
        <w:autoSpaceDE w:val="0"/>
        <w:autoSpaceDN w:val="0"/>
        <w:adjustRightInd w:val="0"/>
        <w:spacing w:after="0" w:line="480" w:lineRule="auto"/>
        <w:jc w:val="both"/>
        <w:rPr>
          <w:rFonts w:ascii="Times New Roman" w:hAnsi="Times New Roman" w:cs="Times New Roman"/>
          <w:color w:val="000000"/>
          <w:sz w:val="24"/>
          <w:szCs w:val="24"/>
        </w:rPr>
      </w:pPr>
    </w:p>
    <w:p w14:paraId="6F87F1E4" w14:textId="4D579F74" w:rsidR="003E6D2A" w:rsidRPr="00D470F4" w:rsidRDefault="003E6D2A" w:rsidP="00132D23">
      <w:pPr>
        <w:autoSpaceDE w:val="0"/>
        <w:autoSpaceDN w:val="0"/>
        <w:adjustRightInd w:val="0"/>
        <w:spacing w:after="0" w:line="480" w:lineRule="auto"/>
        <w:jc w:val="both"/>
        <w:rPr>
          <w:rFonts w:ascii="Times New Roman" w:hAnsi="Times New Roman" w:cs="Times New Roman"/>
          <w:color w:val="000000"/>
          <w:sz w:val="24"/>
          <w:szCs w:val="24"/>
        </w:rPr>
      </w:pPr>
    </w:p>
    <w:p w14:paraId="358D0713" w14:textId="77777777" w:rsidR="003E6D2A" w:rsidRPr="00D470F4" w:rsidRDefault="003E6D2A" w:rsidP="00132D23">
      <w:pPr>
        <w:autoSpaceDE w:val="0"/>
        <w:autoSpaceDN w:val="0"/>
        <w:adjustRightInd w:val="0"/>
        <w:spacing w:after="0" w:line="480" w:lineRule="auto"/>
        <w:jc w:val="both"/>
        <w:rPr>
          <w:rFonts w:ascii="Times New Roman" w:hAnsi="Times New Roman" w:cs="Times New Roman"/>
          <w:color w:val="000000"/>
          <w:sz w:val="24"/>
          <w:szCs w:val="24"/>
        </w:rPr>
      </w:pPr>
    </w:p>
    <w:p w14:paraId="2E85FA55" w14:textId="77777777" w:rsidR="00EE139A" w:rsidRPr="00D470F4" w:rsidRDefault="00EE139A" w:rsidP="00132D23">
      <w:pPr>
        <w:autoSpaceDE w:val="0"/>
        <w:autoSpaceDN w:val="0"/>
        <w:adjustRightInd w:val="0"/>
        <w:spacing w:after="0" w:line="480" w:lineRule="auto"/>
        <w:jc w:val="both"/>
        <w:rPr>
          <w:rFonts w:ascii="Times New Roman" w:hAnsi="Times New Roman" w:cs="Times New Roman"/>
          <w:color w:val="000000"/>
          <w:sz w:val="24"/>
          <w:szCs w:val="24"/>
        </w:rPr>
      </w:pPr>
    </w:p>
    <w:p w14:paraId="30CDA6D3" w14:textId="77777777" w:rsidR="00180695" w:rsidRPr="00D470F4" w:rsidRDefault="00180695" w:rsidP="00132D23">
      <w:pPr>
        <w:autoSpaceDE w:val="0"/>
        <w:autoSpaceDN w:val="0"/>
        <w:adjustRightInd w:val="0"/>
        <w:spacing w:after="0" w:line="480" w:lineRule="auto"/>
        <w:jc w:val="both"/>
        <w:rPr>
          <w:rFonts w:ascii="Times New Roman" w:hAnsi="Times New Roman" w:cs="Times New Roman"/>
          <w:color w:val="000000"/>
          <w:sz w:val="24"/>
          <w:szCs w:val="24"/>
        </w:rPr>
      </w:pPr>
    </w:p>
    <w:p w14:paraId="17A43351" w14:textId="77777777" w:rsidR="00501CAA" w:rsidRPr="00D470F4" w:rsidRDefault="00501CAA" w:rsidP="00132D23">
      <w:pPr>
        <w:autoSpaceDE w:val="0"/>
        <w:autoSpaceDN w:val="0"/>
        <w:adjustRightInd w:val="0"/>
        <w:spacing w:after="0" w:line="480" w:lineRule="auto"/>
        <w:rPr>
          <w:rFonts w:ascii="Times New Roman" w:hAnsi="Times New Roman" w:cs="Times New Roman"/>
          <w:b/>
          <w:bCs/>
          <w:color w:val="355E91"/>
          <w:sz w:val="24"/>
          <w:szCs w:val="24"/>
        </w:rPr>
      </w:pPr>
    </w:p>
    <w:p w14:paraId="375ADADD" w14:textId="5AEED668" w:rsidR="002C17CA" w:rsidRPr="00D470F4" w:rsidRDefault="002C17CA" w:rsidP="00132D23">
      <w:pPr>
        <w:autoSpaceDE w:val="0"/>
        <w:autoSpaceDN w:val="0"/>
        <w:adjustRightInd w:val="0"/>
        <w:spacing w:after="0" w:line="480" w:lineRule="auto"/>
        <w:jc w:val="center"/>
        <w:rPr>
          <w:rFonts w:ascii="Times New Roman" w:hAnsi="Times New Roman" w:cs="Times New Roman"/>
          <w:b/>
          <w:sz w:val="24"/>
          <w:szCs w:val="24"/>
        </w:rPr>
      </w:pPr>
      <w:r w:rsidRPr="00D470F4">
        <w:rPr>
          <w:rFonts w:ascii="Times New Roman" w:hAnsi="Times New Roman" w:cs="Times New Roman"/>
          <w:b/>
          <w:sz w:val="24"/>
          <w:szCs w:val="24"/>
        </w:rPr>
        <w:lastRenderedPageBreak/>
        <w:t>Capítulo 1</w:t>
      </w:r>
    </w:p>
    <w:p w14:paraId="53B3B745" w14:textId="5AEF79E0" w:rsidR="00262F75" w:rsidRPr="00D470F4" w:rsidRDefault="00262F75" w:rsidP="00132D23">
      <w:pPr>
        <w:spacing w:line="480" w:lineRule="auto"/>
        <w:jc w:val="center"/>
        <w:rPr>
          <w:rFonts w:ascii="Times New Roman" w:hAnsi="Times New Roman" w:cs="Times New Roman"/>
          <w:b/>
          <w:sz w:val="24"/>
          <w:szCs w:val="24"/>
        </w:rPr>
      </w:pPr>
      <w:r w:rsidRPr="00D470F4">
        <w:rPr>
          <w:rFonts w:ascii="Times New Roman" w:hAnsi="Times New Roman" w:cs="Times New Roman"/>
          <w:b/>
          <w:sz w:val="24"/>
          <w:szCs w:val="24"/>
        </w:rPr>
        <w:t>Introducción</w:t>
      </w:r>
    </w:p>
    <w:p w14:paraId="302378A4" w14:textId="77777777" w:rsidR="002C17CA" w:rsidRPr="00D470F4" w:rsidRDefault="002C17CA" w:rsidP="00132D23">
      <w:pPr>
        <w:spacing w:line="480" w:lineRule="auto"/>
        <w:jc w:val="center"/>
        <w:rPr>
          <w:rFonts w:ascii="Times New Roman" w:hAnsi="Times New Roman" w:cs="Times New Roman"/>
          <w:b/>
          <w:sz w:val="24"/>
          <w:szCs w:val="24"/>
        </w:rPr>
      </w:pPr>
    </w:p>
    <w:p w14:paraId="308AAD68" w14:textId="77777777" w:rsidR="00262F75" w:rsidRPr="00D470F4" w:rsidRDefault="00262F75" w:rsidP="00132D23">
      <w:pPr>
        <w:pStyle w:val="Prrafodelista"/>
        <w:numPr>
          <w:ilvl w:val="0"/>
          <w:numId w:val="1"/>
        </w:numPr>
        <w:spacing w:line="480" w:lineRule="auto"/>
        <w:rPr>
          <w:rFonts w:ascii="Times New Roman" w:hAnsi="Times New Roman" w:cs="Times New Roman"/>
          <w:b/>
          <w:sz w:val="24"/>
          <w:szCs w:val="24"/>
        </w:rPr>
      </w:pPr>
      <w:r w:rsidRPr="00D470F4">
        <w:rPr>
          <w:rFonts w:ascii="Times New Roman" w:hAnsi="Times New Roman" w:cs="Times New Roman"/>
          <w:b/>
          <w:sz w:val="24"/>
          <w:szCs w:val="24"/>
        </w:rPr>
        <w:t>Problema de Investigación</w:t>
      </w:r>
    </w:p>
    <w:p w14:paraId="532B325E" w14:textId="77777777" w:rsidR="00262F75" w:rsidRPr="00D470F4" w:rsidRDefault="00262F75" w:rsidP="00132D23">
      <w:pPr>
        <w:spacing w:after="0" w:line="480" w:lineRule="auto"/>
        <w:ind w:firstLine="284"/>
        <w:jc w:val="both"/>
        <w:rPr>
          <w:rFonts w:ascii="Times New Roman" w:hAnsi="Times New Roman" w:cs="Times New Roman"/>
          <w:color w:val="212121"/>
          <w:sz w:val="24"/>
          <w:szCs w:val="24"/>
          <w:shd w:val="clear" w:color="auto" w:fill="FFFFFF"/>
        </w:rPr>
      </w:pPr>
      <w:r w:rsidRPr="00D470F4">
        <w:rPr>
          <w:rFonts w:ascii="Times New Roman" w:hAnsi="Times New Roman" w:cs="Times New Roman"/>
          <w:color w:val="212121"/>
          <w:sz w:val="24"/>
          <w:szCs w:val="24"/>
          <w:shd w:val="clear" w:color="auto" w:fill="FFFFFF"/>
        </w:rPr>
        <w:t xml:space="preserve">En las últimas décadas, la comunidad internacional ha acumulado creciente evidencia respecto a la necesidad de realizar una transición hacia fuentes energéticas no convencionales, como un medio de mitigar el cambio climático (IPCC, 2018) y reducir los impactos ambientales </w:t>
      </w:r>
      <w:r w:rsidRPr="00D470F4">
        <w:rPr>
          <w:rFonts w:ascii="Times New Roman" w:hAnsi="Times New Roman" w:cs="Times New Roman"/>
          <w:color w:val="212121"/>
          <w:sz w:val="24"/>
          <w:szCs w:val="24"/>
          <w:shd w:val="clear" w:color="auto" w:fill="FFFFFF"/>
        </w:rPr>
        <w:fldChar w:fldCharType="begin" w:fldLock="1"/>
      </w:r>
      <w:r w:rsidRPr="00D470F4">
        <w:rPr>
          <w:rFonts w:ascii="Times New Roman" w:hAnsi="Times New Roman" w:cs="Times New Roman"/>
          <w:color w:val="212121"/>
          <w:sz w:val="24"/>
          <w:szCs w:val="24"/>
          <w:shd w:val="clear" w:color="auto" w:fill="FFFFFF"/>
        </w:rPr>
        <w:instrText>ADDIN CSL_CITATION {"citationItems":[{"id":"ITEM-1","itemData":{"DOI":"10.1080/09644016.2011.608538","ISBN":"9780203720196","ISSN":"09644016","abstract":"After struggling for decades to get climate change mitigation onto the political agenda, environmentalists now not only find themselves enmeshed in internal conflict over how to proceed, but also find these conflicts themselves functioning to delay or forestall necessary action. Reframing climate change as an energy systems – rather than an emissions reduction – problem allows us to see why these conflicts have arisen and what is at stake in them. This argument is illustrated through an examination of climate and energy politics in the province of British Columbia, Canada. Taking an energy systems perspective reveals both the complexity and importance of the political terrain activated by climate change: how societies reshape energy systems in response to climate change will have profound implications not only for their ecological impact but also for their political and social character.","author":[{"dropping-particle":"","family":"Shaw","given":"Karena","non-dropping-particle":"","parse-names":false,"suffix":""}],"container-title":"Environmental Politics","id":"ITEM-1","issue":"5","issued":{"date-parts":[["2011"]]},"page":"743-763","title":"Climate deadlocks: The environmental politics of energy systems","type":"article-journal","volume":"20"},"uris":["http://www.mendeley.com/documents/?uuid=97d34704-4b72-48c0-af46-80346c7b250a"]}],"mendeley":{"formattedCitation":"(Shaw 2011)","plainTextFormattedCitation":"(Shaw 2011)","previouslyFormattedCitation":"(Shaw 2011)"},"properties":{"noteIndex":0},"schema":"https://github.com/citation-style-language/schema/raw/master/csl-citation.json"}</w:instrText>
      </w:r>
      <w:r w:rsidRPr="00D470F4">
        <w:rPr>
          <w:rFonts w:ascii="Times New Roman" w:hAnsi="Times New Roman" w:cs="Times New Roman"/>
          <w:color w:val="212121"/>
          <w:sz w:val="24"/>
          <w:szCs w:val="24"/>
          <w:shd w:val="clear" w:color="auto" w:fill="FFFFFF"/>
        </w:rPr>
        <w:fldChar w:fldCharType="separate"/>
      </w:r>
      <w:r w:rsidRPr="00D470F4">
        <w:rPr>
          <w:rFonts w:ascii="Times New Roman" w:hAnsi="Times New Roman" w:cs="Times New Roman"/>
          <w:noProof/>
          <w:color w:val="212121"/>
          <w:sz w:val="24"/>
          <w:szCs w:val="24"/>
          <w:shd w:val="clear" w:color="auto" w:fill="FFFFFF"/>
        </w:rPr>
        <w:t>(Shaw 2011)</w:t>
      </w:r>
      <w:r w:rsidRPr="00D470F4">
        <w:rPr>
          <w:rFonts w:ascii="Times New Roman" w:hAnsi="Times New Roman" w:cs="Times New Roman"/>
          <w:color w:val="212121"/>
          <w:sz w:val="24"/>
          <w:szCs w:val="24"/>
          <w:shd w:val="clear" w:color="auto" w:fill="FFFFFF"/>
        </w:rPr>
        <w:fldChar w:fldCharType="end"/>
      </w:r>
      <w:r w:rsidRPr="00D470F4">
        <w:rPr>
          <w:rFonts w:ascii="Times New Roman" w:hAnsi="Times New Roman" w:cs="Times New Roman"/>
          <w:color w:val="212121"/>
          <w:sz w:val="24"/>
          <w:szCs w:val="24"/>
          <w:shd w:val="clear" w:color="auto" w:fill="FFFFFF"/>
        </w:rPr>
        <w:t xml:space="preserve">. Sin embargo, la incorporación de políticas de promoción de energías renovables no convencionales (ERNC) tiene claros costos diferenciales. Para su puesta en funcionamiento, se necesita una amplia inversión inicial (que los actores privados no están en condiciones de realizar) </w:t>
      </w:r>
      <w:r w:rsidRPr="00D470F4">
        <w:rPr>
          <w:rFonts w:ascii="Times New Roman" w:hAnsi="Times New Roman" w:cs="Times New Roman"/>
          <w:color w:val="212121"/>
          <w:sz w:val="24"/>
          <w:szCs w:val="24"/>
          <w:shd w:val="clear" w:color="auto" w:fill="FFFFFF"/>
        </w:rPr>
        <w:fldChar w:fldCharType="begin" w:fldLock="1"/>
      </w:r>
      <w:r w:rsidRPr="00D470F4">
        <w:rPr>
          <w:rFonts w:ascii="Times New Roman" w:hAnsi="Times New Roman" w:cs="Times New Roman"/>
          <w:color w:val="212121"/>
          <w:sz w:val="24"/>
          <w:szCs w:val="24"/>
          <w:shd w:val="clear" w:color="auto" w:fill="FFFFFF"/>
        </w:rPr>
        <w:instrText>ADDIN CSL_CITATION {"citationItems":[{"id":"ITEM-1","itemData":{"DOI":"10.1016/j.enpol.2012.02.070","ISBN":"0301-4215","ISSN":"03014215","abstract":"This short essay first reviews the pioneers of energy transition research both in terms of data as well as theories. Three major insights that have emerged from this nascent research fields are summarized highlighting the importance of energy end-use and services, the lengthy process of transitions, as well as the patterns that characterize successful scale up of technologies and industries that drive historical energy transitions. The essay concludes with cautionary notes also derived from historical experience. In order to trigger a next energy transition policies and innovation efforts need to be persistent and continuous, aligned, as well as balanced. It is argued that current policy frameworks in place invariably do not meet these criteria and need to change in order to successfully trigger a next energy transition towards sustainability. © 2012 Elsevier Ltd.","author":[{"dropping-particle":"","family":"Grubler","given":"Arnulf","non-dropping-particle":"","parse-names":false,"suffix":""}],"container-title":"Energy Policy","id":"ITEM-1","issued":{"date-parts":[["2012"]]},"page":"8-16","publisher":"Elsevier","title":"Energy transitions research: Insights and cautionary tales","type":"article-journal","volume":"50"},"uris":["http://www.mendeley.com/documents/?uuid=5fe2a89f-8c9c-4a26-8eac-e3013f984a50"]}],"mendeley":{"formattedCitation":"(Grubler 2012)","plainTextFormattedCitation":"(Grubler 2012)","previouslyFormattedCitation":"(Grubler 2012)"},"properties":{"noteIndex":0},"schema":"https://github.com/citation-style-language/schema/raw/master/csl-citation.json"}</w:instrText>
      </w:r>
      <w:r w:rsidRPr="00D470F4">
        <w:rPr>
          <w:rFonts w:ascii="Times New Roman" w:hAnsi="Times New Roman" w:cs="Times New Roman"/>
          <w:color w:val="212121"/>
          <w:sz w:val="24"/>
          <w:szCs w:val="24"/>
          <w:shd w:val="clear" w:color="auto" w:fill="FFFFFF"/>
        </w:rPr>
        <w:fldChar w:fldCharType="separate"/>
      </w:r>
      <w:r w:rsidRPr="00D470F4">
        <w:rPr>
          <w:rFonts w:ascii="Times New Roman" w:hAnsi="Times New Roman" w:cs="Times New Roman"/>
          <w:noProof/>
          <w:color w:val="212121"/>
          <w:sz w:val="24"/>
          <w:szCs w:val="24"/>
          <w:shd w:val="clear" w:color="auto" w:fill="FFFFFF"/>
        </w:rPr>
        <w:t>(Grubler 2012)</w:t>
      </w:r>
      <w:r w:rsidRPr="00D470F4">
        <w:rPr>
          <w:rFonts w:ascii="Times New Roman" w:hAnsi="Times New Roman" w:cs="Times New Roman"/>
          <w:color w:val="212121"/>
          <w:sz w:val="24"/>
          <w:szCs w:val="24"/>
          <w:shd w:val="clear" w:color="auto" w:fill="FFFFFF"/>
        </w:rPr>
        <w:fldChar w:fldCharType="end"/>
      </w:r>
      <w:r w:rsidRPr="00D470F4">
        <w:rPr>
          <w:rFonts w:ascii="Times New Roman" w:hAnsi="Times New Roman" w:cs="Times New Roman"/>
          <w:color w:val="212121"/>
          <w:sz w:val="24"/>
          <w:szCs w:val="24"/>
          <w:shd w:val="clear" w:color="auto" w:fill="FFFFFF"/>
        </w:rPr>
        <w:t xml:space="preserve"> y se requiere el desarrollo de un alto grado de conocimiento técnico </w:t>
      </w:r>
      <w:r w:rsidRPr="00D470F4">
        <w:rPr>
          <w:rFonts w:ascii="Times New Roman" w:hAnsi="Times New Roman" w:cs="Times New Roman"/>
          <w:color w:val="212121"/>
          <w:sz w:val="24"/>
          <w:szCs w:val="24"/>
          <w:shd w:val="clear" w:color="auto" w:fill="FFFFFF"/>
        </w:rPr>
        <w:fldChar w:fldCharType="begin" w:fldLock="1"/>
      </w:r>
      <w:r w:rsidRPr="00D470F4">
        <w:rPr>
          <w:rFonts w:ascii="Times New Roman" w:hAnsi="Times New Roman" w:cs="Times New Roman"/>
          <w:color w:val="212121"/>
          <w:sz w:val="24"/>
          <w:szCs w:val="24"/>
          <w:shd w:val="clear" w:color="auto" w:fill="FFFFFF"/>
        </w:rPr>
        <w:instrText>ADDIN CSL_CITATION {"citationItems":[{"id":"ITEM-1","itemData":{"DOI":"10.1016/j.erss.2014.03.010","ISBN":"2214-6296","ISSN":"22146296","abstract":"Managing climate change will require massive innovation in the technological infrastructure for producing and using energy. Private market forces have driven the innovations that led to similar transitions in the past. However, because the value of mitigating the climate change is a public good, unaided private markets are not likely to produce the innovations needed to respond to a climate-driven transition. As a result, social sciences should play an important role in stimulating change in two ways. One is to influence consumer choice by other than price signals. The limited deployment of economically attractive energy efficiency technologies is an example of this need. The second role for social sciences is to ensure that governance institutions and polices provide a durable but adaptable framework for driving innovation during the long process of changing the energy system. Strategies for social sciences to engage with policy makers in these two areas are suggested. © 2014 Elsevier Ltd.","author":[{"dropping-particle":"","family":"Fri","given":"Robert W.","non-dropping-particle":"","parse-names":false,"suffix":""},{"dropping-particle":"","family":"Savitz","given":"Maxine L.","non-dropping-particle":"","parse-names":false,"suffix":""}],"container-title":"Energy Research and Social Science","id":"ITEM-1","issued":{"date-parts":[["2014"]]},"page":"183-187","publisher":"Elsevier Ltd","title":"Rethinking energy innovation and social science","type":"article-journal","volume":"1"},"uris":["http://www.mendeley.com/documents/?uuid=e050809f-2d75-4afe-9d65-a79570a73566"]}],"mendeley":{"formattedCitation":"(Fri and Savitz 2014)","plainTextFormattedCitation":"(Fri and Savitz 2014)","previouslyFormattedCitation":"(Fri and Savitz 2014)"},"properties":{"noteIndex":0},"schema":"https://github.com/citation-style-language/schema/raw/master/csl-citation.json"}</w:instrText>
      </w:r>
      <w:r w:rsidRPr="00D470F4">
        <w:rPr>
          <w:rFonts w:ascii="Times New Roman" w:hAnsi="Times New Roman" w:cs="Times New Roman"/>
          <w:color w:val="212121"/>
          <w:sz w:val="24"/>
          <w:szCs w:val="24"/>
          <w:shd w:val="clear" w:color="auto" w:fill="FFFFFF"/>
        </w:rPr>
        <w:fldChar w:fldCharType="separate"/>
      </w:r>
      <w:r w:rsidRPr="00D470F4">
        <w:rPr>
          <w:rFonts w:ascii="Times New Roman" w:hAnsi="Times New Roman" w:cs="Times New Roman"/>
          <w:noProof/>
          <w:color w:val="212121"/>
          <w:sz w:val="24"/>
          <w:szCs w:val="24"/>
          <w:shd w:val="clear" w:color="auto" w:fill="FFFFFF"/>
        </w:rPr>
        <w:t>(Fri and Savitz 2014)</w:t>
      </w:r>
      <w:r w:rsidRPr="00D470F4">
        <w:rPr>
          <w:rFonts w:ascii="Times New Roman" w:hAnsi="Times New Roman" w:cs="Times New Roman"/>
          <w:color w:val="212121"/>
          <w:sz w:val="24"/>
          <w:szCs w:val="24"/>
          <w:shd w:val="clear" w:color="auto" w:fill="FFFFFF"/>
        </w:rPr>
        <w:fldChar w:fldCharType="end"/>
      </w:r>
      <w:r w:rsidRPr="00D470F4">
        <w:rPr>
          <w:rFonts w:ascii="Times New Roman" w:hAnsi="Times New Roman" w:cs="Times New Roman"/>
          <w:color w:val="212121"/>
          <w:sz w:val="24"/>
          <w:szCs w:val="24"/>
          <w:shd w:val="clear" w:color="auto" w:fill="FFFFFF"/>
        </w:rPr>
        <w:t>.</w:t>
      </w:r>
    </w:p>
    <w:p w14:paraId="3B3813D8" w14:textId="77777777" w:rsidR="00262F75" w:rsidRPr="00D470F4" w:rsidRDefault="00262F75" w:rsidP="00132D23">
      <w:pPr>
        <w:spacing w:after="0" w:line="480" w:lineRule="auto"/>
        <w:ind w:firstLine="284"/>
        <w:jc w:val="both"/>
        <w:rPr>
          <w:rFonts w:ascii="Times New Roman" w:hAnsi="Times New Roman" w:cs="Times New Roman"/>
          <w:color w:val="212121"/>
          <w:sz w:val="24"/>
          <w:szCs w:val="24"/>
          <w:shd w:val="clear" w:color="auto" w:fill="FFFFFF"/>
        </w:rPr>
      </w:pPr>
      <w:r w:rsidRPr="00D470F4">
        <w:rPr>
          <w:rFonts w:ascii="Times New Roman" w:hAnsi="Times New Roman" w:cs="Times New Roman"/>
          <w:color w:val="212121"/>
          <w:sz w:val="24"/>
          <w:szCs w:val="24"/>
          <w:shd w:val="clear" w:color="auto" w:fill="FFFFFF"/>
        </w:rPr>
        <w:t xml:space="preserve"> Asimismo, las ERNC son menos eficientes que las tradicionales </w:t>
      </w:r>
      <w:r w:rsidRPr="00D470F4">
        <w:rPr>
          <w:rFonts w:ascii="Times New Roman" w:hAnsi="Times New Roman" w:cs="Times New Roman"/>
          <w:color w:val="212121"/>
          <w:sz w:val="24"/>
          <w:szCs w:val="24"/>
          <w:shd w:val="clear" w:color="auto" w:fill="FFFFFF"/>
        </w:rPr>
        <w:fldChar w:fldCharType="begin" w:fldLock="1"/>
      </w:r>
      <w:r w:rsidRPr="00D470F4">
        <w:rPr>
          <w:rFonts w:ascii="Times New Roman" w:hAnsi="Times New Roman" w:cs="Times New Roman"/>
          <w:color w:val="212121"/>
          <w:sz w:val="24"/>
          <w:szCs w:val="24"/>
          <w:shd w:val="clear" w:color="auto" w:fill="FFFFFF"/>
        </w:rPr>
        <w:instrText>ADDIN CSL_CITATION {"citationItems":[{"id":"ITEM-1","itemData":{"abstract":"Todas las proyecciones de demanda energética futura muestran una tendencia creciente y que las principales fuentes primarias utilizadas continuarán siendo los combustibles fósiles. Sin embargo éstos presentan límites físicos, económicos y ambientales infranqueables. Las fuentes renovables aparecen como una alternativa, pero a poco de analizar los escenarios futuros, és- tas también presentan límites de diverso tipo. Este trabajo recorre varios de estos límites y po- ne en duda que el crecimiento del consumo energético esperado, ya sea con fósiles o con re- novables, sea viable.","author":[{"dropping-particle":"","family":"Honty","given":"Gerardo","non-dropping-particle":"","parse-names":false,"suffix":""}],"id":"ITEM-1","issued":{"date-parts":[["2014"]]},"publisher":"Quito: CAAP","title":"Límites de las energías renovables","type":"article-journal"},"uris":["http://www.mendeley.com/documents/?uuid=c03a7f21-9f49-3234-af46-34991e9994f7"]}],"mendeley":{"formattedCitation":"(Honty 2014)","plainTextFormattedCitation":"(Honty 2014)","previouslyFormattedCitation":"(Honty 2014)"},"properties":{"noteIndex":0},"schema":"https://github.com/citation-style-language/schema/raw/master/csl-citation.json"}</w:instrText>
      </w:r>
      <w:r w:rsidRPr="00D470F4">
        <w:rPr>
          <w:rFonts w:ascii="Times New Roman" w:hAnsi="Times New Roman" w:cs="Times New Roman"/>
          <w:color w:val="212121"/>
          <w:sz w:val="24"/>
          <w:szCs w:val="24"/>
          <w:shd w:val="clear" w:color="auto" w:fill="FFFFFF"/>
        </w:rPr>
        <w:fldChar w:fldCharType="separate"/>
      </w:r>
      <w:r w:rsidRPr="00D470F4">
        <w:rPr>
          <w:rFonts w:ascii="Times New Roman" w:hAnsi="Times New Roman" w:cs="Times New Roman"/>
          <w:noProof/>
          <w:color w:val="212121"/>
          <w:sz w:val="24"/>
          <w:szCs w:val="24"/>
          <w:shd w:val="clear" w:color="auto" w:fill="FFFFFF"/>
        </w:rPr>
        <w:t>(Honty 2014)</w:t>
      </w:r>
      <w:r w:rsidRPr="00D470F4">
        <w:rPr>
          <w:rFonts w:ascii="Times New Roman" w:hAnsi="Times New Roman" w:cs="Times New Roman"/>
          <w:color w:val="212121"/>
          <w:sz w:val="24"/>
          <w:szCs w:val="24"/>
          <w:shd w:val="clear" w:color="auto" w:fill="FFFFFF"/>
        </w:rPr>
        <w:fldChar w:fldCharType="end"/>
      </w:r>
      <w:r w:rsidRPr="00D470F4">
        <w:rPr>
          <w:rFonts w:ascii="Times New Roman" w:hAnsi="Times New Roman" w:cs="Times New Roman"/>
          <w:color w:val="212121"/>
          <w:sz w:val="24"/>
          <w:szCs w:val="24"/>
          <w:shd w:val="clear" w:color="auto" w:fill="FFFFFF"/>
        </w:rPr>
        <w:t xml:space="preserve"> y para su incorporación deben superar la resistencia de poderosos agentes de veto </w:t>
      </w:r>
      <w:r w:rsidRPr="00D470F4">
        <w:rPr>
          <w:rFonts w:ascii="Times New Roman" w:hAnsi="Times New Roman" w:cs="Times New Roman"/>
          <w:color w:val="212121"/>
          <w:sz w:val="24"/>
          <w:szCs w:val="24"/>
          <w:shd w:val="clear" w:color="auto" w:fill="FFFFFF"/>
        </w:rPr>
        <w:fldChar w:fldCharType="begin" w:fldLock="1"/>
      </w:r>
      <w:r w:rsidRPr="00D470F4">
        <w:rPr>
          <w:rFonts w:ascii="Times New Roman" w:hAnsi="Times New Roman" w:cs="Times New Roman"/>
          <w:color w:val="212121"/>
          <w:sz w:val="24"/>
          <w:szCs w:val="24"/>
          <w:shd w:val="clear" w:color="auto" w:fill="FFFFFF"/>
        </w:rPr>
        <w:instrText>ADDIN CSL_CITATION {"citationItems":[{"id":"ITEM-1","itemData":{"ISBN":"9780262028806","abstract":"The problem / Thomas Princen, Jack P. Manno, and Pamela L. Martin -- The biophysical : the decline in energy returned on energy invested, net energy, and marginal benefits / Jack P. Manno and Stephen B. Balogh -- The cultural : the magic, the vision, the power / Thomas Princen -- The ethical : a fossil fuel ethic / Thomas Princen -- Leaving oil under the Amazon : the Yasuní-ITT initiative as a postpetroleum model? / Pamela L. Martin -- Appalachia coal : the campaign to end mountaintop removal mining / Laura A. Bozzi -- El Salvador gold : toward a mining ban / Robin Broad and John Cavanagh -- Slowing uranium in Australia : lessons for urgent transition beyond coal, gas, and oil / James Goodman and Stuart Rosewarne -- The future would have to give way to the past : Germany and the coal dilemma / Tom Morton -- Heating up and cooling down the petrostate : the Norwegian experience / Helge Ryggvik and Berit Kristoffersen -- The good life (sumak kawsay) and the good mind (ganigonhi:oh) : indigenous values and keeping fossil fuels in the ground / Jack P. Manno and Pamela L. Martin -- Exit strategies / Thomas Princen and Adele Santana -- On the way down : fossil fuel politics in the twenty-first century / Thomas Princen, Jack P. Manno, and Pamela L. Martin.","author":[{"dropping-particle":"","family":"Princen","given":"Thomas","non-dropping-particle":"","parse-names":false,"suffix":""},{"dropping-particle":"","family":"Manno","given":"Jack","non-dropping-particle":"","parse-names":false,"suffix":""},{"dropping-particle":"","family":"Martin","given":"Pamela","non-dropping-particle":"","parse-names":false,"suffix":""}],"id":"ITEM-1","issued":{"date-parts":[["2015"]]},"page":"374","title":"Ending the fossil fuel era","type":"article-journal"},"uris":["http://www.mendeley.com/documents/?uuid=5aa80a81-8237-4275-af52-30c45fdd800f"]},{"id":"ITEM-2","itemData":{"abstract":"NOG CSO Expert","author":[{"dropping-particle":"","family":"Skocpol","given":"Theda","non-dropping-particle":"","parse-names":false,"suffix":""}],"container-title":"The Politics of America's Fight Aganst Global Warming","id":"ITEM-2","issued":{"date-parts":[["2013"]]},"page":"1-142","title":"What It Will Take to Counter Extremism and Engage Americans in the Fight against Global Warming","type":"article-journal"},"uris":["http://www.mendeley.com/documents/?uuid=0f8fd12a-cb82-4fd1-a758-fece80bea21b"]}],"mendeley":{"formattedCitation":"(Princen, Manno, and Martin 2015; Skocpol 2013)","manualFormatting":"( Skocpol 2013)","plainTextFormattedCitation":"(Princen, Manno, and Martin 2015; Skocpol 2013)","previouslyFormattedCitation":"(Princen, Manno, and Martin 2015; Skocpol 2013)"},"properties":{"noteIndex":0},"schema":"https://github.com/citation-style-language/schema/raw/master/csl-citation.json"}</w:instrText>
      </w:r>
      <w:r w:rsidRPr="00D470F4">
        <w:rPr>
          <w:rFonts w:ascii="Times New Roman" w:hAnsi="Times New Roman" w:cs="Times New Roman"/>
          <w:color w:val="212121"/>
          <w:sz w:val="24"/>
          <w:szCs w:val="24"/>
          <w:shd w:val="clear" w:color="auto" w:fill="FFFFFF"/>
        </w:rPr>
        <w:fldChar w:fldCharType="separate"/>
      </w:r>
      <w:r w:rsidRPr="00D470F4">
        <w:rPr>
          <w:rFonts w:ascii="Times New Roman" w:hAnsi="Times New Roman" w:cs="Times New Roman"/>
          <w:noProof/>
          <w:color w:val="212121"/>
          <w:sz w:val="24"/>
          <w:szCs w:val="24"/>
          <w:shd w:val="clear" w:color="auto" w:fill="FFFFFF"/>
        </w:rPr>
        <w:t>( Skocpol 2013)</w:t>
      </w:r>
      <w:r w:rsidRPr="00D470F4">
        <w:rPr>
          <w:rFonts w:ascii="Times New Roman" w:hAnsi="Times New Roman" w:cs="Times New Roman"/>
          <w:color w:val="212121"/>
          <w:sz w:val="24"/>
          <w:szCs w:val="24"/>
          <w:shd w:val="clear" w:color="auto" w:fill="FFFFFF"/>
        </w:rPr>
        <w:fldChar w:fldCharType="end"/>
      </w:r>
      <w:r w:rsidRPr="00D470F4">
        <w:rPr>
          <w:rFonts w:ascii="Times New Roman" w:hAnsi="Times New Roman" w:cs="Times New Roman"/>
          <w:color w:val="212121"/>
          <w:sz w:val="24"/>
          <w:szCs w:val="24"/>
          <w:shd w:val="clear" w:color="auto" w:fill="FFFFFF"/>
        </w:rPr>
        <w:t xml:space="preserve">. Más aún, las inversiones toman un tiempo en madurar </w:t>
      </w:r>
      <w:r w:rsidRPr="00D470F4">
        <w:rPr>
          <w:rFonts w:ascii="Times New Roman" w:hAnsi="Times New Roman" w:cs="Times New Roman"/>
          <w:color w:val="212121"/>
          <w:sz w:val="24"/>
          <w:szCs w:val="24"/>
          <w:shd w:val="clear" w:color="auto" w:fill="FFFFFF"/>
        </w:rPr>
        <w:fldChar w:fldCharType="begin" w:fldLock="1"/>
      </w:r>
      <w:r w:rsidRPr="00D470F4">
        <w:rPr>
          <w:rFonts w:ascii="Times New Roman" w:hAnsi="Times New Roman" w:cs="Times New Roman"/>
          <w:color w:val="212121"/>
          <w:sz w:val="24"/>
          <w:szCs w:val="24"/>
          <w:shd w:val="clear" w:color="auto" w:fill="FFFFFF"/>
        </w:rPr>
        <w:instrText>ADDIN CSL_CITATION {"citationItems":[{"id":"ITEM-1","itemData":{"DOI":"10.1016/j.enpol.2012.02.070","ISBN":"0301-4215","ISSN":"03014215","abstract":"This short essay first reviews the pioneers of energy transition research both in terms of data as well as theories. Three major insights that have emerged from this nascent research fields are summarized highlighting the importance of energy end-use and services, the lengthy process of transitions, as well as the patterns that characterize successful scale up of technologies and industries that drive historical energy transitions. The essay concludes with cautionary notes also derived from historical experience. In order to trigger a next energy transition policies and innovation efforts need to be persistent and continuous, aligned, as well as balanced. It is argued that current policy frameworks in place invariably do not meet these criteria and need to change in order to successfully trigger a next energy transition towards sustainability. © 2012 Elsevier Ltd.","author":[{"dropping-particle":"","family":"Grubler","given":"Arnulf","non-dropping-particle":"","parse-names":false,"suffix":""}],"container-title":"Energy Policy","id":"ITEM-1","issued":{"date-parts":[["2012"]]},"page":"8-16","publisher":"Elsevier","title":"Energy transitions research: Insights and cautionary tales","type":"article-journal","volume":"50"},"uris":["http://www.mendeley.com/documents/?uuid=5fe2a89f-8c9c-4a26-8eac-e3013f984a50"]}],"mendeley":{"formattedCitation":"(Grubler 2012)","plainTextFormattedCitation":"(Grubler 2012)","previouslyFormattedCitation":"(Grubler 2012)"},"properties":{"noteIndex":0},"schema":"https://github.com/citation-style-language/schema/raw/master/csl-citation.json"}</w:instrText>
      </w:r>
      <w:r w:rsidRPr="00D470F4">
        <w:rPr>
          <w:rFonts w:ascii="Times New Roman" w:hAnsi="Times New Roman" w:cs="Times New Roman"/>
          <w:color w:val="212121"/>
          <w:sz w:val="24"/>
          <w:szCs w:val="24"/>
          <w:shd w:val="clear" w:color="auto" w:fill="FFFFFF"/>
        </w:rPr>
        <w:fldChar w:fldCharType="separate"/>
      </w:r>
      <w:r w:rsidRPr="00D470F4">
        <w:rPr>
          <w:rFonts w:ascii="Times New Roman" w:hAnsi="Times New Roman" w:cs="Times New Roman"/>
          <w:noProof/>
          <w:color w:val="212121"/>
          <w:sz w:val="24"/>
          <w:szCs w:val="24"/>
          <w:shd w:val="clear" w:color="auto" w:fill="FFFFFF"/>
        </w:rPr>
        <w:t>(Grubler 2012)</w:t>
      </w:r>
      <w:r w:rsidRPr="00D470F4">
        <w:rPr>
          <w:rFonts w:ascii="Times New Roman" w:hAnsi="Times New Roman" w:cs="Times New Roman"/>
          <w:color w:val="212121"/>
          <w:sz w:val="24"/>
          <w:szCs w:val="24"/>
          <w:shd w:val="clear" w:color="auto" w:fill="FFFFFF"/>
        </w:rPr>
        <w:fldChar w:fldCharType="end"/>
      </w:r>
      <w:r w:rsidRPr="00D470F4">
        <w:rPr>
          <w:rFonts w:ascii="Times New Roman" w:hAnsi="Times New Roman" w:cs="Times New Roman"/>
          <w:color w:val="212121"/>
          <w:sz w:val="24"/>
          <w:szCs w:val="24"/>
          <w:shd w:val="clear" w:color="auto" w:fill="FFFFFF"/>
        </w:rPr>
        <w:t xml:space="preserve"> y los impactos inmediatos sobre el ambiente son difíciles de medir </w:t>
      </w:r>
      <w:r w:rsidRPr="00D470F4">
        <w:rPr>
          <w:rFonts w:ascii="Times New Roman" w:eastAsia="Times New Roman" w:hAnsi="Times New Roman" w:cs="Times New Roman"/>
          <w:color w:val="212121"/>
          <w:sz w:val="24"/>
          <w:szCs w:val="24"/>
          <w:lang w:val="es-ES" w:eastAsia="es-AR"/>
        </w:rPr>
        <w:fldChar w:fldCharType="begin" w:fldLock="1"/>
      </w:r>
      <w:r w:rsidRPr="00D470F4">
        <w:rPr>
          <w:rFonts w:ascii="Times New Roman" w:eastAsia="Times New Roman" w:hAnsi="Times New Roman" w:cs="Times New Roman"/>
          <w:color w:val="212121"/>
          <w:sz w:val="24"/>
          <w:szCs w:val="24"/>
          <w:lang w:val="es-ES" w:eastAsia="es-AR"/>
        </w:rPr>
        <w:instrText>ADDIN CSL_CITATION {"citationItems":[{"id":"ITEM-1","itemData":{"DOI":"10.1017/S1049096514001541","ISSN":"1049-0965","author":[{"dropping-particle":"","family":"Keohane","given":"Robert O.","non-dropping-particle":"","parse-names":false,"suffix":""}],"container-title":"PS: Political Science &amp; Politics","id":"ITEM-1","issue":"01","issued":{"date-parts":[["2015"]]},"page":"19-26","title":"The Global Politics of Climate Change: Challenge for Political Science","type":"article-journal","volume":"48"},"uris":["http://www.mendeley.com/documents/?uuid=0a35c747-cf67-4df9-bf7a-0554ad924847"]}],"mendeley":{"formattedCitation":"(Keohane 2015)","plainTextFormattedCitation":"(Keohane 2015)","previouslyFormattedCitation":"(Keohane 2015)"},"properties":{"noteIndex":0},"schema":"https://github.com/citation-style-language/schema/raw/master/csl-citation.json"}</w:instrText>
      </w:r>
      <w:r w:rsidRPr="00D470F4">
        <w:rPr>
          <w:rFonts w:ascii="Times New Roman" w:eastAsia="Times New Roman" w:hAnsi="Times New Roman" w:cs="Times New Roman"/>
          <w:color w:val="212121"/>
          <w:sz w:val="24"/>
          <w:szCs w:val="24"/>
          <w:lang w:val="es-ES" w:eastAsia="es-AR"/>
        </w:rPr>
        <w:fldChar w:fldCharType="separate"/>
      </w:r>
      <w:r w:rsidRPr="00D470F4">
        <w:rPr>
          <w:rFonts w:ascii="Times New Roman" w:eastAsia="Times New Roman" w:hAnsi="Times New Roman" w:cs="Times New Roman"/>
          <w:noProof/>
          <w:color w:val="212121"/>
          <w:sz w:val="24"/>
          <w:szCs w:val="24"/>
          <w:lang w:val="es-ES" w:eastAsia="es-AR"/>
        </w:rPr>
        <w:t>(Keohane 2015)</w:t>
      </w:r>
      <w:r w:rsidRPr="00D470F4">
        <w:rPr>
          <w:rFonts w:ascii="Times New Roman" w:eastAsia="Times New Roman" w:hAnsi="Times New Roman" w:cs="Times New Roman"/>
          <w:color w:val="212121"/>
          <w:sz w:val="24"/>
          <w:szCs w:val="24"/>
          <w:lang w:val="es-ES" w:eastAsia="es-AR"/>
        </w:rPr>
        <w:fldChar w:fldCharType="end"/>
      </w:r>
      <w:r w:rsidRPr="00D470F4">
        <w:rPr>
          <w:rFonts w:ascii="Times New Roman" w:hAnsi="Times New Roman" w:cs="Times New Roman"/>
          <w:color w:val="212121"/>
          <w:sz w:val="24"/>
          <w:szCs w:val="24"/>
          <w:shd w:val="clear" w:color="auto" w:fill="FFFFFF"/>
        </w:rPr>
        <w:t xml:space="preserve">. Como se ha visto en algunas regiones, existe un riesgo adicional frente a la posibilidad de que la administración siguiente decida no continuar con estas políticas de diversificación energética </w:t>
      </w:r>
      <w:r w:rsidRPr="00D470F4">
        <w:rPr>
          <w:rFonts w:ascii="Times New Roman" w:hAnsi="Times New Roman" w:cs="Times New Roman"/>
          <w:color w:val="212121"/>
          <w:sz w:val="24"/>
          <w:szCs w:val="24"/>
          <w:shd w:val="clear" w:color="auto" w:fill="FFFFFF"/>
        </w:rPr>
        <w:fldChar w:fldCharType="begin" w:fldLock="1"/>
      </w:r>
      <w:r w:rsidRPr="00D470F4">
        <w:rPr>
          <w:rFonts w:ascii="Times New Roman" w:hAnsi="Times New Roman" w:cs="Times New Roman"/>
          <w:color w:val="212121"/>
          <w:sz w:val="24"/>
          <w:szCs w:val="24"/>
          <w:shd w:val="clear" w:color="auto" w:fill="FFFFFF"/>
        </w:rPr>
        <w:instrText>ADDIN CSL_CITATION {"citationItems":[{"id":"ITEM-1","itemData":{"DOI":"10.1111/ajps.12002","ISBN":"00925853","ISSN":"15405907","PMID":"88800070","abstract":"Previous research emphasizes the importance of path dependence for sustainable energy transitions, but their strategic nature is frequently overlooked.We examine formally how exogenous shocks, such as changes in international energy prices, interact with positive reinforcement factors, such as the growing strength of the renewables advocacy coalition.We find that political competitionmodifies the effect of path dependence on policy and outcomes. Specifically, while “green” governments can use positive reinforcement mechanisms to lock in policy commitments (by creating green constituencies), “brown” governments strategically underprovide public support for renewable energy (to avoid creating green constituencies). The effect of positive reinforcement also decreases with international energy prices. Our empirical analysis shows that (1) political competition conditions the policy response to exogenous shocks and market failures, while (2) governments strategically exploit path dependence for political gain.","author":[{"dropping-particle":"","family":"Aklin","given":"Michaël","non-dropping-particle":"","parse-names":false,"suffix":""},{"dropping-particle":"","family":"Urpelainen","given":"Johannes","non-dropping-particle":"","parse-names":false,"suffix":""}],"container-title":"American Journal of Political Science","id":"ITEM-1","issue":"3","issued":{"date-parts":[["2013"]]},"page":"643-658","title":"Political competition, path dependence, and the strategy of sustainable energy transitions","type":"article-journal","volume":"57"},"uris":["http://www.mendeley.com/documents/?uuid=3460ef96-e033-4bbf-860e-5bdbbb3f07b2"]}],"mendeley":{"formattedCitation":"(Aklin and Urpelainen 2013)","plainTextFormattedCitation":"(Aklin and Urpelainen 2013)","previouslyFormattedCitation":"(Aklin and Urpelainen 2013)"},"properties":{"noteIndex":0},"schema":"https://github.com/citation-style-language/schema/raw/master/csl-citation.json"}</w:instrText>
      </w:r>
      <w:r w:rsidRPr="00D470F4">
        <w:rPr>
          <w:rFonts w:ascii="Times New Roman" w:hAnsi="Times New Roman" w:cs="Times New Roman"/>
          <w:color w:val="212121"/>
          <w:sz w:val="24"/>
          <w:szCs w:val="24"/>
          <w:shd w:val="clear" w:color="auto" w:fill="FFFFFF"/>
        </w:rPr>
        <w:fldChar w:fldCharType="separate"/>
      </w:r>
      <w:r w:rsidRPr="00D470F4">
        <w:rPr>
          <w:rFonts w:ascii="Times New Roman" w:hAnsi="Times New Roman" w:cs="Times New Roman"/>
          <w:noProof/>
          <w:color w:val="212121"/>
          <w:sz w:val="24"/>
          <w:szCs w:val="24"/>
          <w:shd w:val="clear" w:color="auto" w:fill="FFFFFF"/>
        </w:rPr>
        <w:t>(Aklin and Urpelainen 2013)</w:t>
      </w:r>
      <w:r w:rsidRPr="00D470F4">
        <w:rPr>
          <w:rFonts w:ascii="Times New Roman" w:hAnsi="Times New Roman" w:cs="Times New Roman"/>
          <w:color w:val="212121"/>
          <w:sz w:val="24"/>
          <w:szCs w:val="24"/>
          <w:shd w:val="clear" w:color="auto" w:fill="FFFFFF"/>
        </w:rPr>
        <w:fldChar w:fldCharType="end"/>
      </w:r>
      <w:r w:rsidRPr="00D470F4">
        <w:rPr>
          <w:rFonts w:ascii="Times New Roman" w:hAnsi="Times New Roman" w:cs="Times New Roman"/>
          <w:color w:val="212121"/>
          <w:sz w:val="24"/>
          <w:szCs w:val="24"/>
          <w:shd w:val="clear" w:color="auto" w:fill="FFFFFF"/>
        </w:rPr>
        <w:t>.</w:t>
      </w:r>
    </w:p>
    <w:p w14:paraId="715E1B2F" w14:textId="77777777" w:rsidR="00262F75" w:rsidRPr="00D470F4" w:rsidRDefault="00262F75" w:rsidP="00132D23">
      <w:pPr>
        <w:spacing w:after="0" w:line="480" w:lineRule="auto"/>
        <w:ind w:firstLine="284"/>
        <w:jc w:val="both"/>
        <w:rPr>
          <w:rFonts w:ascii="Times New Roman" w:hAnsi="Times New Roman" w:cs="Times New Roman"/>
          <w:color w:val="212121"/>
          <w:sz w:val="24"/>
          <w:szCs w:val="24"/>
          <w:shd w:val="clear" w:color="auto" w:fill="FFFFFF"/>
        </w:rPr>
      </w:pPr>
      <w:r w:rsidRPr="00D470F4">
        <w:rPr>
          <w:rFonts w:ascii="Times New Roman" w:hAnsi="Times New Roman" w:cs="Times New Roman"/>
          <w:color w:val="212121"/>
          <w:sz w:val="24"/>
          <w:szCs w:val="24"/>
          <w:shd w:val="clear" w:color="auto" w:fill="FFFFFF"/>
        </w:rPr>
        <w:t xml:space="preserve">Sin embargo, para la Alta Tensión, especialmente las fuentes energéticas renovables de tipo eólico y solar presentan tasas sorprendentes de crecimiento en todo el mundo, canalizando la mayoría de las nuevas inversiones en el sector energético. Este crecimiento tiene un potencial disruptivo sobre los sistemas energéticos tales y como están constituidos y, por lo tanto, su expansión requiere no sólo del desarrollo tecnológico, sino </w:t>
      </w:r>
      <w:r w:rsidRPr="00D470F4">
        <w:rPr>
          <w:rFonts w:ascii="Times New Roman" w:hAnsi="Times New Roman" w:cs="Times New Roman"/>
          <w:color w:val="212121"/>
          <w:sz w:val="24"/>
          <w:szCs w:val="24"/>
          <w:shd w:val="clear" w:color="auto" w:fill="FFFFFF"/>
        </w:rPr>
        <w:lastRenderedPageBreak/>
        <w:t>también la implementación de una serie de medidas políticas y económicas que afectan diferencialmente a distintos actores. Las fuentes de electricidad tradicionales cuentan con diferentes ventajas sobre las tradicionales. En particular, cuentan con una infraestructura tecnológica y regulatoria que le permite externalizar los costos en los que incurren en prejuicio del conjunto de la sociedad y las generaciones futuras.</w:t>
      </w:r>
    </w:p>
    <w:p w14:paraId="4245D27C" w14:textId="0CA726DA" w:rsidR="00262F75" w:rsidRPr="00D470F4" w:rsidRDefault="00262F75" w:rsidP="00132D23">
      <w:pPr>
        <w:spacing w:after="0" w:line="480" w:lineRule="auto"/>
        <w:ind w:firstLine="284"/>
        <w:jc w:val="both"/>
        <w:rPr>
          <w:rFonts w:ascii="Times New Roman" w:hAnsi="Times New Roman" w:cs="Times New Roman"/>
          <w:color w:val="231F20"/>
          <w:spacing w:val="2"/>
          <w:sz w:val="24"/>
          <w:szCs w:val="24"/>
          <w:lang w:val="es"/>
        </w:rPr>
      </w:pPr>
      <w:r w:rsidRPr="00D470F4">
        <w:rPr>
          <w:rFonts w:ascii="Times New Roman" w:hAnsi="Times New Roman" w:cs="Times New Roman"/>
          <w:color w:val="212121"/>
          <w:sz w:val="24"/>
          <w:szCs w:val="24"/>
          <w:shd w:val="clear" w:color="auto" w:fill="FFFFFF"/>
        </w:rPr>
        <w:t xml:space="preserve">Hasta el momento, la mayoría de las explicaciones vigentes se centran en los países desarrollados </w:t>
      </w:r>
      <w:r w:rsidRPr="00D470F4">
        <w:rPr>
          <w:rFonts w:ascii="Times New Roman" w:hAnsi="Times New Roman" w:cs="Times New Roman"/>
          <w:color w:val="231F20"/>
          <w:spacing w:val="2"/>
          <w:sz w:val="24"/>
          <w:szCs w:val="24"/>
          <w:lang w:val="es"/>
        </w:rPr>
        <w:t>(</w:t>
      </w:r>
      <w:proofErr w:type="spellStart"/>
      <w:r w:rsidRPr="00D470F4">
        <w:rPr>
          <w:rFonts w:ascii="Times New Roman" w:hAnsi="Times New Roman" w:cs="Times New Roman"/>
          <w:color w:val="231F20"/>
          <w:spacing w:val="2"/>
          <w:sz w:val="24"/>
          <w:szCs w:val="24"/>
          <w:lang w:val="es"/>
        </w:rPr>
        <w:t>Aklin</w:t>
      </w:r>
      <w:proofErr w:type="spellEnd"/>
      <w:r w:rsidRPr="00D470F4">
        <w:rPr>
          <w:rFonts w:ascii="Times New Roman" w:hAnsi="Times New Roman" w:cs="Times New Roman"/>
          <w:color w:val="231F20"/>
          <w:sz w:val="24"/>
          <w:szCs w:val="24"/>
          <w:lang w:val="es"/>
        </w:rPr>
        <w:t xml:space="preserve"> y</w:t>
      </w:r>
      <w:r w:rsidRPr="00D470F4">
        <w:rPr>
          <w:rFonts w:ascii="Times New Roman" w:hAnsi="Times New Roman" w:cs="Times New Roman"/>
          <w:color w:val="231F20"/>
          <w:spacing w:val="2"/>
          <w:sz w:val="24"/>
          <w:szCs w:val="24"/>
          <w:lang w:val="es"/>
        </w:rPr>
        <w:t xml:space="preserve"> </w:t>
      </w:r>
      <w:proofErr w:type="spellStart"/>
      <w:r w:rsidRPr="00D470F4">
        <w:rPr>
          <w:rFonts w:ascii="Times New Roman" w:hAnsi="Times New Roman" w:cs="Times New Roman"/>
          <w:color w:val="231F20"/>
          <w:spacing w:val="2"/>
          <w:sz w:val="24"/>
          <w:szCs w:val="24"/>
          <w:lang w:val="es"/>
        </w:rPr>
        <w:t>Urpelainen</w:t>
      </w:r>
      <w:proofErr w:type="spellEnd"/>
      <w:r w:rsidRPr="00D470F4">
        <w:rPr>
          <w:rFonts w:ascii="Times New Roman" w:hAnsi="Times New Roman" w:cs="Times New Roman"/>
          <w:color w:val="231F20"/>
          <w:spacing w:val="2"/>
          <w:sz w:val="24"/>
          <w:szCs w:val="24"/>
          <w:lang w:val="es"/>
        </w:rPr>
        <w:t xml:space="preserve"> 2018; </w:t>
      </w:r>
      <w:proofErr w:type="spellStart"/>
      <w:r w:rsidRPr="00D470F4">
        <w:rPr>
          <w:rFonts w:ascii="Times New Roman" w:hAnsi="Times New Roman" w:cs="Times New Roman"/>
          <w:color w:val="231F20"/>
          <w:spacing w:val="2"/>
          <w:sz w:val="24"/>
          <w:szCs w:val="24"/>
          <w:lang w:val="es"/>
        </w:rPr>
        <w:t>Geels</w:t>
      </w:r>
      <w:proofErr w:type="spellEnd"/>
      <w:r w:rsidRPr="00D470F4">
        <w:rPr>
          <w:rFonts w:ascii="Times New Roman" w:hAnsi="Times New Roman" w:cs="Times New Roman"/>
          <w:color w:val="231F20"/>
          <w:spacing w:val="2"/>
          <w:sz w:val="24"/>
          <w:szCs w:val="24"/>
          <w:lang w:val="es"/>
        </w:rPr>
        <w:t xml:space="preserve"> 2014; </w:t>
      </w:r>
      <w:r w:rsidRPr="00D470F4">
        <w:rPr>
          <w:rFonts w:ascii="Times New Roman" w:hAnsi="Times New Roman" w:cs="Times New Roman"/>
          <w:color w:val="231F20"/>
          <w:sz w:val="24"/>
          <w:szCs w:val="24"/>
          <w:lang w:val="es"/>
        </w:rPr>
        <w:t xml:space="preserve">Moe </w:t>
      </w:r>
      <w:r w:rsidRPr="00D470F4">
        <w:rPr>
          <w:rFonts w:ascii="Times New Roman" w:hAnsi="Times New Roman" w:cs="Times New Roman"/>
          <w:color w:val="231F20"/>
          <w:spacing w:val="2"/>
          <w:sz w:val="24"/>
          <w:szCs w:val="24"/>
          <w:lang w:val="es"/>
        </w:rPr>
        <w:t xml:space="preserve">2015). En particular, para las grandes economías industriales, el desarrollo de políticas de promoción de nuevas fuentes energéticas renovables estuvo íntimamente ligada a su política industrial. Lo que, en teoría de los juegos, se conoce como “ventaja del primer jugador”, esto es la ventaja que tiene uno de los jugadores al ser el primero en tomar una decisión en un juego con estrategias. Esto puede ser beneficioso para el primer jugador ya que le permite anticipar la reacción del segundo jugador y tomar una decisión que le beneficie. En el caso de la política industrial, para un país, ser capaz de identificar un nicho especialmente prometedor a futuro y desplegar las acciones correspondientes a su desarrollo, puede escalar múltiples beneficios a futuro. Este parece ser el caso de grandes economías industriales como Alemania, Dinamarca, China, España y los Estados Unidos, que han logrado acaparar gran parte de la producción de tecnologías renovables. </w:t>
      </w:r>
    </w:p>
    <w:p w14:paraId="0BA8B4FE" w14:textId="22DD5121" w:rsidR="00262F75" w:rsidRPr="00D470F4" w:rsidRDefault="00262F75" w:rsidP="00132D23">
      <w:pPr>
        <w:spacing w:after="0" w:line="480" w:lineRule="auto"/>
        <w:ind w:firstLine="284"/>
        <w:jc w:val="both"/>
        <w:rPr>
          <w:rFonts w:ascii="Times New Roman" w:hAnsi="Times New Roman" w:cs="Times New Roman"/>
          <w:color w:val="231F20"/>
          <w:sz w:val="24"/>
          <w:szCs w:val="24"/>
          <w:lang w:val="es"/>
        </w:rPr>
      </w:pPr>
      <w:r w:rsidRPr="00D470F4">
        <w:rPr>
          <w:rFonts w:ascii="Times New Roman" w:hAnsi="Times New Roman" w:cs="Times New Roman"/>
          <w:color w:val="212121"/>
          <w:sz w:val="24"/>
          <w:szCs w:val="24"/>
          <w:shd w:val="clear" w:color="auto" w:fill="FFFFFF"/>
        </w:rPr>
        <w:t xml:space="preserve"> En otros casos, las políticas de promoción de energías renovables se vieron especialmente asociadas a respuestas gubernamentales a la crisis económica general de 2008. En efecto, se trata de un sector moderno con una fuerte proyección de crecimiento a futuro, y la posibilidad de incorporar empleo de calidad </w:t>
      </w:r>
      <w:r w:rsidRPr="00D470F4">
        <w:rPr>
          <w:rFonts w:ascii="Times New Roman" w:hAnsi="Times New Roman" w:cs="Times New Roman"/>
          <w:color w:val="231F20"/>
          <w:sz w:val="24"/>
          <w:szCs w:val="24"/>
          <w:lang w:val="es"/>
        </w:rPr>
        <w:t>(</w:t>
      </w:r>
      <w:proofErr w:type="spellStart"/>
      <w:r w:rsidRPr="00D470F4">
        <w:rPr>
          <w:rFonts w:ascii="Times New Roman" w:hAnsi="Times New Roman" w:cs="Times New Roman"/>
          <w:color w:val="212121"/>
          <w:sz w:val="24"/>
          <w:szCs w:val="24"/>
          <w:shd w:val="clear" w:color="auto" w:fill="FFFFFF"/>
        </w:rPr>
        <w:t>Aggarwal</w:t>
      </w:r>
      <w:proofErr w:type="spellEnd"/>
      <w:r w:rsidRPr="00D470F4">
        <w:rPr>
          <w:rFonts w:ascii="Times New Roman" w:hAnsi="Times New Roman" w:cs="Times New Roman"/>
          <w:color w:val="212121"/>
          <w:sz w:val="24"/>
          <w:szCs w:val="24"/>
          <w:shd w:val="clear" w:color="auto" w:fill="FFFFFF"/>
        </w:rPr>
        <w:t xml:space="preserve"> y </w:t>
      </w:r>
      <w:proofErr w:type="spellStart"/>
      <w:r w:rsidRPr="00D470F4">
        <w:rPr>
          <w:rFonts w:ascii="Times New Roman" w:hAnsi="Times New Roman" w:cs="Times New Roman"/>
          <w:color w:val="212121"/>
          <w:sz w:val="24"/>
          <w:szCs w:val="24"/>
          <w:shd w:val="clear" w:color="auto" w:fill="FFFFFF"/>
        </w:rPr>
        <w:t>Evenett</w:t>
      </w:r>
      <w:proofErr w:type="spellEnd"/>
      <w:r w:rsidRPr="00D470F4">
        <w:rPr>
          <w:rFonts w:ascii="Times New Roman" w:hAnsi="Times New Roman" w:cs="Times New Roman"/>
          <w:color w:val="212121"/>
          <w:sz w:val="24"/>
          <w:szCs w:val="24"/>
          <w:shd w:val="clear" w:color="auto" w:fill="FFFFFF"/>
        </w:rPr>
        <w:t xml:space="preserve"> </w:t>
      </w:r>
      <w:proofErr w:type="gramStart"/>
      <w:r w:rsidRPr="00D470F4">
        <w:rPr>
          <w:rFonts w:ascii="Times New Roman" w:hAnsi="Times New Roman" w:cs="Times New Roman"/>
          <w:color w:val="212121"/>
          <w:sz w:val="24"/>
          <w:szCs w:val="24"/>
          <w:shd w:val="clear" w:color="auto" w:fill="FFFFFF"/>
        </w:rPr>
        <w:t>2012;  Hess</w:t>
      </w:r>
      <w:proofErr w:type="gramEnd"/>
      <w:r w:rsidRPr="00D470F4">
        <w:rPr>
          <w:rFonts w:ascii="Times New Roman" w:hAnsi="Times New Roman" w:cs="Times New Roman"/>
          <w:color w:val="212121"/>
          <w:sz w:val="24"/>
          <w:szCs w:val="24"/>
          <w:shd w:val="clear" w:color="auto" w:fill="FFFFFF"/>
        </w:rPr>
        <w:t xml:space="preserve"> 2012). Asimismo, se han presentado distintos incentivos desde organismos </w:t>
      </w:r>
      <w:r w:rsidRPr="00D470F4">
        <w:rPr>
          <w:rFonts w:ascii="Times New Roman" w:hAnsi="Times New Roman" w:cs="Times New Roman"/>
          <w:color w:val="212121"/>
          <w:sz w:val="24"/>
          <w:szCs w:val="24"/>
          <w:shd w:val="clear" w:color="auto" w:fill="FFFFFF"/>
        </w:rPr>
        <w:lastRenderedPageBreak/>
        <w:t>internacionales como mecanismos de incentivar las políticas de descarbonización y mitigar el calentamiento global (</w:t>
      </w:r>
      <w:proofErr w:type="spellStart"/>
      <w:r w:rsidRPr="00D470F4">
        <w:rPr>
          <w:rFonts w:ascii="Times New Roman" w:hAnsi="Times New Roman" w:cs="Times New Roman"/>
          <w:color w:val="212121"/>
          <w:sz w:val="24"/>
          <w:szCs w:val="24"/>
          <w:shd w:val="clear" w:color="auto" w:fill="FFFFFF"/>
        </w:rPr>
        <w:t>Huberty</w:t>
      </w:r>
      <w:proofErr w:type="spellEnd"/>
      <w:r w:rsidR="00D470F4">
        <w:rPr>
          <w:rFonts w:ascii="Times New Roman" w:hAnsi="Times New Roman" w:cs="Times New Roman"/>
          <w:color w:val="212121"/>
          <w:sz w:val="24"/>
          <w:szCs w:val="24"/>
          <w:shd w:val="clear" w:color="auto" w:fill="FFFFFF"/>
        </w:rPr>
        <w:t>,</w:t>
      </w:r>
      <w:r w:rsidRPr="00D470F4">
        <w:rPr>
          <w:rFonts w:ascii="Times New Roman" w:hAnsi="Times New Roman" w:cs="Times New Roman"/>
          <w:color w:val="212121"/>
          <w:sz w:val="24"/>
          <w:szCs w:val="24"/>
          <w:shd w:val="clear" w:color="auto" w:fill="FFFFFF"/>
        </w:rPr>
        <w:t xml:space="preserve"> </w:t>
      </w:r>
      <w:r w:rsidR="00D470F4">
        <w:rPr>
          <w:rFonts w:ascii="Times New Roman" w:hAnsi="Times New Roman" w:cs="Times New Roman"/>
          <w:color w:val="212121"/>
          <w:sz w:val="24"/>
          <w:szCs w:val="24"/>
          <w:shd w:val="clear" w:color="auto" w:fill="FFFFFF"/>
        </w:rPr>
        <w:t>2013</w:t>
      </w:r>
      <w:r w:rsidRPr="00D470F4">
        <w:rPr>
          <w:rFonts w:ascii="Times New Roman" w:hAnsi="Times New Roman" w:cs="Times New Roman"/>
          <w:color w:val="212121"/>
          <w:sz w:val="24"/>
          <w:szCs w:val="24"/>
          <w:shd w:val="clear" w:color="auto" w:fill="FFFFFF"/>
        </w:rPr>
        <w:t xml:space="preserve">). </w:t>
      </w:r>
    </w:p>
    <w:p w14:paraId="623434DC" w14:textId="77777777" w:rsidR="00262F75" w:rsidRPr="00D470F4" w:rsidRDefault="00262F75" w:rsidP="00132D23">
      <w:pPr>
        <w:spacing w:after="0" w:line="480" w:lineRule="auto"/>
        <w:ind w:firstLine="284"/>
        <w:jc w:val="both"/>
        <w:rPr>
          <w:rFonts w:ascii="Times New Roman" w:eastAsia="Georgia" w:hAnsi="Times New Roman" w:cs="Times New Roman"/>
          <w:color w:val="231F20"/>
          <w:sz w:val="24"/>
          <w:szCs w:val="24"/>
          <w:lang w:val="es"/>
        </w:rPr>
      </w:pPr>
      <w:r w:rsidRPr="00D470F4">
        <w:rPr>
          <w:rFonts w:ascii="Times New Roman" w:hAnsi="Times New Roman" w:cs="Times New Roman"/>
          <w:color w:val="231F20"/>
          <w:sz w:val="24"/>
          <w:szCs w:val="24"/>
          <w:lang w:val="es"/>
        </w:rPr>
        <w:t>Sin embargo, los países de ingresos medios y en vías de desarrollo todavía cuentan con amplios márgenes para el crecimiento de su infraestructura eléctrica, imprescindible en vistas a acompañar sus procesos de desarrollo. Los analistas coinciden en que gran parte de las emisiones futuras de gases de efecto invernadero se producirá en estos países, por lo que la cuestión de si será posible realizar una transición hacia fuentes renovables no convencionales se vuelve especialmente importante.</w:t>
      </w:r>
    </w:p>
    <w:p w14:paraId="07DCCBCB" w14:textId="77777777" w:rsidR="00262F75" w:rsidRPr="00D470F4" w:rsidRDefault="00262F75" w:rsidP="00132D23">
      <w:pPr>
        <w:spacing w:after="0" w:line="480" w:lineRule="auto"/>
        <w:ind w:firstLine="284"/>
        <w:jc w:val="both"/>
        <w:rPr>
          <w:rFonts w:ascii="Times New Roman" w:hAnsi="Times New Roman" w:cs="Times New Roman"/>
          <w:color w:val="231F20"/>
          <w:sz w:val="24"/>
          <w:szCs w:val="24"/>
          <w:lang w:val="es"/>
        </w:rPr>
      </w:pPr>
      <w:r w:rsidRPr="00D470F4">
        <w:rPr>
          <w:rFonts w:ascii="Times New Roman" w:hAnsi="Times New Roman" w:cs="Times New Roman"/>
          <w:color w:val="231F20"/>
          <w:sz w:val="24"/>
          <w:szCs w:val="24"/>
          <w:lang w:val="es"/>
        </w:rPr>
        <w:t>Naturalmente, el desarrollo económico es importante en todos los países y existen múltiples estudios que vinculan los resultados electorales en democracia con la evolución económica. En efecto, el resultado económico parece ser el factor individual más importante a la hora de predecir el resultado electoral. Más aún, el crecimiento económico parece ser una prioridad especialmente acuciante en los países en vías de desarrollo. En la actualidad, existe una correlación muy alta entre crecimiento económico y consumo energético que parece poner en tensión los objetivos de desarrollo ambiental con los de desarrollo económico. Si es posible, realizar una transición hacia fuentes energéticas bajas en emisiones contaminantes, es posible desacoplar el crecimiento económico de las emisiones contaminantes, lo cual resulta esencial a la hora de cumplir los Objetivos de Desarrollo Sustentable.</w:t>
      </w:r>
    </w:p>
    <w:p w14:paraId="3C82E57E" w14:textId="2C6FA70C" w:rsidR="00262F75" w:rsidRPr="00D470F4" w:rsidRDefault="00262F75" w:rsidP="00132D23">
      <w:pPr>
        <w:spacing w:after="0" w:line="480" w:lineRule="auto"/>
        <w:ind w:firstLine="284"/>
        <w:jc w:val="both"/>
        <w:rPr>
          <w:rFonts w:ascii="Times New Roman" w:hAnsi="Times New Roman" w:cs="Times New Roman"/>
          <w:color w:val="231F20"/>
          <w:sz w:val="24"/>
          <w:szCs w:val="24"/>
          <w:lang w:val="es"/>
        </w:rPr>
      </w:pPr>
      <w:r w:rsidRPr="00D470F4">
        <w:rPr>
          <w:rFonts w:ascii="Times New Roman" w:hAnsi="Times New Roman" w:cs="Times New Roman"/>
          <w:color w:val="231F20"/>
          <w:sz w:val="24"/>
          <w:szCs w:val="24"/>
          <w:lang w:val="es"/>
        </w:rPr>
        <w:t>De todas formas, alcanzar estos objetivos implica llevar a cambio cambios significativos en el sistema eléctrico, tal y como está constituido. En primer lugar, es necesario llevar adelante importantes inversiones en materia de infraestructura de las redes eléctricas, modificar los reglamentos vigentes para permitir una competencia equilibrada con las fuentes tradicionales y afectar intereses de actores arraigados (</w:t>
      </w:r>
      <w:proofErr w:type="spellStart"/>
      <w:r w:rsidRPr="00D470F4">
        <w:rPr>
          <w:rFonts w:ascii="Times New Roman" w:hAnsi="Times New Roman" w:cs="Times New Roman"/>
          <w:color w:val="231F20"/>
          <w:sz w:val="24"/>
          <w:szCs w:val="24"/>
          <w:lang w:val="es"/>
        </w:rPr>
        <w:t>Aklin</w:t>
      </w:r>
      <w:proofErr w:type="spellEnd"/>
      <w:r w:rsidRPr="00D470F4">
        <w:rPr>
          <w:rFonts w:ascii="Times New Roman" w:hAnsi="Times New Roman" w:cs="Times New Roman"/>
          <w:color w:val="231F20"/>
          <w:sz w:val="24"/>
          <w:szCs w:val="24"/>
          <w:lang w:val="es"/>
        </w:rPr>
        <w:t xml:space="preserve"> y </w:t>
      </w:r>
      <w:proofErr w:type="spellStart"/>
      <w:r w:rsidRPr="00D470F4">
        <w:rPr>
          <w:rFonts w:ascii="Times New Roman" w:hAnsi="Times New Roman" w:cs="Times New Roman"/>
          <w:color w:val="231F20"/>
          <w:sz w:val="24"/>
          <w:szCs w:val="24"/>
          <w:lang w:val="es"/>
        </w:rPr>
        <w:t>Urpelainen</w:t>
      </w:r>
      <w:proofErr w:type="spellEnd"/>
      <w:r w:rsidRPr="00D470F4">
        <w:rPr>
          <w:rFonts w:ascii="Times New Roman" w:hAnsi="Times New Roman" w:cs="Times New Roman"/>
          <w:color w:val="231F20"/>
          <w:sz w:val="24"/>
          <w:szCs w:val="24"/>
          <w:lang w:val="es"/>
        </w:rPr>
        <w:t xml:space="preserve"> 2018; </w:t>
      </w:r>
      <w:proofErr w:type="spellStart"/>
      <w:r w:rsidRPr="00D470F4">
        <w:rPr>
          <w:rFonts w:ascii="Times New Roman" w:hAnsi="Times New Roman" w:cs="Times New Roman"/>
          <w:color w:val="231F20"/>
          <w:sz w:val="24"/>
          <w:szCs w:val="24"/>
          <w:lang w:val="es"/>
        </w:rPr>
        <w:t>Geels</w:t>
      </w:r>
      <w:proofErr w:type="spellEnd"/>
      <w:r w:rsidRPr="00D470F4">
        <w:rPr>
          <w:rFonts w:ascii="Times New Roman" w:hAnsi="Times New Roman" w:cs="Times New Roman"/>
          <w:color w:val="231F20"/>
          <w:sz w:val="24"/>
          <w:szCs w:val="24"/>
          <w:lang w:val="es"/>
        </w:rPr>
        <w:t xml:space="preserve"> 2014; </w:t>
      </w:r>
      <w:proofErr w:type="spellStart"/>
      <w:r w:rsidRPr="00D470F4">
        <w:rPr>
          <w:rFonts w:ascii="Times New Roman" w:hAnsi="Times New Roman" w:cs="Times New Roman"/>
          <w:color w:val="231F20"/>
          <w:sz w:val="24"/>
          <w:szCs w:val="24"/>
          <w:lang w:val="es"/>
        </w:rPr>
        <w:t>Ting</w:t>
      </w:r>
      <w:proofErr w:type="spellEnd"/>
      <w:r w:rsidRPr="00D470F4">
        <w:rPr>
          <w:rFonts w:ascii="Times New Roman" w:hAnsi="Times New Roman" w:cs="Times New Roman"/>
          <w:color w:val="231F20"/>
          <w:sz w:val="24"/>
          <w:szCs w:val="24"/>
          <w:lang w:val="es"/>
        </w:rPr>
        <w:t xml:space="preserve"> y Byrne 2020). Si las fuentes renovables son </w:t>
      </w:r>
      <w:r w:rsidRPr="00D470F4">
        <w:rPr>
          <w:rFonts w:ascii="Times New Roman" w:hAnsi="Times New Roman" w:cs="Times New Roman"/>
          <w:color w:val="231F20"/>
          <w:sz w:val="24"/>
          <w:szCs w:val="24"/>
          <w:lang w:val="es"/>
        </w:rPr>
        <w:lastRenderedPageBreak/>
        <w:t xml:space="preserve">exitosas, lentamente deberían ir reemplazando a las tradicionales, lo cual puede, eventualmente, generar conflictos con estas industrias. Parece, en todo caso bastante poco probable que el mercado impulse por </w:t>
      </w:r>
      <w:r w:rsidR="00EF27A1" w:rsidRPr="00D470F4">
        <w:rPr>
          <w:rFonts w:ascii="Times New Roman" w:hAnsi="Times New Roman" w:cs="Times New Roman"/>
          <w:color w:val="231F20"/>
          <w:sz w:val="24"/>
          <w:szCs w:val="24"/>
          <w:lang w:val="es"/>
        </w:rPr>
        <w:t>sí</w:t>
      </w:r>
      <w:r w:rsidRPr="00D470F4">
        <w:rPr>
          <w:rFonts w:ascii="Times New Roman" w:hAnsi="Times New Roman" w:cs="Times New Roman"/>
          <w:color w:val="231F20"/>
          <w:sz w:val="24"/>
          <w:szCs w:val="24"/>
          <w:lang w:val="es"/>
        </w:rPr>
        <w:t xml:space="preserve"> mismo una transición hacia fuentes menos contaminantes, cuando justamente una falla de mercado es lo que permite sostener artificialmente bajos los costos de las fuentes contaminantes. Se necesita el despliegue de políticas públicas que equiparen el terreno de juego entre las distintas tecnologías, lo cual puede abrir la posibilidad de corrupción y una </w:t>
      </w:r>
      <w:r w:rsidR="00D31814" w:rsidRPr="00D470F4">
        <w:rPr>
          <w:rFonts w:ascii="Times New Roman" w:hAnsi="Times New Roman" w:cs="Times New Roman"/>
          <w:color w:val="231F20"/>
          <w:sz w:val="24"/>
          <w:szCs w:val="24"/>
          <w:lang w:val="es"/>
        </w:rPr>
        <w:t>deficiente</w:t>
      </w:r>
      <w:r w:rsidRPr="00D470F4">
        <w:rPr>
          <w:rFonts w:ascii="Times New Roman" w:hAnsi="Times New Roman" w:cs="Times New Roman"/>
          <w:color w:val="231F20"/>
          <w:sz w:val="24"/>
          <w:szCs w:val="24"/>
          <w:lang w:val="es"/>
        </w:rPr>
        <w:t xml:space="preserve"> asignación de recursos (</w:t>
      </w:r>
      <w:proofErr w:type="spellStart"/>
      <w:r w:rsidRPr="00D470F4">
        <w:rPr>
          <w:rFonts w:ascii="Times New Roman" w:hAnsi="Times New Roman" w:cs="Times New Roman"/>
          <w:color w:val="231F20"/>
          <w:sz w:val="24"/>
          <w:szCs w:val="24"/>
          <w:lang w:val="es"/>
        </w:rPr>
        <w:t>Pegels</w:t>
      </w:r>
      <w:proofErr w:type="spellEnd"/>
      <w:r w:rsidRPr="00D470F4">
        <w:rPr>
          <w:rFonts w:ascii="Times New Roman" w:hAnsi="Times New Roman" w:cs="Times New Roman"/>
          <w:color w:val="231F20"/>
          <w:sz w:val="24"/>
          <w:szCs w:val="24"/>
          <w:lang w:val="es"/>
        </w:rPr>
        <w:t xml:space="preserve"> 2014a: 3-4). En los casos de países de América Latina, la corrupción ha sido una problemática generalizada y sus efectos se han hecho sentir sobre el sistema eléctrico.</w:t>
      </w:r>
    </w:p>
    <w:p w14:paraId="04AAD5D7" w14:textId="72342B74" w:rsidR="00262F75" w:rsidRPr="00D470F4" w:rsidRDefault="00262F75" w:rsidP="00132D23">
      <w:pPr>
        <w:spacing w:after="0" w:line="480" w:lineRule="auto"/>
        <w:ind w:firstLine="284"/>
        <w:jc w:val="both"/>
        <w:rPr>
          <w:rFonts w:ascii="Times New Roman" w:hAnsi="Times New Roman" w:cs="Times New Roman"/>
          <w:color w:val="231F20"/>
          <w:sz w:val="24"/>
          <w:szCs w:val="24"/>
          <w:lang w:val="es"/>
        </w:rPr>
      </w:pPr>
      <w:r w:rsidRPr="00D470F4">
        <w:rPr>
          <w:rFonts w:ascii="Times New Roman" w:hAnsi="Times New Roman" w:cs="Times New Roman"/>
          <w:color w:val="231F20"/>
          <w:sz w:val="24"/>
          <w:szCs w:val="24"/>
          <w:lang w:val="es"/>
        </w:rPr>
        <w:t xml:space="preserve">A pesar de estos problemas, las energías renovables están creciendo a un ritmo vertiginoso en todo el globo. En particular, para la Alta Tensión, los gobiernos están promoviendo la energía solar y eólica como un medio de mitigar el calentamiento global y garantizar el suministro eléctrico para sus poblaciones. Pero, </w:t>
      </w:r>
      <w:r w:rsidR="00574207" w:rsidRPr="00D470F4">
        <w:rPr>
          <w:rFonts w:ascii="Times New Roman" w:hAnsi="Times New Roman" w:cs="Times New Roman"/>
          <w:color w:val="231F20"/>
          <w:sz w:val="24"/>
          <w:szCs w:val="24"/>
          <w:lang w:val="es"/>
        </w:rPr>
        <w:t>¿</w:t>
      </w:r>
      <w:r w:rsidRPr="00D470F4">
        <w:rPr>
          <w:rFonts w:ascii="Times New Roman" w:hAnsi="Times New Roman" w:cs="Times New Roman"/>
          <w:color w:val="231F20"/>
          <w:sz w:val="24"/>
          <w:szCs w:val="24"/>
          <w:lang w:val="es"/>
        </w:rPr>
        <w:t xml:space="preserve">cómo están actuando? </w:t>
      </w:r>
      <w:r w:rsidR="00574207" w:rsidRPr="00D470F4">
        <w:rPr>
          <w:rFonts w:ascii="Times New Roman" w:hAnsi="Times New Roman" w:cs="Times New Roman"/>
          <w:color w:val="231F20"/>
          <w:sz w:val="24"/>
          <w:szCs w:val="24"/>
          <w:lang w:val="es"/>
        </w:rPr>
        <w:t>¿</w:t>
      </w:r>
      <w:r w:rsidRPr="00D470F4">
        <w:rPr>
          <w:rFonts w:ascii="Times New Roman" w:hAnsi="Times New Roman" w:cs="Times New Roman"/>
          <w:color w:val="231F20"/>
          <w:sz w:val="24"/>
          <w:szCs w:val="24"/>
          <w:lang w:val="es"/>
        </w:rPr>
        <w:t xml:space="preserve">Cuáles son las causas específicas en cada caso que promueven estos programas? </w:t>
      </w:r>
      <w:r w:rsidR="00574207" w:rsidRPr="00D470F4">
        <w:rPr>
          <w:rFonts w:ascii="Times New Roman" w:hAnsi="Times New Roman" w:cs="Times New Roman"/>
          <w:color w:val="231F20"/>
          <w:sz w:val="24"/>
          <w:szCs w:val="24"/>
          <w:lang w:val="es"/>
        </w:rPr>
        <w:t>¿</w:t>
      </w:r>
      <w:r w:rsidRPr="00D470F4">
        <w:rPr>
          <w:rFonts w:ascii="Times New Roman" w:hAnsi="Times New Roman" w:cs="Times New Roman"/>
          <w:color w:val="231F20"/>
          <w:sz w:val="24"/>
          <w:szCs w:val="24"/>
          <w:lang w:val="es"/>
        </w:rPr>
        <w:t>Qu</w:t>
      </w:r>
      <w:r w:rsidR="00574207" w:rsidRPr="00D470F4">
        <w:rPr>
          <w:rFonts w:ascii="Times New Roman" w:hAnsi="Times New Roman" w:cs="Times New Roman"/>
          <w:color w:val="231F20"/>
          <w:sz w:val="24"/>
          <w:szCs w:val="24"/>
          <w:lang w:val="es"/>
        </w:rPr>
        <w:t>é</w:t>
      </w:r>
      <w:r w:rsidRPr="00D470F4">
        <w:rPr>
          <w:rFonts w:ascii="Times New Roman" w:hAnsi="Times New Roman" w:cs="Times New Roman"/>
          <w:color w:val="231F20"/>
          <w:sz w:val="24"/>
          <w:szCs w:val="24"/>
          <w:lang w:val="es"/>
        </w:rPr>
        <w:t xml:space="preserve"> medios priorizan? El objetivo de esta tesis es clarificar estas cuestiones para los países de ingresos medios, utilizando el caso argentino y chileno como casos de estudio</w:t>
      </w:r>
      <w:r w:rsidR="00EF27A1" w:rsidRPr="00D470F4">
        <w:rPr>
          <w:rFonts w:ascii="Times New Roman" w:hAnsi="Times New Roman" w:cs="Times New Roman"/>
          <w:color w:val="231F20"/>
          <w:sz w:val="24"/>
          <w:szCs w:val="24"/>
          <w:lang w:val="es"/>
        </w:rPr>
        <w:t>, poniendo particular atención al rol de las ideas y los modelos de desarrollo en la configuración de las políticas de promoción de ERNC y los sistemas eléctricos.</w:t>
      </w:r>
    </w:p>
    <w:p w14:paraId="0D7C170F" w14:textId="51708208" w:rsidR="00501CAA" w:rsidRPr="00D470F4" w:rsidRDefault="00501CAA" w:rsidP="00132D23">
      <w:pPr>
        <w:pStyle w:val="Textoindependiente"/>
        <w:spacing w:before="33" w:line="480" w:lineRule="auto"/>
        <w:rPr>
          <w:rFonts w:ascii="Times New Roman" w:eastAsiaTheme="minorHAnsi" w:hAnsi="Times New Roman" w:cs="Times New Roman"/>
          <w:color w:val="231F20"/>
          <w:sz w:val="24"/>
          <w:szCs w:val="24"/>
          <w:lang w:val="es"/>
        </w:rPr>
      </w:pPr>
      <w:r w:rsidRPr="00D470F4">
        <w:rPr>
          <w:rFonts w:ascii="Times New Roman" w:eastAsiaTheme="minorHAnsi" w:hAnsi="Times New Roman" w:cs="Times New Roman"/>
          <w:color w:val="231F20"/>
          <w:sz w:val="24"/>
          <w:szCs w:val="24"/>
          <w:lang w:val="es"/>
        </w:rPr>
        <w:t xml:space="preserve">Al analizar las políticas públicas de promoción de ERNC en Argentina, es posible constatar significativas inconsistencias en materia de política pública. Tras la imposición de un modelo de acumulación neoliberal y la reforma integral del sistema eléctrico nacional en la década de 1990, Argentina pasó de convertirse en pionera a nivel regional en la promoción de fuentes energéticas renovables a atravesar un largo letargo con un crecimiento marginal de las mismas durante la primera década del Siglo XXI. A partir de 2015, a través de una ley sancionada con el apoyo de todo el arco político y la </w:t>
      </w:r>
      <w:r w:rsidRPr="00D470F4">
        <w:rPr>
          <w:rFonts w:ascii="Times New Roman" w:eastAsiaTheme="minorHAnsi" w:hAnsi="Times New Roman" w:cs="Times New Roman"/>
          <w:color w:val="231F20"/>
          <w:sz w:val="24"/>
          <w:szCs w:val="24"/>
          <w:lang w:val="es"/>
        </w:rPr>
        <w:lastRenderedPageBreak/>
        <w:t xml:space="preserve">implementación del programa </w:t>
      </w:r>
      <w:proofErr w:type="spellStart"/>
      <w:r w:rsidRPr="00D470F4">
        <w:rPr>
          <w:rFonts w:ascii="Times New Roman" w:eastAsiaTheme="minorHAnsi" w:hAnsi="Times New Roman" w:cs="Times New Roman"/>
          <w:color w:val="231F20"/>
          <w:sz w:val="24"/>
          <w:szCs w:val="24"/>
          <w:lang w:val="es"/>
        </w:rPr>
        <w:t>RenovAr</w:t>
      </w:r>
      <w:proofErr w:type="spellEnd"/>
      <w:r w:rsidRPr="00D470F4">
        <w:rPr>
          <w:rFonts w:ascii="Times New Roman" w:eastAsiaTheme="minorHAnsi" w:hAnsi="Times New Roman" w:cs="Times New Roman"/>
          <w:color w:val="231F20"/>
          <w:sz w:val="24"/>
          <w:szCs w:val="24"/>
          <w:lang w:val="es"/>
        </w:rPr>
        <w:t xml:space="preserve">, Argentina vivió un exponencial crecimiento de las fuentes energéticas renovables, que, sin embargo, no se sostuvo temporalmente. En particular, a partir de 2018, las dificultades de acceso a financiamiento y la desconfianza de los inversionistas ante las condiciones macroeconómicas argentinas, marcaron un duro revés para los proyectos renovables. El plan </w:t>
      </w:r>
      <w:proofErr w:type="spellStart"/>
      <w:r w:rsidRPr="00D470F4">
        <w:rPr>
          <w:rFonts w:ascii="Times New Roman" w:eastAsiaTheme="minorHAnsi" w:hAnsi="Times New Roman" w:cs="Times New Roman"/>
          <w:color w:val="231F20"/>
          <w:sz w:val="24"/>
          <w:szCs w:val="24"/>
          <w:lang w:val="es"/>
        </w:rPr>
        <w:t>RenovAr</w:t>
      </w:r>
      <w:proofErr w:type="spellEnd"/>
      <w:r w:rsidR="00EF27A1" w:rsidRPr="00D470F4">
        <w:rPr>
          <w:rFonts w:ascii="Times New Roman" w:eastAsiaTheme="minorHAnsi" w:hAnsi="Times New Roman" w:cs="Times New Roman"/>
          <w:color w:val="231F20"/>
          <w:sz w:val="24"/>
          <w:szCs w:val="24"/>
          <w:lang w:val="es"/>
        </w:rPr>
        <w:t xml:space="preserve">, </w:t>
      </w:r>
      <w:r w:rsidRPr="00D470F4">
        <w:rPr>
          <w:rFonts w:ascii="Times New Roman" w:eastAsiaTheme="minorHAnsi" w:hAnsi="Times New Roman" w:cs="Times New Roman"/>
          <w:color w:val="231F20"/>
          <w:sz w:val="24"/>
          <w:szCs w:val="24"/>
          <w:lang w:val="es"/>
        </w:rPr>
        <w:t>se llevó adelante dentro del espíritu de la reforma neoliberal de la década de 1990, aspirando a estimular la competencia en el segmento de la oferta, pero sin atender a otras variables como el desarrollo industrial nacional y sin considerar estratégicamente al desarrollo de nuevas líneas de transporte, que imponen una restricción al crecimiento del sistema.</w:t>
      </w:r>
    </w:p>
    <w:p w14:paraId="3777F2A6" w14:textId="4215F2F4" w:rsidR="00501CAA" w:rsidRPr="00D470F4" w:rsidRDefault="00501CAA" w:rsidP="00132D23">
      <w:pPr>
        <w:pStyle w:val="Textoindependiente"/>
        <w:spacing w:before="33" w:line="480" w:lineRule="auto"/>
        <w:rPr>
          <w:rFonts w:ascii="Times New Roman" w:eastAsiaTheme="minorHAnsi" w:hAnsi="Times New Roman" w:cs="Times New Roman"/>
          <w:color w:val="231F20"/>
          <w:sz w:val="24"/>
          <w:szCs w:val="24"/>
          <w:lang w:val="es"/>
        </w:rPr>
      </w:pPr>
      <w:r w:rsidRPr="00D470F4">
        <w:rPr>
          <w:rFonts w:ascii="Times New Roman" w:eastAsiaTheme="minorHAnsi" w:hAnsi="Times New Roman" w:cs="Times New Roman"/>
          <w:color w:val="231F20"/>
          <w:sz w:val="24"/>
          <w:szCs w:val="24"/>
          <w:lang w:val="es"/>
        </w:rPr>
        <w:t>Por otra parte, en la última década Chile pasó de una situación crítica en su sistema eléctrico a constituirse en un ejemplo internacional de diversificación energética. Hacia mediados de los años 2000, la reforma neoliberal implementada durante la dictadura de Pinochet había derivado en una situación compatible con prácticas oligopólicas en el mercado eléctrico. El cierre total de las importaciones de gas provenientes de Argentina y la inviabilidad política para implementar nuevos emprendimientos de gran-hidráulica por la resistencia social, configuraron, en este período, un escenario de coyuntura crítica que solo pudo ser resuelta abandonando parcialmente el tradicional temor a la participación más decidida del Estado en la planificación energética. Una serie de reformas puntuales en la normativa de las licitaciones eléctricas permitieron nivelar el terreno de juego para la competencia entre tecnologías y abrir el paso a las renovables a la matriz, sin abandonar el principio de neutralidad tecnológica y el marco político-institucional del neoliberalismo.</w:t>
      </w:r>
    </w:p>
    <w:p w14:paraId="3A8D4D5D" w14:textId="392CB079" w:rsidR="00501CAA" w:rsidRPr="00D470F4" w:rsidRDefault="00501CAA" w:rsidP="00132D23">
      <w:pPr>
        <w:pStyle w:val="Textoindependiente"/>
        <w:spacing w:before="33" w:line="480" w:lineRule="auto"/>
        <w:rPr>
          <w:rFonts w:ascii="Times New Roman" w:eastAsiaTheme="minorHAnsi" w:hAnsi="Times New Roman" w:cs="Times New Roman"/>
          <w:color w:val="231F20"/>
          <w:sz w:val="24"/>
          <w:szCs w:val="24"/>
          <w:lang w:val="es"/>
        </w:rPr>
      </w:pPr>
      <w:r w:rsidRPr="00D470F4">
        <w:rPr>
          <w:rFonts w:ascii="Times New Roman" w:eastAsiaTheme="minorHAnsi" w:hAnsi="Times New Roman" w:cs="Times New Roman"/>
          <w:color w:val="231F20"/>
          <w:sz w:val="24"/>
          <w:szCs w:val="24"/>
          <w:lang w:val="es"/>
        </w:rPr>
        <w:t>Según se observa, en ambos casos las políticas públicas implementadas para promocionar las ERNC, estuvieron enmarcadas y cobran significando dentro de una lógica de funcionamiento neoliberal del sistema eléctric</w:t>
      </w:r>
      <w:r w:rsidR="00EF27A1" w:rsidRPr="00D470F4">
        <w:rPr>
          <w:rFonts w:ascii="Times New Roman" w:eastAsiaTheme="minorHAnsi" w:hAnsi="Times New Roman" w:cs="Times New Roman"/>
          <w:color w:val="231F20"/>
          <w:sz w:val="24"/>
          <w:szCs w:val="24"/>
          <w:lang w:val="es"/>
        </w:rPr>
        <w:t>o.</w:t>
      </w:r>
      <w:r w:rsidRPr="00D470F4">
        <w:rPr>
          <w:rFonts w:ascii="Times New Roman" w:eastAsiaTheme="minorHAnsi" w:hAnsi="Times New Roman" w:cs="Times New Roman"/>
          <w:color w:val="231F20"/>
          <w:sz w:val="24"/>
          <w:szCs w:val="24"/>
          <w:lang w:val="es"/>
        </w:rPr>
        <w:t xml:space="preserve"> Particularmente para el caso chileno, </w:t>
      </w:r>
      <w:r w:rsidRPr="00D470F4">
        <w:rPr>
          <w:rFonts w:ascii="Times New Roman" w:eastAsiaTheme="minorHAnsi" w:hAnsi="Times New Roman" w:cs="Times New Roman"/>
          <w:color w:val="231F20"/>
          <w:sz w:val="24"/>
          <w:szCs w:val="24"/>
          <w:lang w:val="es"/>
        </w:rPr>
        <w:lastRenderedPageBreak/>
        <w:t xml:space="preserve">estas reformas aspiraron a ampliar el segmento de la oferta, corrigiendo la situación de oligopolio que se había alcanzado. En Argentina, la hegemonía neoliberal fue puesta en cuestión con la crisis de la convertibilidad, a principios del segundo milenio. Una serie de medidas puntuales, en particular el sostenimiento de una política de subsidios para las tarifas a lo largo del período 2002-2015, pusieron en tensión los principios neoliberales, pero estos no fueron sustituidos por un marco energético comprensivo de acuerdo a otro tipo de organización político-económica. </w:t>
      </w:r>
      <w:r w:rsidR="00574207" w:rsidRPr="00D470F4">
        <w:rPr>
          <w:rFonts w:ascii="Times New Roman" w:eastAsiaTheme="minorHAnsi" w:hAnsi="Times New Roman" w:cs="Times New Roman"/>
          <w:color w:val="231F20"/>
          <w:sz w:val="24"/>
          <w:szCs w:val="24"/>
          <w:lang w:val="es"/>
        </w:rPr>
        <w:t>A partir de 2015, la llegada al gobierno de una coalición política de orientación promercado se propuso orientar el sistema a un funcionamiento más puro dentro del neoliberalismo, ampliando la oferta con tecnologías rentables, a través de una reducción artificial del costo del capital para estos proyectos. Curiosamente, el cuello de botella para el desarrollo de los mismos, estuvo tanto en la inestabilidad macroeconómica del país como en la falta de previsión para el desarrollo de nueva infraestructura de transmisión, problema que ya había sido señalado cuando se discutió la reforma</w:t>
      </w:r>
      <w:r w:rsidR="00EF27A1" w:rsidRPr="00D470F4">
        <w:rPr>
          <w:rFonts w:ascii="Times New Roman" w:eastAsiaTheme="minorHAnsi" w:hAnsi="Times New Roman" w:cs="Times New Roman"/>
          <w:color w:val="231F20"/>
          <w:sz w:val="24"/>
          <w:szCs w:val="24"/>
          <w:lang w:val="es"/>
        </w:rPr>
        <w:t xml:space="preserve"> (</w:t>
      </w:r>
      <w:proofErr w:type="spellStart"/>
      <w:r w:rsidR="00EF27A1" w:rsidRPr="00D470F4">
        <w:rPr>
          <w:rFonts w:ascii="Times New Roman" w:eastAsiaTheme="minorHAnsi" w:hAnsi="Times New Roman" w:cs="Times New Roman"/>
          <w:color w:val="231F20"/>
          <w:sz w:val="24"/>
          <w:szCs w:val="24"/>
          <w:lang w:val="es"/>
        </w:rPr>
        <w:t>Montamat</w:t>
      </w:r>
      <w:proofErr w:type="spellEnd"/>
      <w:r w:rsidR="00EF27A1" w:rsidRPr="00D470F4">
        <w:rPr>
          <w:rFonts w:ascii="Times New Roman" w:eastAsiaTheme="minorHAnsi" w:hAnsi="Times New Roman" w:cs="Times New Roman"/>
          <w:color w:val="231F20"/>
          <w:sz w:val="24"/>
          <w:szCs w:val="24"/>
          <w:lang w:val="es"/>
        </w:rPr>
        <w:t>, 2016)</w:t>
      </w:r>
      <w:r w:rsidR="00574207" w:rsidRPr="00D470F4">
        <w:rPr>
          <w:rFonts w:ascii="Times New Roman" w:eastAsiaTheme="minorHAnsi" w:hAnsi="Times New Roman" w:cs="Times New Roman"/>
          <w:color w:val="231F20"/>
          <w:sz w:val="24"/>
          <w:szCs w:val="24"/>
          <w:lang w:val="es"/>
        </w:rPr>
        <w:t xml:space="preserve">. </w:t>
      </w:r>
    </w:p>
    <w:p w14:paraId="6BA264F8" w14:textId="77777777" w:rsidR="005959CB" w:rsidRPr="00D470F4" w:rsidRDefault="00574207" w:rsidP="00132D23">
      <w:pPr>
        <w:pStyle w:val="Textoindependiente"/>
        <w:spacing w:before="33" w:line="480" w:lineRule="auto"/>
        <w:rPr>
          <w:rFonts w:ascii="Times New Roman" w:eastAsiaTheme="minorHAnsi" w:hAnsi="Times New Roman" w:cs="Times New Roman"/>
          <w:color w:val="231F20"/>
          <w:sz w:val="24"/>
          <w:szCs w:val="24"/>
          <w:lang w:val="es"/>
        </w:rPr>
      </w:pPr>
      <w:r w:rsidRPr="00D470F4">
        <w:rPr>
          <w:rFonts w:ascii="Times New Roman" w:eastAsiaTheme="minorHAnsi" w:hAnsi="Times New Roman" w:cs="Times New Roman"/>
          <w:color w:val="231F20"/>
          <w:sz w:val="24"/>
          <w:szCs w:val="24"/>
          <w:lang w:val="es"/>
        </w:rPr>
        <w:t>Según se observa, las significativas variaciones respecto al tipo de políticas que se utilizaron para la promoción de renovables en la matriz eléctrica de estos países, estuvieron orientadas por la configuración del sistema que adquirió de acuerdo a los principios neoliberales y sus respectiva</w:t>
      </w:r>
      <w:bookmarkStart w:id="16" w:name="_GoBack"/>
      <w:bookmarkEnd w:id="16"/>
      <w:r w:rsidRPr="00D470F4">
        <w:rPr>
          <w:rFonts w:ascii="Times New Roman" w:eastAsiaTheme="minorHAnsi" w:hAnsi="Times New Roman" w:cs="Times New Roman"/>
          <w:color w:val="231F20"/>
          <w:sz w:val="24"/>
          <w:szCs w:val="24"/>
          <w:lang w:val="es"/>
        </w:rPr>
        <w:t xml:space="preserve">s crisis y adaptaciones. El argumento de esta tesis, es </w:t>
      </w:r>
      <w:r w:rsidR="005959CB" w:rsidRPr="00D470F4">
        <w:rPr>
          <w:rFonts w:ascii="Times New Roman" w:eastAsiaTheme="minorHAnsi" w:hAnsi="Times New Roman" w:cs="Times New Roman"/>
          <w:color w:val="231F20"/>
          <w:sz w:val="24"/>
          <w:szCs w:val="24"/>
          <w:lang w:val="es"/>
        </w:rPr>
        <w:t>que,</w:t>
      </w:r>
      <w:r w:rsidRPr="00D470F4">
        <w:rPr>
          <w:rFonts w:ascii="Times New Roman" w:eastAsiaTheme="minorHAnsi" w:hAnsi="Times New Roman" w:cs="Times New Roman"/>
          <w:color w:val="231F20"/>
          <w:sz w:val="24"/>
          <w:szCs w:val="24"/>
          <w:lang w:val="es"/>
        </w:rPr>
        <w:t xml:space="preserve"> tanto para comprender esta estructuración de</w:t>
      </w:r>
      <w:r w:rsidR="005959CB" w:rsidRPr="00D470F4">
        <w:rPr>
          <w:rFonts w:ascii="Times New Roman" w:eastAsiaTheme="minorHAnsi" w:hAnsi="Times New Roman" w:cs="Times New Roman"/>
          <w:color w:val="231F20"/>
          <w:sz w:val="24"/>
          <w:szCs w:val="24"/>
          <w:lang w:val="es"/>
        </w:rPr>
        <w:t xml:space="preserve"> los </w:t>
      </w:r>
      <w:r w:rsidRPr="00D470F4">
        <w:rPr>
          <w:rFonts w:ascii="Times New Roman" w:eastAsiaTheme="minorHAnsi" w:hAnsi="Times New Roman" w:cs="Times New Roman"/>
          <w:color w:val="231F20"/>
          <w:sz w:val="24"/>
          <w:szCs w:val="24"/>
          <w:lang w:val="es"/>
        </w:rPr>
        <w:t>sistema</w:t>
      </w:r>
      <w:r w:rsidR="005959CB" w:rsidRPr="00D470F4">
        <w:rPr>
          <w:rFonts w:ascii="Times New Roman" w:eastAsiaTheme="minorHAnsi" w:hAnsi="Times New Roman" w:cs="Times New Roman"/>
          <w:color w:val="231F20"/>
          <w:sz w:val="24"/>
          <w:szCs w:val="24"/>
          <w:lang w:val="es"/>
        </w:rPr>
        <w:t>s</w:t>
      </w:r>
      <w:r w:rsidRPr="00D470F4">
        <w:rPr>
          <w:rFonts w:ascii="Times New Roman" w:eastAsiaTheme="minorHAnsi" w:hAnsi="Times New Roman" w:cs="Times New Roman"/>
          <w:color w:val="231F20"/>
          <w:sz w:val="24"/>
          <w:szCs w:val="24"/>
          <w:lang w:val="es"/>
        </w:rPr>
        <w:t xml:space="preserve"> como sus variaciones</w:t>
      </w:r>
      <w:r w:rsidR="005959CB" w:rsidRPr="00D470F4">
        <w:rPr>
          <w:rFonts w:ascii="Times New Roman" w:eastAsiaTheme="minorHAnsi" w:hAnsi="Times New Roman" w:cs="Times New Roman"/>
          <w:color w:val="231F20"/>
          <w:sz w:val="24"/>
          <w:szCs w:val="24"/>
          <w:lang w:val="es"/>
        </w:rPr>
        <w:t xml:space="preserve">, y las políticas de promoción de renovables que se adaptaron desigualmente a los mismos, </w:t>
      </w:r>
      <w:r w:rsidRPr="00D470F4">
        <w:rPr>
          <w:rFonts w:ascii="Times New Roman" w:eastAsiaTheme="minorHAnsi" w:hAnsi="Times New Roman" w:cs="Times New Roman"/>
          <w:color w:val="231F20"/>
          <w:sz w:val="24"/>
          <w:szCs w:val="24"/>
          <w:lang w:val="es"/>
        </w:rPr>
        <w:t xml:space="preserve">es </w:t>
      </w:r>
      <w:r w:rsidR="005959CB" w:rsidRPr="00D470F4">
        <w:rPr>
          <w:rFonts w:ascii="Times New Roman" w:eastAsiaTheme="minorHAnsi" w:hAnsi="Times New Roman" w:cs="Times New Roman"/>
          <w:color w:val="231F20"/>
          <w:sz w:val="24"/>
          <w:szCs w:val="24"/>
          <w:lang w:val="es"/>
        </w:rPr>
        <w:t>necesario considerar el rol de las ideas en la conformación de las preferencias de los actores.</w:t>
      </w:r>
    </w:p>
    <w:p w14:paraId="552F41D1" w14:textId="380020C6" w:rsidR="00574207" w:rsidRPr="00D470F4" w:rsidRDefault="005959CB" w:rsidP="00132D23">
      <w:pPr>
        <w:pStyle w:val="Textoindependiente"/>
        <w:spacing w:before="33" w:line="480" w:lineRule="auto"/>
        <w:rPr>
          <w:rFonts w:ascii="Times New Roman" w:eastAsiaTheme="minorHAnsi" w:hAnsi="Times New Roman" w:cs="Times New Roman"/>
          <w:color w:val="231F20"/>
          <w:sz w:val="24"/>
          <w:szCs w:val="24"/>
          <w:lang w:val="es"/>
        </w:rPr>
      </w:pPr>
      <w:r w:rsidRPr="00D470F4">
        <w:rPr>
          <w:rFonts w:ascii="Times New Roman" w:eastAsiaTheme="minorHAnsi" w:hAnsi="Times New Roman" w:cs="Times New Roman"/>
          <w:color w:val="231F20"/>
          <w:sz w:val="24"/>
          <w:szCs w:val="24"/>
          <w:lang w:val="es"/>
        </w:rPr>
        <w:t xml:space="preserve"> En efecto, las ideas no son un mero epifenómeno de los intereses o la realidad material de los actores, si no que tienen en </w:t>
      </w:r>
      <w:proofErr w:type="spellStart"/>
      <w:r w:rsidRPr="00D470F4">
        <w:rPr>
          <w:rFonts w:ascii="Times New Roman" w:eastAsiaTheme="minorHAnsi" w:hAnsi="Times New Roman" w:cs="Times New Roman"/>
          <w:color w:val="231F20"/>
          <w:sz w:val="24"/>
          <w:szCs w:val="24"/>
          <w:lang w:val="es"/>
        </w:rPr>
        <w:t>si</w:t>
      </w:r>
      <w:proofErr w:type="spellEnd"/>
      <w:r w:rsidRPr="00D470F4">
        <w:rPr>
          <w:rFonts w:ascii="Times New Roman" w:eastAsiaTheme="minorHAnsi" w:hAnsi="Times New Roman" w:cs="Times New Roman"/>
          <w:color w:val="231F20"/>
          <w:sz w:val="24"/>
          <w:szCs w:val="24"/>
          <w:lang w:val="es"/>
        </w:rPr>
        <w:t xml:space="preserve"> mismas, capacidad de agencia. El neoliberalismo represento el marco maestro sobre el que se tejieron las reformas integrales de los </w:t>
      </w:r>
      <w:r w:rsidRPr="00D470F4">
        <w:rPr>
          <w:rFonts w:ascii="Times New Roman" w:eastAsiaTheme="minorHAnsi" w:hAnsi="Times New Roman" w:cs="Times New Roman"/>
          <w:color w:val="231F20"/>
          <w:sz w:val="24"/>
          <w:szCs w:val="24"/>
          <w:lang w:val="es"/>
        </w:rPr>
        <w:lastRenderedPageBreak/>
        <w:t xml:space="preserve">sistemas eléctricos argentino y chileno. Mientras en Chile, las reformas pro – renovables se hicieron dentro de la lógica del sistema neoliberal, en Argentina, la crisis de hegemonía del neoliberalismo, trajo aparejada una serie de medidas que condicionaron tanto las características de las políticas de promoción de las renovables como su resultado sustantivo hasta 2015. Desde entonces, el regreso a la racionalidad político-económica neoliberal dio nuevo contenido a las políticas de ERNC con resultados sustancialmente distintos.  </w:t>
      </w:r>
    </w:p>
    <w:p w14:paraId="2BA4D60F" w14:textId="067451EF" w:rsidR="00501CAA" w:rsidRPr="00D470F4" w:rsidRDefault="00262F75" w:rsidP="00132D23">
      <w:pPr>
        <w:pStyle w:val="Textoindependiente"/>
        <w:numPr>
          <w:ilvl w:val="0"/>
          <w:numId w:val="1"/>
        </w:numPr>
        <w:spacing w:before="33" w:line="480" w:lineRule="auto"/>
        <w:rPr>
          <w:rFonts w:ascii="Times New Roman" w:hAnsi="Times New Roman" w:cs="Times New Roman"/>
          <w:color w:val="231F20"/>
          <w:spacing w:val="-4"/>
          <w:sz w:val="24"/>
          <w:szCs w:val="24"/>
          <w:lang w:val="es"/>
        </w:rPr>
      </w:pPr>
      <w:r w:rsidRPr="00D470F4">
        <w:rPr>
          <w:rFonts w:ascii="Times New Roman" w:hAnsi="Times New Roman" w:cs="Times New Roman"/>
          <w:b/>
          <w:color w:val="231F20"/>
          <w:spacing w:val="-4"/>
          <w:sz w:val="24"/>
          <w:szCs w:val="24"/>
          <w:lang w:val="es"/>
        </w:rPr>
        <w:t>Importancia empírica del Tema de Investigación</w:t>
      </w:r>
      <w:r w:rsidRPr="00D470F4">
        <w:rPr>
          <w:rFonts w:ascii="Times New Roman" w:hAnsi="Times New Roman" w:cs="Times New Roman"/>
          <w:color w:val="231F20"/>
          <w:spacing w:val="-4"/>
          <w:sz w:val="24"/>
          <w:szCs w:val="24"/>
          <w:lang w:val="es"/>
        </w:rPr>
        <w:t xml:space="preserve">. </w:t>
      </w:r>
    </w:p>
    <w:p w14:paraId="3E6DD822" w14:textId="03A3529C" w:rsidR="00D31814" w:rsidRPr="00D470F4" w:rsidRDefault="00D31814" w:rsidP="00132D23">
      <w:pPr>
        <w:pStyle w:val="Textoindependiente"/>
        <w:spacing w:before="33" w:line="480" w:lineRule="auto"/>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La necesidad de realizar una transición hacia fuentes energéticas libres de emisiones de carbono como medio de mitigar el calentamiento global ha sido ampliamente reconocida por la comunidad académica. Sin embargo, la literatura que desde las ciencias sociales se ocupa de dicha problemática continúa ocupando un lugar relativamente marginal. En este apartado realizamos un recorrido bibliográfico de los que consideramos los principales tópicos dentro del emergente campo de la transición energética. Nos interesa mostrar que esta transición representa no solamente un problema técnico, sino también un problema social en general y de economía política en particular.</w:t>
      </w:r>
    </w:p>
    <w:p w14:paraId="61B36491" w14:textId="77777777" w:rsidR="00262F75" w:rsidRPr="00D470F4" w:rsidRDefault="00262F7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En las últimas décadas la comunidad científica internacional ha acumulado creciente e incontrastable evidencia respecto al sostenido aumento de la temperatura media del planeta (IPCC, 2008). Del mismo modo, existe un amplio consenso en cuanto a que este aumento es antropogénico (</w:t>
      </w:r>
      <w:proofErr w:type="spellStart"/>
      <w:r w:rsidRPr="00D470F4">
        <w:rPr>
          <w:rFonts w:ascii="Times New Roman" w:hAnsi="Times New Roman" w:cs="Times New Roman"/>
          <w:color w:val="231F20"/>
          <w:spacing w:val="-4"/>
          <w:sz w:val="24"/>
          <w:szCs w:val="24"/>
          <w:lang w:val="es"/>
        </w:rPr>
        <w:t>National</w:t>
      </w:r>
      <w:proofErr w:type="spellEnd"/>
      <w:r w:rsidRPr="00D470F4">
        <w:rPr>
          <w:rFonts w:ascii="Times New Roman" w:hAnsi="Times New Roman" w:cs="Times New Roman"/>
          <w:color w:val="231F20"/>
          <w:spacing w:val="-4"/>
          <w:sz w:val="24"/>
          <w:szCs w:val="24"/>
          <w:lang w:val="es"/>
        </w:rPr>
        <w:t xml:space="preserve"> </w:t>
      </w:r>
      <w:proofErr w:type="spellStart"/>
      <w:r w:rsidRPr="00D470F4">
        <w:rPr>
          <w:rFonts w:ascii="Times New Roman" w:hAnsi="Times New Roman" w:cs="Times New Roman"/>
          <w:color w:val="231F20"/>
          <w:spacing w:val="-4"/>
          <w:sz w:val="24"/>
          <w:szCs w:val="24"/>
          <w:lang w:val="es"/>
        </w:rPr>
        <w:t>Academy</w:t>
      </w:r>
      <w:proofErr w:type="spellEnd"/>
      <w:r w:rsidRPr="00D470F4">
        <w:rPr>
          <w:rFonts w:ascii="Times New Roman" w:hAnsi="Times New Roman" w:cs="Times New Roman"/>
          <w:color w:val="231F20"/>
          <w:spacing w:val="-4"/>
          <w:sz w:val="24"/>
          <w:szCs w:val="24"/>
          <w:lang w:val="es"/>
        </w:rPr>
        <w:t xml:space="preserve"> </w:t>
      </w:r>
      <w:proofErr w:type="spellStart"/>
      <w:r w:rsidRPr="00D470F4">
        <w:rPr>
          <w:rFonts w:ascii="Times New Roman" w:hAnsi="Times New Roman" w:cs="Times New Roman"/>
          <w:color w:val="231F20"/>
          <w:spacing w:val="-4"/>
          <w:sz w:val="24"/>
          <w:szCs w:val="24"/>
          <w:lang w:val="es"/>
        </w:rPr>
        <w:t>of</w:t>
      </w:r>
      <w:proofErr w:type="spellEnd"/>
      <w:r w:rsidRPr="00D470F4">
        <w:rPr>
          <w:rFonts w:ascii="Times New Roman" w:hAnsi="Times New Roman" w:cs="Times New Roman"/>
          <w:color w:val="231F20"/>
          <w:spacing w:val="-4"/>
          <w:sz w:val="24"/>
          <w:szCs w:val="24"/>
          <w:lang w:val="es"/>
        </w:rPr>
        <w:t xml:space="preserve"> </w:t>
      </w:r>
      <w:proofErr w:type="spellStart"/>
      <w:r w:rsidRPr="00D470F4">
        <w:rPr>
          <w:rFonts w:ascii="Times New Roman" w:hAnsi="Times New Roman" w:cs="Times New Roman"/>
          <w:color w:val="231F20"/>
          <w:spacing w:val="-4"/>
          <w:sz w:val="24"/>
          <w:szCs w:val="24"/>
          <w:lang w:val="es"/>
        </w:rPr>
        <w:t>Science</w:t>
      </w:r>
      <w:proofErr w:type="spellEnd"/>
      <w:r w:rsidRPr="00D470F4">
        <w:rPr>
          <w:rFonts w:ascii="Times New Roman" w:hAnsi="Times New Roman" w:cs="Times New Roman"/>
          <w:color w:val="231F20"/>
          <w:spacing w:val="-4"/>
          <w:sz w:val="24"/>
          <w:szCs w:val="24"/>
          <w:lang w:val="es"/>
        </w:rPr>
        <w:t>, 2001). Si bien, en la larga historia del planeta, las variaciones térmicas (incluso a escala humana) se han verificado con relativa frecuencia, la novedad de la actual situación ambiental radica en la velocidad de la misma y en que su origen no responde a procesos naturales, si no, esencialmente, a la actividad humana (Stern, 2006).</w:t>
      </w:r>
    </w:p>
    <w:p w14:paraId="02E916D9" w14:textId="44F13E86" w:rsidR="00262F75" w:rsidRPr="00D470F4" w:rsidRDefault="00262F7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En efecto, con importantes variaciones interanuales, desde la Segunda Revolución Industrial </w:t>
      </w:r>
      <w:r w:rsidRPr="00D470F4">
        <w:rPr>
          <w:rFonts w:ascii="Times New Roman" w:hAnsi="Times New Roman" w:cs="Times New Roman"/>
          <w:color w:val="231F20"/>
          <w:spacing w:val="-4"/>
          <w:sz w:val="24"/>
          <w:szCs w:val="24"/>
          <w:lang w:val="es"/>
        </w:rPr>
        <w:lastRenderedPageBreak/>
        <w:t>(Hobsbawm, 1977; Wallerstein, 1998) la temperatura global presenta una inequívoca tendencia ascendente (IPCC, 1996). Por otra parte, se ha logrado determinar que la causa de esta tendencia está dada por el exponencial aumento en la emisión de gases de efecto invernadero, en especial de dióxido de carbono (CO2) (</w:t>
      </w:r>
      <w:proofErr w:type="spellStart"/>
      <w:r w:rsidRPr="00D470F4">
        <w:rPr>
          <w:rFonts w:ascii="Times New Roman" w:hAnsi="Times New Roman" w:cs="Times New Roman"/>
          <w:color w:val="231F20"/>
          <w:spacing w:val="-4"/>
          <w:sz w:val="24"/>
          <w:szCs w:val="24"/>
          <w:lang w:val="es"/>
        </w:rPr>
        <w:t>Oreskes</w:t>
      </w:r>
      <w:proofErr w:type="spellEnd"/>
      <w:r w:rsidRPr="00D470F4">
        <w:rPr>
          <w:rFonts w:ascii="Times New Roman" w:hAnsi="Times New Roman" w:cs="Times New Roman"/>
          <w:color w:val="231F20"/>
          <w:spacing w:val="-4"/>
          <w:sz w:val="24"/>
          <w:szCs w:val="24"/>
          <w:lang w:val="es"/>
        </w:rPr>
        <w:t>, 2004).</w:t>
      </w:r>
    </w:p>
    <w:p w14:paraId="431E2706" w14:textId="57F3D56C" w:rsidR="00262F75" w:rsidRPr="00D470F4" w:rsidRDefault="00262F7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Distintos modelos de simulación </w:t>
      </w:r>
      <w:r w:rsidR="00EF27A1" w:rsidRPr="00D470F4">
        <w:rPr>
          <w:rFonts w:ascii="Times New Roman" w:hAnsi="Times New Roman" w:cs="Times New Roman"/>
          <w:color w:val="231F20"/>
          <w:spacing w:val="-4"/>
          <w:sz w:val="24"/>
          <w:szCs w:val="24"/>
          <w:lang w:val="es"/>
        </w:rPr>
        <w:t>digital,</w:t>
      </w:r>
      <w:r w:rsidRPr="00D470F4">
        <w:rPr>
          <w:rFonts w:ascii="Times New Roman" w:hAnsi="Times New Roman" w:cs="Times New Roman"/>
          <w:color w:val="231F20"/>
          <w:spacing w:val="-4"/>
          <w:sz w:val="24"/>
          <w:szCs w:val="24"/>
          <w:lang w:val="es"/>
        </w:rPr>
        <w:t xml:space="preserve"> así como creciente evidencia empírica derivada de las regiones más vulnerables del planeta han llamado la atención de los </w:t>
      </w:r>
      <w:proofErr w:type="spellStart"/>
      <w:r w:rsidRPr="00D470F4">
        <w:rPr>
          <w:rFonts w:ascii="Times New Roman" w:hAnsi="Times New Roman" w:cs="Times New Roman"/>
          <w:i/>
          <w:color w:val="231F20"/>
          <w:spacing w:val="-4"/>
          <w:sz w:val="24"/>
          <w:szCs w:val="24"/>
          <w:lang w:val="es"/>
        </w:rPr>
        <w:t>policy-makers</w:t>
      </w:r>
      <w:proofErr w:type="spellEnd"/>
      <w:r w:rsidRPr="00D470F4">
        <w:rPr>
          <w:rFonts w:ascii="Times New Roman" w:hAnsi="Times New Roman" w:cs="Times New Roman"/>
          <w:color w:val="231F20"/>
          <w:spacing w:val="-4"/>
          <w:sz w:val="24"/>
          <w:szCs w:val="24"/>
          <w:lang w:val="es"/>
        </w:rPr>
        <w:t xml:space="preserve"> y de la opinión pública respecto a los potenciales costos humanos y ambientales del calentamiento global. Según señalan los especialistas, de mantenerse esta tendencia deberíamos esperar: aumento en la temperatura y el nivel de mares y océanos, acidificación de sus ecosistemas, eventos climáticos extremos, desertificación, inundaciones, migraciones poblacionales, variaciones erráticas de temperatura y pérdidas de zonas de cultivo (Smith et al. 2009; Giddens, 2013).</w:t>
      </w:r>
    </w:p>
    <w:p w14:paraId="76CBE0C1" w14:textId="77777777" w:rsidR="00262F75" w:rsidRPr="00D470F4" w:rsidRDefault="00262F7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Es importante no perder de vista que tanto la contribución como los efectos de las emisiones de estos gases no se reparten de manera aleatoria (ver figura 2). Mientras que el nivel de CO2 en la atmósfera puede distribuirse de forma relativamente uniforme a gran escala, los impactos del cambio climático afectan diferencialmente a las regiones dependiendo de su ubicación geográfica, condiciones ecológicas y de su preparación previa para eventos extremos (Ostrom, 2000).</w:t>
      </w:r>
    </w:p>
    <w:p w14:paraId="6BEF1D79" w14:textId="14A205C7" w:rsidR="00262F75" w:rsidRPr="00D470F4" w:rsidRDefault="00262F7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Según diversas fuentes casi un 65 % del total de dióxido de carbono presente en la atmósfera es el resultado del consumo de fuentes fósiles de energía (KPMG, 2016). En particular petróleo, gas natural y carbón representan combinados el 75 % de la matriz energética mundial (BP, 2017). Cualquier intento serio de mitigar el cambio climático necesariamente debe plantearse la necesidad de realizar una transición hacia fuentes energéticas bajas en emisiones contaminantes (Shaw, 2011). Las tecnologías renovables –solar, eólica, geotérmica, pequeño-hidráulica, biomasa- ofrecen la oportunidad de satisfacer la demanda </w:t>
      </w:r>
      <w:r w:rsidRPr="00D470F4">
        <w:rPr>
          <w:rFonts w:ascii="Times New Roman" w:hAnsi="Times New Roman" w:cs="Times New Roman"/>
          <w:color w:val="231F20"/>
          <w:spacing w:val="-4"/>
          <w:sz w:val="24"/>
          <w:szCs w:val="24"/>
          <w:lang w:val="es"/>
        </w:rPr>
        <w:lastRenderedPageBreak/>
        <w:t>energética, disminuyendo la emisión de dióxido de carbono.</w:t>
      </w:r>
    </w:p>
    <w:p w14:paraId="7C682FCE" w14:textId="6DD4B7F4" w:rsidR="00262F75" w:rsidRPr="00D470F4" w:rsidRDefault="00262F7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Aunque amplios sectores sociales y académicos reconocen la importancia de realizar una transición energética como un medio de mitigar el cambio climático, la literatura que se ocupa del tema tanto desde las ciencias sociales en general como desde la economía política en particular ocupa un lugar más bien marginal. En este trabajo nos proponemos realizar un recorrido bibliográfico por cuatro tópicos centrales en lo que </w:t>
      </w:r>
      <w:proofErr w:type="spellStart"/>
      <w:r w:rsidRPr="00D470F4">
        <w:rPr>
          <w:rFonts w:ascii="Times New Roman" w:hAnsi="Times New Roman" w:cs="Times New Roman"/>
          <w:color w:val="231F20"/>
          <w:spacing w:val="-4"/>
          <w:sz w:val="24"/>
          <w:szCs w:val="24"/>
          <w:lang w:val="es"/>
        </w:rPr>
        <w:t>Kathelen</w:t>
      </w:r>
      <w:proofErr w:type="spellEnd"/>
      <w:r w:rsidRPr="00D470F4">
        <w:rPr>
          <w:rFonts w:ascii="Times New Roman" w:hAnsi="Times New Roman" w:cs="Times New Roman"/>
          <w:color w:val="231F20"/>
          <w:spacing w:val="-4"/>
          <w:sz w:val="24"/>
          <w:szCs w:val="24"/>
          <w:lang w:val="es"/>
        </w:rPr>
        <w:t xml:space="preserve"> Araujo (2017) ha denominado el “emergente campo de la transición energética”. En el primer apartado nos ocupamos de las distintas respuestas que la literatura ha brindado respecto a por qué la transición energética debe ser de interés para los científicos sociales. En el segundo, indagamos los problemas de cooperación que se han identificado entre los estados a la hora de poner en marcha esta transición. En tercer lugar, revisamos la literatura respecto a las causas por las que estados individuales ponen en marcha políticas de mitigación, incluso si deben mostrarse escépticos respecto a la colaboración de otros estados. Finalmente, consideramos los análisis de las políticas de promoción de energías renovables, concentrándonos en las políticas de precios y las de desarrollo tecnológico.</w:t>
      </w:r>
    </w:p>
    <w:p w14:paraId="43FEF4A9" w14:textId="56A59039" w:rsidR="00262F75" w:rsidRPr="00D470F4" w:rsidRDefault="00574207"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En particular, </w:t>
      </w:r>
      <w:r w:rsidR="00262F75" w:rsidRPr="00D470F4">
        <w:rPr>
          <w:rFonts w:ascii="Times New Roman" w:hAnsi="Times New Roman" w:cs="Times New Roman"/>
          <w:color w:val="231F20"/>
          <w:spacing w:val="-4"/>
          <w:sz w:val="24"/>
          <w:szCs w:val="24"/>
          <w:lang w:val="es"/>
        </w:rPr>
        <w:t xml:space="preserve">en este </w:t>
      </w:r>
      <w:r w:rsidRPr="00D470F4">
        <w:rPr>
          <w:rFonts w:ascii="Times New Roman" w:hAnsi="Times New Roman" w:cs="Times New Roman"/>
          <w:color w:val="231F20"/>
          <w:spacing w:val="-4"/>
          <w:sz w:val="24"/>
          <w:szCs w:val="24"/>
          <w:lang w:val="es"/>
        </w:rPr>
        <w:t>artículo</w:t>
      </w:r>
      <w:r w:rsidR="00262F75" w:rsidRPr="00D470F4">
        <w:rPr>
          <w:rFonts w:ascii="Times New Roman" w:hAnsi="Times New Roman" w:cs="Times New Roman"/>
          <w:color w:val="231F20"/>
          <w:spacing w:val="-4"/>
          <w:sz w:val="24"/>
          <w:szCs w:val="24"/>
          <w:lang w:val="es"/>
        </w:rPr>
        <w:t xml:space="preserve"> nos interesa mostrar que el problema de la transición energética representa ante todo un desafío de economía política y una fértil área de investigación, tanto por imperativos morales como por su potencial explicativo. </w:t>
      </w:r>
    </w:p>
    <w:p w14:paraId="26FCD6EE" w14:textId="77777777" w:rsidR="00262F75" w:rsidRPr="00D470F4" w:rsidRDefault="00262F75" w:rsidP="00132D23">
      <w:pPr>
        <w:pStyle w:val="Textoindependiente"/>
        <w:numPr>
          <w:ilvl w:val="0"/>
          <w:numId w:val="1"/>
        </w:numPr>
        <w:spacing w:before="33" w:line="480" w:lineRule="auto"/>
        <w:rPr>
          <w:rFonts w:ascii="Times New Roman" w:hAnsi="Times New Roman" w:cs="Times New Roman"/>
          <w:b/>
          <w:color w:val="231F20"/>
          <w:spacing w:val="-4"/>
          <w:sz w:val="24"/>
          <w:szCs w:val="24"/>
          <w:lang w:val="es"/>
        </w:rPr>
      </w:pPr>
      <w:r w:rsidRPr="00D470F4">
        <w:rPr>
          <w:rFonts w:ascii="Times New Roman" w:hAnsi="Times New Roman" w:cs="Times New Roman"/>
          <w:b/>
          <w:color w:val="231F20"/>
          <w:spacing w:val="-4"/>
          <w:sz w:val="24"/>
          <w:szCs w:val="24"/>
          <w:lang w:val="es"/>
        </w:rPr>
        <w:t>Importancia teórica del tema de investigación.</w:t>
      </w:r>
    </w:p>
    <w:p w14:paraId="4CCE32A4" w14:textId="77777777" w:rsidR="00262F75" w:rsidRPr="00D470F4" w:rsidRDefault="00262F75" w:rsidP="00132D23">
      <w:pPr>
        <w:pStyle w:val="Textoindependiente"/>
        <w:numPr>
          <w:ilvl w:val="1"/>
          <w:numId w:val="1"/>
        </w:numPr>
        <w:spacing w:before="33" w:line="480" w:lineRule="auto"/>
        <w:rPr>
          <w:rFonts w:ascii="Times New Roman" w:hAnsi="Times New Roman" w:cs="Times New Roman"/>
          <w:b/>
          <w:color w:val="231F20"/>
          <w:spacing w:val="-4"/>
          <w:sz w:val="24"/>
          <w:szCs w:val="24"/>
          <w:lang w:val="es"/>
        </w:rPr>
      </w:pPr>
      <w:r w:rsidRPr="00D470F4">
        <w:rPr>
          <w:rFonts w:ascii="Times New Roman" w:hAnsi="Times New Roman" w:cs="Times New Roman"/>
          <w:b/>
          <w:color w:val="231F20"/>
          <w:spacing w:val="-4"/>
          <w:sz w:val="24"/>
          <w:szCs w:val="24"/>
          <w:lang w:val="es"/>
        </w:rPr>
        <w:t xml:space="preserve"> La complejidad del sistema </w:t>
      </w:r>
    </w:p>
    <w:p w14:paraId="1D7990AD" w14:textId="28AE840F" w:rsidR="00262F75" w:rsidRPr="00D470F4" w:rsidRDefault="00262F7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Si bien en la academia existe un amplio consenso respecto a la importancia de poner en marcha medidas para evitar la emisión de gases de efecto invernadero, podemos constatar un relativo subdesarrollo de la literatura especializada en esta problemática desde las ciencias sociales (</w:t>
      </w:r>
      <w:proofErr w:type="spellStart"/>
      <w:r w:rsidRPr="00D470F4">
        <w:rPr>
          <w:rFonts w:ascii="Times New Roman" w:hAnsi="Times New Roman" w:cs="Times New Roman"/>
          <w:color w:val="231F20"/>
          <w:spacing w:val="-4"/>
          <w:sz w:val="24"/>
          <w:szCs w:val="24"/>
          <w:lang w:val="es"/>
        </w:rPr>
        <w:t>Huberty</w:t>
      </w:r>
      <w:proofErr w:type="spellEnd"/>
      <w:r w:rsidRPr="00D470F4">
        <w:rPr>
          <w:rFonts w:ascii="Times New Roman" w:hAnsi="Times New Roman" w:cs="Times New Roman"/>
          <w:color w:val="231F20"/>
          <w:spacing w:val="-4"/>
          <w:sz w:val="24"/>
          <w:szCs w:val="24"/>
          <w:lang w:val="es"/>
        </w:rPr>
        <w:t xml:space="preserve">, 2013). En 2014, un análisis cuantitativo conducido por el especialista danés </w:t>
      </w:r>
      <w:proofErr w:type="spellStart"/>
      <w:r w:rsidRPr="00D470F4">
        <w:rPr>
          <w:rFonts w:ascii="Times New Roman" w:hAnsi="Times New Roman" w:cs="Times New Roman"/>
          <w:color w:val="231F20"/>
          <w:spacing w:val="-4"/>
          <w:sz w:val="24"/>
          <w:szCs w:val="24"/>
          <w:lang w:val="es"/>
        </w:rPr>
        <w:t>Benjamin</w:t>
      </w:r>
      <w:proofErr w:type="spellEnd"/>
      <w:r w:rsidRPr="00D470F4">
        <w:rPr>
          <w:rFonts w:ascii="Times New Roman" w:hAnsi="Times New Roman" w:cs="Times New Roman"/>
          <w:color w:val="231F20"/>
          <w:spacing w:val="-4"/>
          <w:sz w:val="24"/>
          <w:szCs w:val="24"/>
          <w:lang w:val="es"/>
        </w:rPr>
        <w:t xml:space="preserve"> </w:t>
      </w:r>
      <w:proofErr w:type="spellStart"/>
      <w:r w:rsidRPr="00D470F4">
        <w:rPr>
          <w:rFonts w:ascii="Times New Roman" w:hAnsi="Times New Roman" w:cs="Times New Roman"/>
          <w:color w:val="231F20"/>
          <w:spacing w:val="-4"/>
          <w:sz w:val="24"/>
          <w:szCs w:val="24"/>
          <w:lang w:val="es"/>
        </w:rPr>
        <w:t>Sovacool</w:t>
      </w:r>
      <w:proofErr w:type="spellEnd"/>
      <w:r w:rsidRPr="00D470F4">
        <w:rPr>
          <w:rFonts w:ascii="Times New Roman" w:hAnsi="Times New Roman" w:cs="Times New Roman"/>
          <w:color w:val="231F20"/>
          <w:spacing w:val="-4"/>
          <w:sz w:val="24"/>
          <w:szCs w:val="24"/>
          <w:lang w:val="es"/>
        </w:rPr>
        <w:t xml:space="preserve"> puso en evidencia </w:t>
      </w:r>
      <w:r w:rsidR="00EE139A" w:rsidRPr="00D470F4">
        <w:rPr>
          <w:rFonts w:ascii="Times New Roman" w:hAnsi="Times New Roman" w:cs="Times New Roman"/>
          <w:color w:val="231F20"/>
          <w:spacing w:val="-4"/>
          <w:sz w:val="24"/>
          <w:szCs w:val="24"/>
          <w:lang w:val="es"/>
        </w:rPr>
        <w:t>que,</w:t>
      </w:r>
      <w:r w:rsidRPr="00D470F4">
        <w:rPr>
          <w:rFonts w:ascii="Times New Roman" w:hAnsi="Times New Roman" w:cs="Times New Roman"/>
          <w:color w:val="231F20"/>
          <w:spacing w:val="-4"/>
          <w:sz w:val="24"/>
          <w:szCs w:val="24"/>
          <w:lang w:val="es"/>
        </w:rPr>
        <w:t xml:space="preserve"> en tres de las mayores revistas </w:t>
      </w:r>
      <w:r w:rsidRPr="00D470F4">
        <w:rPr>
          <w:rFonts w:ascii="Times New Roman" w:hAnsi="Times New Roman" w:cs="Times New Roman"/>
          <w:color w:val="231F20"/>
          <w:spacing w:val="-4"/>
          <w:sz w:val="24"/>
          <w:szCs w:val="24"/>
          <w:lang w:val="es"/>
        </w:rPr>
        <w:lastRenderedPageBreak/>
        <w:t>especializadas en problemática energética, menos del 6 % de los artículos publicados durante la última década y media respondían a autores de ciencia política. Más aún, dejando de lado la economía, el resto de las ciencias sociales (como la antropología, historia, ciencias de la comunicación y los estudios de género) no alcanzaban combinados el 1 % de las publicaciones (</w:t>
      </w:r>
      <w:proofErr w:type="spellStart"/>
      <w:r w:rsidRPr="00D470F4">
        <w:rPr>
          <w:rFonts w:ascii="Times New Roman" w:hAnsi="Times New Roman" w:cs="Times New Roman"/>
          <w:color w:val="231F20"/>
          <w:spacing w:val="-4"/>
          <w:sz w:val="24"/>
          <w:szCs w:val="24"/>
          <w:lang w:val="es"/>
        </w:rPr>
        <w:t>Sovacool</w:t>
      </w:r>
      <w:proofErr w:type="spellEnd"/>
      <w:r w:rsidRPr="00D470F4">
        <w:rPr>
          <w:rFonts w:ascii="Times New Roman" w:hAnsi="Times New Roman" w:cs="Times New Roman"/>
          <w:color w:val="231F20"/>
          <w:spacing w:val="-4"/>
          <w:sz w:val="24"/>
          <w:szCs w:val="24"/>
          <w:lang w:val="es"/>
        </w:rPr>
        <w:t>, 2014).</w:t>
      </w:r>
    </w:p>
    <w:p w14:paraId="5BB0012E" w14:textId="77777777" w:rsidR="00262F75" w:rsidRPr="00D470F4" w:rsidRDefault="00262F7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A menudo, la transición energética se considera un problema exclusivamente técnico. Las políticas públicas se dirigen a la mejora de los equipos tecnológicos renovables, bajo el supuesto que una mejora en la eficiencia de los mismos automáticamente se traducirá en su implementación. Esta visión pierde de vista la complejidad del sistema energético, que puede ser caracterizado como un sistema socio-técnico (</w:t>
      </w:r>
      <w:proofErr w:type="spellStart"/>
      <w:r w:rsidRPr="00D470F4">
        <w:rPr>
          <w:rFonts w:ascii="Times New Roman" w:hAnsi="Times New Roman" w:cs="Times New Roman"/>
          <w:color w:val="231F20"/>
          <w:spacing w:val="-4"/>
          <w:sz w:val="24"/>
          <w:szCs w:val="24"/>
          <w:lang w:val="es"/>
        </w:rPr>
        <w:t>Bijker</w:t>
      </w:r>
      <w:proofErr w:type="spellEnd"/>
      <w:r w:rsidRPr="00D470F4">
        <w:rPr>
          <w:rFonts w:ascii="Times New Roman" w:hAnsi="Times New Roman" w:cs="Times New Roman"/>
          <w:color w:val="231F20"/>
          <w:spacing w:val="-4"/>
          <w:sz w:val="24"/>
          <w:szCs w:val="24"/>
          <w:lang w:val="es"/>
        </w:rPr>
        <w:t xml:space="preserve">, 1995), en el que los artefactos técnicos y sociales se encuentran inextricablemente ligados. El sistema energético incluye distintas tecnologías, adaptadas a la producción, distribución y consumo, y actores e instrumentos de regulación plenamente articulados entre sí (Hughes, 1983). </w:t>
      </w:r>
    </w:p>
    <w:p w14:paraId="0A2A34BB" w14:textId="0EFBD2DA" w:rsidR="00262F75" w:rsidRPr="00D470F4" w:rsidRDefault="00262F7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Según señala Gregory </w:t>
      </w:r>
      <w:proofErr w:type="spellStart"/>
      <w:r w:rsidRPr="00D470F4">
        <w:rPr>
          <w:rFonts w:ascii="Times New Roman" w:hAnsi="Times New Roman" w:cs="Times New Roman"/>
          <w:color w:val="231F20"/>
          <w:spacing w:val="-4"/>
          <w:sz w:val="24"/>
          <w:szCs w:val="24"/>
          <w:lang w:val="es"/>
        </w:rPr>
        <w:t>Unruh</w:t>
      </w:r>
      <w:proofErr w:type="spellEnd"/>
      <w:r w:rsidRPr="00D470F4">
        <w:rPr>
          <w:rFonts w:ascii="Times New Roman" w:hAnsi="Times New Roman" w:cs="Times New Roman"/>
          <w:color w:val="231F20"/>
          <w:spacing w:val="-4"/>
          <w:sz w:val="24"/>
          <w:szCs w:val="24"/>
          <w:lang w:val="es"/>
        </w:rPr>
        <w:t xml:space="preserve">, la generación de electricidad, su distribución </w:t>
      </w:r>
      <w:proofErr w:type="gramStart"/>
      <w:r w:rsidRPr="00D470F4">
        <w:rPr>
          <w:rFonts w:ascii="Times New Roman" w:hAnsi="Times New Roman" w:cs="Times New Roman"/>
          <w:color w:val="231F20"/>
          <w:spacing w:val="-4"/>
          <w:sz w:val="24"/>
          <w:szCs w:val="24"/>
          <w:lang w:val="es"/>
        </w:rPr>
        <w:t>y  uso</w:t>
      </w:r>
      <w:proofErr w:type="gramEnd"/>
      <w:r w:rsidRPr="00D470F4">
        <w:rPr>
          <w:rFonts w:ascii="Times New Roman" w:hAnsi="Times New Roman" w:cs="Times New Roman"/>
          <w:color w:val="231F20"/>
          <w:spacing w:val="-4"/>
          <w:sz w:val="24"/>
          <w:szCs w:val="24"/>
          <w:lang w:val="es"/>
        </w:rPr>
        <w:t xml:space="preserve"> final, no  pueden ser entendidos como un conjunto de artefactos tecnológicos discretos, sino como “sistemas complejos de tecnologías integrados en un poderoso contexto social de condicionamiento de instituciones públicas y privadas” (</w:t>
      </w:r>
      <w:proofErr w:type="spellStart"/>
      <w:r w:rsidRPr="00D470F4">
        <w:rPr>
          <w:rFonts w:ascii="Times New Roman" w:hAnsi="Times New Roman" w:cs="Times New Roman"/>
          <w:color w:val="231F20"/>
          <w:spacing w:val="-4"/>
          <w:sz w:val="24"/>
          <w:szCs w:val="24"/>
          <w:lang w:val="es"/>
        </w:rPr>
        <w:t>Unruh</w:t>
      </w:r>
      <w:proofErr w:type="spellEnd"/>
      <w:r w:rsidRPr="00D470F4">
        <w:rPr>
          <w:rFonts w:ascii="Times New Roman" w:hAnsi="Times New Roman" w:cs="Times New Roman"/>
          <w:color w:val="231F20"/>
          <w:spacing w:val="-4"/>
          <w:sz w:val="24"/>
          <w:szCs w:val="24"/>
          <w:lang w:val="es"/>
        </w:rPr>
        <w:t xml:space="preserve">, 2000: 2). Estos sistemas se desarrollan a través de un proceso </w:t>
      </w:r>
      <w:proofErr w:type="spellStart"/>
      <w:r w:rsidRPr="00D470F4">
        <w:rPr>
          <w:rFonts w:ascii="Times New Roman" w:hAnsi="Times New Roman" w:cs="Times New Roman"/>
          <w:color w:val="231F20"/>
          <w:spacing w:val="-4"/>
          <w:sz w:val="24"/>
          <w:szCs w:val="24"/>
          <w:lang w:val="es"/>
        </w:rPr>
        <w:t>co-evolutivo</w:t>
      </w:r>
      <w:proofErr w:type="spellEnd"/>
      <w:r w:rsidRPr="00D470F4">
        <w:rPr>
          <w:rFonts w:ascii="Times New Roman" w:hAnsi="Times New Roman" w:cs="Times New Roman"/>
          <w:color w:val="231F20"/>
          <w:spacing w:val="-4"/>
          <w:sz w:val="24"/>
          <w:szCs w:val="24"/>
          <w:lang w:val="es"/>
        </w:rPr>
        <w:t xml:space="preserve"> </w:t>
      </w:r>
      <w:r w:rsidR="00D31814" w:rsidRPr="00D470F4">
        <w:rPr>
          <w:rFonts w:ascii="Times New Roman" w:hAnsi="Times New Roman" w:cs="Times New Roman"/>
          <w:color w:val="231F20"/>
          <w:spacing w:val="-4"/>
          <w:sz w:val="24"/>
          <w:szCs w:val="24"/>
          <w:lang w:val="es"/>
        </w:rPr>
        <w:t>(</w:t>
      </w:r>
      <w:proofErr w:type="spellStart"/>
      <w:r w:rsidRPr="00D470F4">
        <w:rPr>
          <w:rFonts w:ascii="Times New Roman" w:hAnsi="Times New Roman" w:cs="Times New Roman"/>
          <w:color w:val="231F20"/>
          <w:spacing w:val="-4"/>
          <w:sz w:val="24"/>
          <w:szCs w:val="24"/>
          <w:lang w:val="es"/>
        </w:rPr>
        <w:t>path-dependent</w:t>
      </w:r>
      <w:proofErr w:type="spellEnd"/>
      <w:r w:rsidR="00D31814" w:rsidRPr="00D470F4">
        <w:rPr>
          <w:rFonts w:ascii="Times New Roman" w:hAnsi="Times New Roman" w:cs="Times New Roman"/>
          <w:color w:val="231F20"/>
          <w:spacing w:val="-4"/>
          <w:sz w:val="24"/>
          <w:szCs w:val="24"/>
          <w:lang w:val="es"/>
        </w:rPr>
        <w:t>)</w:t>
      </w:r>
      <w:r w:rsidRPr="00D470F4">
        <w:rPr>
          <w:rFonts w:ascii="Times New Roman" w:hAnsi="Times New Roman" w:cs="Times New Roman"/>
          <w:color w:val="231F20"/>
          <w:spacing w:val="-4"/>
          <w:sz w:val="24"/>
          <w:szCs w:val="24"/>
          <w:lang w:val="es"/>
        </w:rPr>
        <w:t xml:space="preserve"> que implica retroalimentación positiva entre la infraestructura tecnológica y las organizaciones e instituciones que las crean, utilizan y emplean. Una vez establecidos, estos sistemas manifiestan un comportamiento inercial, son difíciles de desplazar, privilegian las innovaciones en el interior del mismo y bloquean tecnologías alternativas que puedan amenazar su estabilidad (</w:t>
      </w:r>
      <w:proofErr w:type="spellStart"/>
      <w:r w:rsidRPr="00D470F4">
        <w:rPr>
          <w:rFonts w:ascii="Times New Roman" w:hAnsi="Times New Roman" w:cs="Times New Roman"/>
          <w:color w:val="231F20"/>
          <w:spacing w:val="-4"/>
          <w:sz w:val="24"/>
          <w:szCs w:val="24"/>
          <w:lang w:val="es"/>
        </w:rPr>
        <w:t>Huberty</w:t>
      </w:r>
      <w:proofErr w:type="spellEnd"/>
      <w:r w:rsidRPr="00D470F4">
        <w:rPr>
          <w:rFonts w:ascii="Times New Roman" w:hAnsi="Times New Roman" w:cs="Times New Roman"/>
          <w:color w:val="231F20"/>
          <w:spacing w:val="-4"/>
          <w:sz w:val="24"/>
          <w:szCs w:val="24"/>
          <w:lang w:val="es"/>
        </w:rPr>
        <w:t>, 2013)</w:t>
      </w:r>
    </w:p>
    <w:p w14:paraId="10359672" w14:textId="77777777" w:rsidR="00262F75" w:rsidRPr="00D470F4" w:rsidRDefault="00262F7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La transición hacia un sistema energético “limpio”, como el que ofrecen las fuentes renovables, requiere cambios significativos no solo en tecnología, sino también en las </w:t>
      </w:r>
      <w:r w:rsidRPr="00D470F4">
        <w:rPr>
          <w:rFonts w:ascii="Times New Roman" w:hAnsi="Times New Roman" w:cs="Times New Roman"/>
          <w:color w:val="231F20"/>
          <w:spacing w:val="-4"/>
          <w:sz w:val="24"/>
          <w:szCs w:val="24"/>
          <w:lang w:val="es"/>
        </w:rPr>
        <w:lastRenderedPageBreak/>
        <w:t>legislaciones, los regímenes tarifarios, y en el comportamiento de los usuarios y adoptantes (</w:t>
      </w:r>
      <w:proofErr w:type="spellStart"/>
      <w:r w:rsidRPr="00D470F4">
        <w:rPr>
          <w:rFonts w:ascii="Times New Roman" w:hAnsi="Times New Roman" w:cs="Times New Roman"/>
          <w:color w:val="231F20"/>
          <w:spacing w:val="-4"/>
          <w:sz w:val="24"/>
          <w:szCs w:val="24"/>
          <w:lang w:val="es"/>
        </w:rPr>
        <w:t>Painuly</w:t>
      </w:r>
      <w:proofErr w:type="spellEnd"/>
      <w:r w:rsidRPr="00D470F4">
        <w:rPr>
          <w:rFonts w:ascii="Times New Roman" w:hAnsi="Times New Roman" w:cs="Times New Roman"/>
          <w:color w:val="231F20"/>
          <w:spacing w:val="-4"/>
          <w:sz w:val="24"/>
          <w:szCs w:val="24"/>
          <w:lang w:val="es"/>
        </w:rPr>
        <w:t xml:space="preserve"> 2001; </w:t>
      </w:r>
      <w:proofErr w:type="spellStart"/>
      <w:r w:rsidRPr="00D470F4">
        <w:rPr>
          <w:rFonts w:ascii="Times New Roman" w:hAnsi="Times New Roman" w:cs="Times New Roman"/>
          <w:color w:val="231F20"/>
          <w:spacing w:val="-4"/>
          <w:sz w:val="24"/>
          <w:szCs w:val="24"/>
          <w:lang w:val="es"/>
        </w:rPr>
        <w:t>Sovacool</w:t>
      </w:r>
      <w:proofErr w:type="spellEnd"/>
      <w:r w:rsidRPr="00D470F4">
        <w:rPr>
          <w:rFonts w:ascii="Times New Roman" w:hAnsi="Times New Roman" w:cs="Times New Roman"/>
          <w:color w:val="231F20"/>
          <w:spacing w:val="-4"/>
          <w:sz w:val="24"/>
          <w:szCs w:val="24"/>
          <w:lang w:val="es"/>
        </w:rPr>
        <w:t xml:space="preserve"> 2009). Desafortunadamente, los mercados privados no parecen impulsar está transición por sí mismos (</w:t>
      </w:r>
      <w:proofErr w:type="spellStart"/>
      <w:r w:rsidRPr="00D470F4">
        <w:rPr>
          <w:rFonts w:ascii="Times New Roman" w:hAnsi="Times New Roman" w:cs="Times New Roman"/>
          <w:color w:val="231F20"/>
          <w:spacing w:val="-4"/>
          <w:sz w:val="24"/>
          <w:szCs w:val="24"/>
          <w:lang w:val="es"/>
        </w:rPr>
        <w:t>Fri</w:t>
      </w:r>
      <w:proofErr w:type="spellEnd"/>
      <w:r w:rsidRPr="00D470F4">
        <w:rPr>
          <w:rFonts w:ascii="Times New Roman" w:hAnsi="Times New Roman" w:cs="Times New Roman"/>
          <w:color w:val="231F20"/>
          <w:spacing w:val="-4"/>
          <w:sz w:val="24"/>
          <w:szCs w:val="24"/>
          <w:lang w:val="es"/>
        </w:rPr>
        <w:t xml:space="preserve"> y </w:t>
      </w:r>
      <w:proofErr w:type="spellStart"/>
      <w:r w:rsidRPr="00D470F4">
        <w:rPr>
          <w:rFonts w:ascii="Times New Roman" w:hAnsi="Times New Roman" w:cs="Times New Roman"/>
          <w:color w:val="231F20"/>
          <w:spacing w:val="-4"/>
          <w:sz w:val="24"/>
          <w:szCs w:val="24"/>
          <w:lang w:val="es"/>
        </w:rPr>
        <w:t>Savitz</w:t>
      </w:r>
      <w:proofErr w:type="spellEnd"/>
      <w:r w:rsidRPr="00D470F4">
        <w:rPr>
          <w:rFonts w:ascii="Times New Roman" w:hAnsi="Times New Roman" w:cs="Times New Roman"/>
          <w:color w:val="231F20"/>
          <w:spacing w:val="-4"/>
          <w:sz w:val="24"/>
          <w:szCs w:val="24"/>
          <w:lang w:val="es"/>
        </w:rPr>
        <w:t>, 2014).</w:t>
      </w:r>
    </w:p>
    <w:p w14:paraId="72D942D7" w14:textId="77777777" w:rsidR="00262F75" w:rsidRPr="00D470F4" w:rsidRDefault="00262F7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Naturalmente, dada la inherente escasez de los recursos fósiles (por definición no renovables) es posible conjeturar que la transición energética es, en realidad, insoslayable. A medida que la reserva de </w:t>
      </w:r>
      <w:proofErr w:type="gramStart"/>
      <w:r w:rsidRPr="00D470F4">
        <w:rPr>
          <w:rFonts w:ascii="Times New Roman" w:hAnsi="Times New Roman" w:cs="Times New Roman"/>
          <w:color w:val="231F20"/>
          <w:spacing w:val="-4"/>
          <w:sz w:val="24"/>
          <w:szCs w:val="24"/>
          <w:lang w:val="es"/>
        </w:rPr>
        <w:t>hidrocarburos  -</w:t>
      </w:r>
      <w:proofErr w:type="gramEnd"/>
      <w:r w:rsidRPr="00D470F4">
        <w:rPr>
          <w:rFonts w:ascii="Times New Roman" w:hAnsi="Times New Roman" w:cs="Times New Roman"/>
          <w:color w:val="231F20"/>
          <w:spacing w:val="-4"/>
          <w:sz w:val="24"/>
          <w:szCs w:val="24"/>
          <w:lang w:val="es"/>
        </w:rPr>
        <w:t xml:space="preserve">el bosque subterráneo al que se refiere </w:t>
      </w:r>
      <w:proofErr w:type="spellStart"/>
      <w:r w:rsidRPr="00D470F4">
        <w:rPr>
          <w:rFonts w:ascii="Times New Roman" w:hAnsi="Times New Roman" w:cs="Times New Roman"/>
          <w:color w:val="231F20"/>
          <w:spacing w:val="-4"/>
          <w:sz w:val="24"/>
          <w:szCs w:val="24"/>
          <w:lang w:val="es"/>
        </w:rPr>
        <w:t>Sieferle</w:t>
      </w:r>
      <w:proofErr w:type="spellEnd"/>
      <w:r w:rsidRPr="00D470F4">
        <w:rPr>
          <w:rFonts w:ascii="Times New Roman" w:hAnsi="Times New Roman" w:cs="Times New Roman"/>
          <w:color w:val="231F20"/>
          <w:spacing w:val="-4"/>
          <w:sz w:val="24"/>
          <w:szCs w:val="24"/>
          <w:lang w:val="es"/>
        </w:rPr>
        <w:t xml:space="preserve"> (2000)- se vaya agotando y su precio crezca, la opción natural será la de adoptar fuentes renovables (Timmons et al. 2014). Esta mirada optimista, aunque esencialmente cierta, pierde de vista lo que el eminente sociólogo británico Anthony Giddens (dejando de lado toda pretensión de modestia) ha dado en llamar la “paradoja de Giddens”: el hecho de </w:t>
      </w:r>
      <w:proofErr w:type="gramStart"/>
      <w:r w:rsidRPr="00D470F4">
        <w:rPr>
          <w:rFonts w:ascii="Times New Roman" w:hAnsi="Times New Roman" w:cs="Times New Roman"/>
          <w:color w:val="231F20"/>
          <w:spacing w:val="-4"/>
          <w:sz w:val="24"/>
          <w:szCs w:val="24"/>
          <w:lang w:val="es"/>
        </w:rPr>
        <w:t>que</w:t>
      </w:r>
      <w:proofErr w:type="gramEnd"/>
      <w:r w:rsidRPr="00D470F4">
        <w:rPr>
          <w:rFonts w:ascii="Times New Roman" w:hAnsi="Times New Roman" w:cs="Times New Roman"/>
          <w:color w:val="231F20"/>
          <w:spacing w:val="-4"/>
          <w:sz w:val="24"/>
          <w:szCs w:val="24"/>
          <w:lang w:val="es"/>
        </w:rPr>
        <w:t xml:space="preserve"> al momento de tomar plena conciencia respecto al calentamiento global, sus efectos sean ya irreversibles. En efecto, el dióxido de carbono tiene, en términos humanos, una vida útil muy larga –de entre 500 y mil años (IPCC, 1996)-, por lo que una vez liberado a la atmósfera, sus efectos pueden seguir sintiéndose por siglos.</w:t>
      </w:r>
    </w:p>
    <w:p w14:paraId="13E6317D" w14:textId="77777777" w:rsidR="00262F75" w:rsidRPr="00D470F4" w:rsidRDefault="00262F7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 Por lo tanto, la velocidad a la que tenga lugar la transición hacia fuentes no contaminantes es un elemento crítico a tener en cuenta (</w:t>
      </w:r>
      <w:proofErr w:type="spellStart"/>
      <w:r w:rsidRPr="00D470F4">
        <w:rPr>
          <w:rFonts w:ascii="Times New Roman" w:hAnsi="Times New Roman" w:cs="Times New Roman"/>
          <w:color w:val="231F20"/>
          <w:spacing w:val="-4"/>
          <w:sz w:val="24"/>
          <w:szCs w:val="24"/>
          <w:lang w:val="es"/>
        </w:rPr>
        <w:t>Sovacool</w:t>
      </w:r>
      <w:proofErr w:type="spellEnd"/>
      <w:r w:rsidRPr="00D470F4">
        <w:rPr>
          <w:rFonts w:ascii="Times New Roman" w:hAnsi="Times New Roman" w:cs="Times New Roman"/>
          <w:color w:val="231F20"/>
          <w:spacing w:val="-4"/>
          <w:sz w:val="24"/>
          <w:szCs w:val="24"/>
          <w:lang w:val="es"/>
        </w:rPr>
        <w:t>, 2016). Según señala la Agencia Internacional de la Energía (2012: 3) si "no se toman medidas para reducir las emisiones de CO2 antes de 2017, todas las emisiones de CO2 permisibles quedarían bloqueadas por la infraestructura energética existente en ese momento". En otras palabras, si la transición no ocurre rápidamente, puede que se vuelva demasiado tarde (</w:t>
      </w:r>
      <w:proofErr w:type="spellStart"/>
      <w:r w:rsidRPr="00D470F4">
        <w:rPr>
          <w:rFonts w:ascii="Times New Roman" w:hAnsi="Times New Roman" w:cs="Times New Roman"/>
          <w:color w:val="231F20"/>
          <w:spacing w:val="-4"/>
          <w:sz w:val="24"/>
          <w:szCs w:val="24"/>
          <w:lang w:val="es"/>
        </w:rPr>
        <w:t>Arent</w:t>
      </w:r>
      <w:proofErr w:type="spellEnd"/>
      <w:r w:rsidRPr="00D470F4">
        <w:rPr>
          <w:rFonts w:ascii="Times New Roman" w:hAnsi="Times New Roman" w:cs="Times New Roman"/>
          <w:color w:val="231F20"/>
          <w:spacing w:val="-4"/>
          <w:sz w:val="24"/>
          <w:szCs w:val="24"/>
          <w:lang w:val="es"/>
        </w:rPr>
        <w:t xml:space="preserve"> et al, 2017).</w:t>
      </w:r>
    </w:p>
    <w:p w14:paraId="010533CC" w14:textId="77777777" w:rsidR="00262F75" w:rsidRPr="00D470F4" w:rsidRDefault="00262F7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Una transición hacia fuentes energéticas renovables implicará el cambio de recursos entre grupos políticos y sectores económicos en competencia, junto con la modificación de los marcos institucionales (Ibidem). Las partes interesadas en este proceso tienen diversos grados de poder político y económico. Entender cómo los factores de economía política influyen en las transiciones de energía limpia es crucial para la formulación de políticas </w:t>
      </w:r>
      <w:r w:rsidRPr="00D470F4">
        <w:rPr>
          <w:rFonts w:ascii="Times New Roman" w:hAnsi="Times New Roman" w:cs="Times New Roman"/>
          <w:color w:val="231F20"/>
          <w:spacing w:val="-4"/>
          <w:sz w:val="24"/>
          <w:szCs w:val="24"/>
          <w:lang w:val="es"/>
        </w:rPr>
        <w:lastRenderedPageBreak/>
        <w:t xml:space="preserve">efectivas y para facilitar las transiciones hacia sistemas de energía sostenibles (Stern, 2006: 4). Según </w:t>
      </w:r>
      <w:proofErr w:type="spellStart"/>
      <w:r w:rsidRPr="00D470F4">
        <w:rPr>
          <w:rFonts w:ascii="Times New Roman" w:hAnsi="Times New Roman" w:cs="Times New Roman"/>
          <w:color w:val="231F20"/>
          <w:spacing w:val="-4"/>
          <w:sz w:val="24"/>
          <w:szCs w:val="24"/>
          <w:lang w:val="es"/>
        </w:rPr>
        <w:t>Princen</w:t>
      </w:r>
      <w:proofErr w:type="spellEnd"/>
      <w:r w:rsidRPr="00D470F4">
        <w:rPr>
          <w:rFonts w:ascii="Times New Roman" w:hAnsi="Times New Roman" w:cs="Times New Roman"/>
          <w:color w:val="231F20"/>
          <w:spacing w:val="-4"/>
          <w:sz w:val="24"/>
          <w:szCs w:val="24"/>
          <w:lang w:val="es"/>
        </w:rPr>
        <w:t xml:space="preserve"> et al.:</w:t>
      </w:r>
    </w:p>
    <w:p w14:paraId="60E72EE0" w14:textId="77777777" w:rsidR="00EE139A" w:rsidRPr="00D470F4" w:rsidRDefault="00262F75" w:rsidP="00132D23">
      <w:pPr>
        <w:pStyle w:val="Textoindependiente"/>
        <w:spacing w:before="33" w:line="480" w:lineRule="auto"/>
        <w:ind w:left="567"/>
        <w:rPr>
          <w:rFonts w:ascii="Times New Roman" w:hAnsi="Times New Roman" w:cs="Times New Roman"/>
          <w:color w:val="231F20"/>
          <w:spacing w:val="-4"/>
          <w:sz w:val="24"/>
          <w:szCs w:val="24"/>
          <w:lang w:val="es"/>
        </w:rPr>
      </w:pPr>
      <w:r w:rsidRPr="00D470F4">
        <w:rPr>
          <w:rFonts w:ascii="Times New Roman" w:hAnsi="Times New Roman" w:cs="Times New Roman"/>
          <w:i/>
          <w:color w:val="231F20"/>
          <w:spacing w:val="-4"/>
          <w:sz w:val="24"/>
          <w:szCs w:val="24"/>
          <w:lang w:val="es"/>
        </w:rPr>
        <w:t>…faltan en la formulación de gestión global del problema los actores (…) que se organizan para sacar de la tierra los combustibles fósiles: las compañías privadas y estatales de petróleo, gas y carbón y las herramientas de desarrollo industrial de los gobiernos. Faltan las complejas redes de actores que logran la notable transformación de las materias primas en productos utilizables (por ejemplo, consignadores, refinadores, fabricantes, distribuidores, compañías petroquímicas), aseguran el flujo de dichos materiales (seguridad interna y sistemas judiciales, fuerzas de seguridad internacionales), y financian todo (banqueros, inversores, consumidores).</w:t>
      </w:r>
      <w:r w:rsidRPr="00D470F4">
        <w:rPr>
          <w:rFonts w:ascii="Times New Roman" w:hAnsi="Times New Roman" w:cs="Times New Roman"/>
          <w:color w:val="231F20"/>
          <w:spacing w:val="-4"/>
          <w:sz w:val="24"/>
          <w:szCs w:val="24"/>
          <w:lang w:val="es"/>
        </w:rPr>
        <w:t xml:space="preserve"> </w:t>
      </w:r>
    </w:p>
    <w:p w14:paraId="3FA0D31B" w14:textId="6328E94F" w:rsidR="00262F75" w:rsidRPr="00D470F4" w:rsidRDefault="00EE139A"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L</w:t>
      </w:r>
      <w:r w:rsidR="00262F75" w:rsidRPr="00D470F4">
        <w:rPr>
          <w:rFonts w:ascii="Times New Roman" w:hAnsi="Times New Roman" w:cs="Times New Roman"/>
          <w:color w:val="231F20"/>
          <w:spacing w:val="-4"/>
          <w:sz w:val="24"/>
          <w:szCs w:val="24"/>
          <w:lang w:val="es"/>
        </w:rPr>
        <w:t>a mayor parte de la atención en el mundo académico está en el primer grupo de actores. Ciertamente, casi todos los fondos van a la ciencia, algunos a la economía y las relaciones intergubernamentales, pero casi nada a la comprensión de lo política economía de extracción y combustión. (2015: 6)</w:t>
      </w:r>
    </w:p>
    <w:p w14:paraId="0DF7F49A" w14:textId="0D00725C" w:rsidR="00262F75" w:rsidRPr="00D470F4" w:rsidRDefault="00262F7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De tal modo, uno de los problemas de la transición energética es que existen claros y evidentes beneficiarios del sistema energético tal y como está conformado que pueden constituirse en poderosos agentes de veto (</w:t>
      </w:r>
      <w:proofErr w:type="spellStart"/>
      <w:r w:rsidRPr="00D470F4">
        <w:rPr>
          <w:rFonts w:ascii="Times New Roman" w:hAnsi="Times New Roman" w:cs="Times New Roman"/>
          <w:color w:val="231F20"/>
          <w:spacing w:val="-4"/>
          <w:sz w:val="24"/>
          <w:szCs w:val="24"/>
          <w:lang w:val="es"/>
        </w:rPr>
        <w:t>Bayulgen</w:t>
      </w:r>
      <w:proofErr w:type="spellEnd"/>
      <w:r w:rsidRPr="00D470F4">
        <w:rPr>
          <w:rFonts w:ascii="Times New Roman" w:hAnsi="Times New Roman" w:cs="Times New Roman"/>
          <w:color w:val="231F20"/>
          <w:spacing w:val="-4"/>
          <w:sz w:val="24"/>
          <w:szCs w:val="24"/>
          <w:lang w:val="es"/>
        </w:rPr>
        <w:t xml:space="preserve"> et al., 2016; </w:t>
      </w:r>
      <w:proofErr w:type="spellStart"/>
      <w:r w:rsidRPr="00D470F4">
        <w:rPr>
          <w:rFonts w:ascii="Times New Roman" w:hAnsi="Times New Roman" w:cs="Times New Roman"/>
          <w:color w:val="231F20"/>
          <w:spacing w:val="-4"/>
          <w:sz w:val="24"/>
          <w:szCs w:val="24"/>
          <w:lang w:val="es"/>
        </w:rPr>
        <w:t>Busby</w:t>
      </w:r>
      <w:proofErr w:type="spellEnd"/>
      <w:r w:rsidRPr="00D470F4">
        <w:rPr>
          <w:rFonts w:ascii="Times New Roman" w:hAnsi="Times New Roman" w:cs="Times New Roman"/>
          <w:color w:val="231F20"/>
          <w:spacing w:val="-4"/>
          <w:sz w:val="24"/>
          <w:szCs w:val="24"/>
          <w:lang w:val="es"/>
        </w:rPr>
        <w:t>, 2008). Una transición energética implica afectar de manera directa intereses concentrados y poner en riesgo el desarrollo económico, lo cual, en última instancia, mina las bases de legitimidad de un régimen. En efecto, diversos estudios han puesto en evidencia la estrecha relación existente tanto entre consumo energético y producto bruto interno (Boden et al., 2009) como entre desarrollo económico y estabilidad democrática (</w:t>
      </w:r>
      <w:proofErr w:type="spellStart"/>
      <w:r w:rsidRPr="00D470F4">
        <w:rPr>
          <w:rFonts w:ascii="Times New Roman" w:hAnsi="Times New Roman" w:cs="Times New Roman"/>
          <w:color w:val="231F20"/>
          <w:spacing w:val="-4"/>
          <w:sz w:val="24"/>
          <w:szCs w:val="24"/>
          <w:lang w:val="es"/>
        </w:rPr>
        <w:t>Lipset</w:t>
      </w:r>
      <w:proofErr w:type="spellEnd"/>
      <w:r w:rsidRPr="00D470F4">
        <w:rPr>
          <w:rFonts w:ascii="Times New Roman" w:hAnsi="Times New Roman" w:cs="Times New Roman"/>
          <w:color w:val="231F20"/>
          <w:spacing w:val="-4"/>
          <w:sz w:val="24"/>
          <w:szCs w:val="24"/>
          <w:lang w:val="es"/>
        </w:rPr>
        <w:t xml:space="preserve">, 1959). </w:t>
      </w:r>
    </w:p>
    <w:p w14:paraId="652FE493" w14:textId="77777777" w:rsidR="00D31814" w:rsidRPr="00D470F4" w:rsidRDefault="00D31814" w:rsidP="00132D23">
      <w:pPr>
        <w:pStyle w:val="Textoindependiente"/>
        <w:spacing w:before="33" w:line="480" w:lineRule="auto"/>
        <w:ind w:left="116"/>
        <w:rPr>
          <w:rFonts w:ascii="Times New Roman" w:hAnsi="Times New Roman" w:cs="Times New Roman"/>
          <w:color w:val="231F20"/>
          <w:spacing w:val="-4"/>
          <w:sz w:val="24"/>
          <w:szCs w:val="24"/>
          <w:lang w:val="es"/>
        </w:rPr>
      </w:pPr>
    </w:p>
    <w:p w14:paraId="7C6F7861" w14:textId="77777777" w:rsidR="00262F75" w:rsidRPr="00D470F4" w:rsidRDefault="00262F75" w:rsidP="00132D23">
      <w:pPr>
        <w:pStyle w:val="Textoindependiente"/>
        <w:spacing w:before="33" w:line="480" w:lineRule="auto"/>
        <w:ind w:left="116"/>
        <w:rPr>
          <w:rFonts w:ascii="Times New Roman" w:hAnsi="Times New Roman" w:cs="Times New Roman"/>
          <w:b/>
          <w:color w:val="231F20"/>
          <w:spacing w:val="-4"/>
          <w:sz w:val="24"/>
          <w:szCs w:val="24"/>
          <w:lang w:val="es"/>
        </w:rPr>
      </w:pPr>
      <w:r w:rsidRPr="00D470F4">
        <w:rPr>
          <w:rFonts w:ascii="Times New Roman" w:hAnsi="Times New Roman" w:cs="Times New Roman"/>
          <w:color w:val="231F20"/>
          <w:spacing w:val="-4"/>
          <w:sz w:val="24"/>
          <w:szCs w:val="24"/>
          <w:lang w:val="es"/>
        </w:rPr>
        <w:t>2.</w:t>
      </w:r>
      <w:r w:rsidRPr="00D470F4">
        <w:rPr>
          <w:rFonts w:ascii="Times New Roman" w:hAnsi="Times New Roman" w:cs="Times New Roman"/>
          <w:b/>
          <w:color w:val="231F20"/>
          <w:spacing w:val="-4"/>
          <w:sz w:val="24"/>
          <w:szCs w:val="24"/>
          <w:lang w:val="es"/>
        </w:rPr>
        <w:tab/>
        <w:t>El cambio climático como problema de acción colectiva global.</w:t>
      </w:r>
    </w:p>
    <w:p w14:paraId="5B6A2988" w14:textId="47036068" w:rsidR="00262F75" w:rsidRPr="00D470F4" w:rsidRDefault="00262F7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A menudo, el calentamiento global ha sido incluido dentro de los dilemas de los recursos de </w:t>
      </w:r>
      <w:r w:rsidRPr="00D470F4">
        <w:rPr>
          <w:rFonts w:ascii="Times New Roman" w:hAnsi="Times New Roman" w:cs="Times New Roman"/>
          <w:color w:val="231F20"/>
          <w:spacing w:val="-4"/>
          <w:sz w:val="24"/>
          <w:szCs w:val="24"/>
          <w:lang w:val="es"/>
        </w:rPr>
        <w:lastRenderedPageBreak/>
        <w:t xml:space="preserve">uso común. En 1968, la publicación del </w:t>
      </w:r>
      <w:r w:rsidR="00D31814" w:rsidRPr="00D470F4">
        <w:rPr>
          <w:rFonts w:ascii="Times New Roman" w:hAnsi="Times New Roman" w:cs="Times New Roman"/>
          <w:color w:val="231F20"/>
          <w:spacing w:val="-4"/>
          <w:sz w:val="24"/>
          <w:szCs w:val="24"/>
          <w:lang w:val="es"/>
        </w:rPr>
        <w:t>biólogo</w:t>
      </w:r>
      <w:r w:rsidRPr="00D470F4">
        <w:rPr>
          <w:rFonts w:ascii="Times New Roman" w:hAnsi="Times New Roman" w:cs="Times New Roman"/>
          <w:color w:val="231F20"/>
          <w:spacing w:val="-4"/>
          <w:sz w:val="24"/>
          <w:szCs w:val="24"/>
          <w:lang w:val="es"/>
        </w:rPr>
        <w:t xml:space="preserve"> Garret Hardin “La tragedia de los comunes” en la prestigiosa revista </w:t>
      </w:r>
      <w:proofErr w:type="spellStart"/>
      <w:r w:rsidRPr="00D470F4">
        <w:rPr>
          <w:rFonts w:ascii="Times New Roman" w:hAnsi="Times New Roman" w:cs="Times New Roman"/>
          <w:i/>
          <w:color w:val="231F20"/>
          <w:spacing w:val="-4"/>
          <w:sz w:val="24"/>
          <w:szCs w:val="24"/>
          <w:lang w:val="es"/>
        </w:rPr>
        <w:t>Science</w:t>
      </w:r>
      <w:proofErr w:type="spellEnd"/>
      <w:r w:rsidRPr="00D470F4">
        <w:rPr>
          <w:rFonts w:ascii="Times New Roman" w:hAnsi="Times New Roman" w:cs="Times New Roman"/>
          <w:color w:val="231F20"/>
          <w:spacing w:val="-4"/>
          <w:sz w:val="24"/>
          <w:szCs w:val="24"/>
          <w:lang w:val="es"/>
        </w:rPr>
        <w:t xml:space="preserve"> provocó un impacto de largo aliento en las ciencias sociales. Su artículo, de inconfundibles ecos malthusianos, no era extremadamente original, en tanto se asentaba en una larga tradición de reflexión teórica remontable hasta Aristóteles (Ostrom, 2000). Sin embargo, tenía el mérito de exponer con claridad el dilema al que se enfrentaban los recursos de propiedad común, presionados por el crecimiento demográfico. Hardin utilizaba la metáfora de dos pastores racionales que, al compartir un pastizal común, se verán impulsados a acrecentar </w:t>
      </w:r>
      <w:r w:rsidR="00D31814" w:rsidRPr="00D470F4">
        <w:rPr>
          <w:rFonts w:ascii="Times New Roman" w:hAnsi="Times New Roman" w:cs="Times New Roman"/>
          <w:color w:val="231F20"/>
          <w:spacing w:val="-4"/>
          <w:sz w:val="24"/>
          <w:szCs w:val="24"/>
          <w:lang w:val="es"/>
        </w:rPr>
        <w:t>individualmente</w:t>
      </w:r>
      <w:r w:rsidRPr="00D470F4">
        <w:rPr>
          <w:rFonts w:ascii="Times New Roman" w:hAnsi="Times New Roman" w:cs="Times New Roman"/>
          <w:color w:val="231F20"/>
          <w:spacing w:val="-4"/>
          <w:sz w:val="24"/>
          <w:szCs w:val="24"/>
          <w:lang w:val="es"/>
        </w:rPr>
        <w:t xml:space="preserve"> el número de sus animales, resultando eventualmente en la sobrecarga del ecosistema y la ruina para ambos.</w:t>
      </w:r>
    </w:p>
    <w:p w14:paraId="12C82FD5" w14:textId="795709A4" w:rsidR="00262F75" w:rsidRPr="00D470F4" w:rsidRDefault="00262F7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En términos generales, la propuesta de Hardin incluía la división y privatización de los recursos comunes para evitar su </w:t>
      </w:r>
      <w:r w:rsidR="00D31814" w:rsidRPr="00D470F4">
        <w:rPr>
          <w:rFonts w:ascii="Times New Roman" w:hAnsi="Times New Roman" w:cs="Times New Roman"/>
          <w:color w:val="231F20"/>
          <w:spacing w:val="-4"/>
          <w:sz w:val="24"/>
          <w:szCs w:val="24"/>
          <w:lang w:val="es"/>
        </w:rPr>
        <w:t>sobreexplotación</w:t>
      </w:r>
      <w:r w:rsidRPr="00D470F4">
        <w:rPr>
          <w:rFonts w:ascii="Times New Roman" w:hAnsi="Times New Roman" w:cs="Times New Roman"/>
          <w:color w:val="231F20"/>
          <w:spacing w:val="-4"/>
          <w:sz w:val="24"/>
          <w:szCs w:val="24"/>
          <w:lang w:val="es"/>
        </w:rPr>
        <w:t xml:space="preserve">. Sin embargo, el autor abordaba directamente el problema de aquellos recursos, como el aire y el agua, que “no se pueden cercar fácilmente” (Hardin, 1968: 11), insistiendo en la necesidad de desarrollar mecanismos coercitivos desde el Estado para evitar la tragedia: </w:t>
      </w:r>
    </w:p>
    <w:p w14:paraId="24DFC7A9" w14:textId="77777777" w:rsidR="00262F75" w:rsidRPr="00D470F4" w:rsidRDefault="00262F7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La tragedia de concebir a los recursos comunes como una canasta de alimentos se desvirtúa con la propiedad privada, o con algo formalmente parecido. Pero el aire y el agua que nos rodean no se pueden cercar fácilmente, por lo que la tragedia de los recursos comunes al ser tratados como un pozo sin fondo debe evitarse de diferentes maneras, ya sea por medio de leyes coercitivas o mecanismos fiscales que hagan más barato para el contaminador el tratar sus desechos antes de deshacerse de ellos sin tratarlos. (Hardin, 1968: 11)</w:t>
      </w:r>
    </w:p>
    <w:p w14:paraId="37FB6A99" w14:textId="457C4058" w:rsidR="00262F75" w:rsidRPr="00D470F4" w:rsidRDefault="00262F7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De esta manera, Hardin, anticipándose a la puesta en agenda del cambio climático, marcaba los lineamientos generales en los que sería, </w:t>
      </w:r>
      <w:r w:rsidR="00EF27A1" w:rsidRPr="00D470F4">
        <w:rPr>
          <w:rFonts w:ascii="Times New Roman" w:hAnsi="Times New Roman" w:cs="Times New Roman"/>
          <w:color w:val="231F20"/>
          <w:spacing w:val="-4"/>
          <w:sz w:val="24"/>
          <w:szCs w:val="24"/>
          <w:lang w:val="es"/>
        </w:rPr>
        <w:t>tradicionalmente, enmarcado</w:t>
      </w:r>
      <w:r w:rsidRPr="00D470F4">
        <w:rPr>
          <w:rFonts w:ascii="Times New Roman" w:hAnsi="Times New Roman" w:cs="Times New Roman"/>
          <w:color w:val="231F20"/>
          <w:spacing w:val="-4"/>
          <w:sz w:val="24"/>
          <w:szCs w:val="24"/>
          <w:lang w:val="es"/>
        </w:rPr>
        <w:t xml:space="preserve"> el problema (Thompson, 2006). La comunidad académica, entusiasmada por el éxito obtenido en la reducción de </w:t>
      </w:r>
      <w:r w:rsidR="00EE139A" w:rsidRPr="00D470F4">
        <w:rPr>
          <w:rFonts w:ascii="Times New Roman" w:hAnsi="Times New Roman" w:cs="Times New Roman"/>
          <w:color w:val="231F20"/>
          <w:spacing w:val="-4"/>
          <w:sz w:val="24"/>
          <w:szCs w:val="24"/>
          <w:lang w:val="es"/>
        </w:rPr>
        <w:t>los gases</w:t>
      </w:r>
      <w:r w:rsidRPr="00D470F4">
        <w:rPr>
          <w:rFonts w:ascii="Times New Roman" w:hAnsi="Times New Roman" w:cs="Times New Roman"/>
          <w:color w:val="231F20"/>
          <w:spacing w:val="-4"/>
          <w:sz w:val="24"/>
          <w:szCs w:val="24"/>
          <w:lang w:val="es"/>
        </w:rPr>
        <w:t xml:space="preserve"> que afectaban la capa de ozono (Mitchell 2006; </w:t>
      </w:r>
      <w:proofErr w:type="spellStart"/>
      <w:r w:rsidRPr="00D470F4">
        <w:rPr>
          <w:rFonts w:ascii="Times New Roman" w:hAnsi="Times New Roman" w:cs="Times New Roman"/>
          <w:color w:val="231F20"/>
          <w:spacing w:val="-4"/>
          <w:sz w:val="24"/>
          <w:szCs w:val="24"/>
          <w:lang w:val="es"/>
        </w:rPr>
        <w:t>Bernauer</w:t>
      </w:r>
      <w:proofErr w:type="spellEnd"/>
      <w:r w:rsidRPr="00D470F4">
        <w:rPr>
          <w:rFonts w:ascii="Times New Roman" w:hAnsi="Times New Roman" w:cs="Times New Roman"/>
          <w:color w:val="231F20"/>
          <w:spacing w:val="-4"/>
          <w:sz w:val="24"/>
          <w:szCs w:val="24"/>
          <w:lang w:val="es"/>
        </w:rPr>
        <w:t xml:space="preserve">, 2013), creyó que el establecimiento de un marco normativo internacional, acompañado de </w:t>
      </w:r>
      <w:r w:rsidRPr="00D470F4">
        <w:rPr>
          <w:rFonts w:ascii="Times New Roman" w:hAnsi="Times New Roman" w:cs="Times New Roman"/>
          <w:color w:val="231F20"/>
          <w:spacing w:val="-4"/>
          <w:sz w:val="24"/>
          <w:szCs w:val="24"/>
          <w:lang w:val="es"/>
        </w:rPr>
        <w:lastRenderedPageBreak/>
        <w:t>mecanismos fiscales, serían suficientes para restringir el uso de combustibles fósiles.</w:t>
      </w:r>
    </w:p>
    <w:p w14:paraId="43353F02" w14:textId="5C354B51" w:rsidR="00262F75" w:rsidRPr="00D470F4" w:rsidRDefault="005959CB"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Íntimamente</w:t>
      </w:r>
      <w:r w:rsidR="00262F75" w:rsidRPr="00D470F4">
        <w:rPr>
          <w:rFonts w:ascii="Times New Roman" w:hAnsi="Times New Roman" w:cs="Times New Roman"/>
          <w:color w:val="231F20"/>
          <w:spacing w:val="-4"/>
          <w:sz w:val="24"/>
          <w:szCs w:val="24"/>
          <w:lang w:val="es"/>
        </w:rPr>
        <w:t xml:space="preserve"> ligada con el marco de la tragedia de los comunes, la acción por el clima también ha sido caracterizada como un ejemplo de problemas de acción colectiva a nivel global (Taylor, 2014). De acuerdo a la tesis de </w:t>
      </w:r>
      <w:proofErr w:type="spellStart"/>
      <w:r w:rsidR="00262F75" w:rsidRPr="00D470F4">
        <w:rPr>
          <w:rFonts w:ascii="Times New Roman" w:hAnsi="Times New Roman" w:cs="Times New Roman"/>
          <w:color w:val="231F20"/>
          <w:spacing w:val="-4"/>
          <w:sz w:val="24"/>
          <w:szCs w:val="24"/>
          <w:lang w:val="es"/>
        </w:rPr>
        <w:t>Mancur</w:t>
      </w:r>
      <w:proofErr w:type="spellEnd"/>
      <w:r w:rsidR="00262F75" w:rsidRPr="00D470F4">
        <w:rPr>
          <w:rFonts w:ascii="Times New Roman" w:hAnsi="Times New Roman" w:cs="Times New Roman"/>
          <w:color w:val="231F20"/>
          <w:spacing w:val="-4"/>
          <w:sz w:val="24"/>
          <w:szCs w:val="24"/>
          <w:lang w:val="es"/>
        </w:rPr>
        <w:t xml:space="preserve"> Olson “a menos que el número de individuos sea muy pequeño, o a amenos que exista coerción o algún otro dispositivo especial, …, individuos racionales con intereses propios no </w:t>
      </w:r>
      <w:r w:rsidR="00EF27A1" w:rsidRPr="00D470F4">
        <w:rPr>
          <w:rFonts w:ascii="Times New Roman" w:hAnsi="Times New Roman" w:cs="Times New Roman"/>
          <w:color w:val="231F20"/>
          <w:spacing w:val="-4"/>
          <w:sz w:val="24"/>
          <w:szCs w:val="24"/>
          <w:lang w:val="es"/>
        </w:rPr>
        <w:t>acatarán</w:t>
      </w:r>
      <w:r w:rsidR="00262F75" w:rsidRPr="00D470F4">
        <w:rPr>
          <w:rFonts w:ascii="Times New Roman" w:hAnsi="Times New Roman" w:cs="Times New Roman"/>
          <w:color w:val="231F20"/>
          <w:spacing w:val="-4"/>
          <w:sz w:val="24"/>
          <w:szCs w:val="24"/>
          <w:lang w:val="es"/>
        </w:rPr>
        <w:t xml:space="preserve"> para lograr sus intereses comunes o de grupo” (1965: 2) </w:t>
      </w:r>
    </w:p>
    <w:p w14:paraId="6CBEF7E1" w14:textId="77777777" w:rsidR="00262F75" w:rsidRPr="00D470F4" w:rsidRDefault="00262F7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Del mismo modo, podríamos pensar que enfrentados al dilema de la emisión de gases de efecto invernadero, los estados nacionales actuando racionalmente son empujados individualmente a maximizar su utilidad inmediata, de manera tal que se perjudican en conjunto en el largo plazo. Realizar la transición hacia fuentes energéticas renovables tiene claros costos individuales e implica un riesgo para la competitividad de un determinado país. Ante la ausencia de organismos con poder coercitivo de carácter global, no existen garantías de que un estado cumpla con sus compromisos ambientales, reproduciéndose el problema del free-</w:t>
      </w:r>
      <w:proofErr w:type="spellStart"/>
      <w:r w:rsidRPr="00D470F4">
        <w:rPr>
          <w:rFonts w:ascii="Times New Roman" w:hAnsi="Times New Roman" w:cs="Times New Roman"/>
          <w:color w:val="231F20"/>
          <w:spacing w:val="-4"/>
          <w:sz w:val="24"/>
          <w:szCs w:val="24"/>
          <w:lang w:val="es"/>
        </w:rPr>
        <w:t>rider</w:t>
      </w:r>
      <w:proofErr w:type="spellEnd"/>
      <w:r w:rsidRPr="00D470F4">
        <w:rPr>
          <w:rFonts w:ascii="Times New Roman" w:hAnsi="Times New Roman" w:cs="Times New Roman"/>
          <w:color w:val="231F20"/>
          <w:spacing w:val="-4"/>
          <w:sz w:val="24"/>
          <w:szCs w:val="24"/>
          <w:lang w:val="es"/>
        </w:rPr>
        <w:t xml:space="preserve"> (Ward et al., 2001).</w:t>
      </w:r>
    </w:p>
    <w:p w14:paraId="75386FDE" w14:textId="77777777" w:rsidR="00262F75" w:rsidRPr="00D470F4" w:rsidRDefault="00262F7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Asimismo, la acción por el clima representa un bien público global de cuyos potenciales beneficios es imposible excluir a otro estado. La contribución individual a la disminución de la emisión de gases de efecto invernadero es insignificante en ausencia de idéntica conducta en el resto de los actores, encuadrando en el problema de los grandes grupos descripto por Olson.</w:t>
      </w:r>
    </w:p>
    <w:p w14:paraId="11287EAE" w14:textId="6A1E0979" w:rsidR="00262F75" w:rsidRPr="00D470F4" w:rsidRDefault="00262F7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Un problema adicional es el de las diferentes tasas de descuento social entre países desarrollados y subdesarrollados. Según </w:t>
      </w:r>
      <w:proofErr w:type="spellStart"/>
      <w:r w:rsidRPr="00D470F4">
        <w:rPr>
          <w:rFonts w:ascii="Times New Roman" w:hAnsi="Times New Roman" w:cs="Times New Roman"/>
          <w:color w:val="231F20"/>
          <w:spacing w:val="-4"/>
          <w:sz w:val="24"/>
          <w:szCs w:val="24"/>
          <w:lang w:val="es"/>
        </w:rPr>
        <w:t>Spilker</w:t>
      </w:r>
      <w:proofErr w:type="spellEnd"/>
      <w:r w:rsidRPr="00D470F4">
        <w:rPr>
          <w:rFonts w:ascii="Times New Roman" w:hAnsi="Times New Roman" w:cs="Times New Roman"/>
          <w:color w:val="231F20"/>
          <w:spacing w:val="-4"/>
          <w:sz w:val="24"/>
          <w:szCs w:val="24"/>
          <w:lang w:val="es"/>
        </w:rPr>
        <w:t>, estos últimos manifiestan una preferencia temporal del tipo “crecer primero, limpiar más tarde” (</w:t>
      </w:r>
      <w:proofErr w:type="spellStart"/>
      <w:r w:rsidRPr="00D470F4">
        <w:rPr>
          <w:rFonts w:ascii="Times New Roman" w:hAnsi="Times New Roman" w:cs="Times New Roman"/>
          <w:color w:val="231F20"/>
          <w:spacing w:val="-4"/>
          <w:sz w:val="24"/>
          <w:szCs w:val="24"/>
          <w:lang w:val="es"/>
        </w:rPr>
        <w:t>Spilker</w:t>
      </w:r>
      <w:proofErr w:type="spellEnd"/>
      <w:r w:rsidRPr="00D470F4">
        <w:rPr>
          <w:rFonts w:ascii="Times New Roman" w:hAnsi="Times New Roman" w:cs="Times New Roman"/>
          <w:color w:val="231F20"/>
          <w:spacing w:val="-4"/>
          <w:sz w:val="24"/>
          <w:szCs w:val="24"/>
          <w:lang w:val="es"/>
        </w:rPr>
        <w:t xml:space="preserve"> 2012), mientras que los primeros tienen incentivos para invertir en políticas de adaptación de las que pueden beneficiarse directamente, independientemente de cómo actúe otro estado.</w:t>
      </w:r>
    </w:p>
    <w:p w14:paraId="59908365" w14:textId="1A36DEBB" w:rsidR="00262F75" w:rsidRPr="00D470F4" w:rsidRDefault="00262F7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lastRenderedPageBreak/>
        <w:t xml:space="preserve">La metáfora de la “tragedia de los comunes” actúa como un marco analítico cuyo efecto es el de </w:t>
      </w:r>
      <w:r w:rsidR="00EF27A1" w:rsidRPr="00D470F4">
        <w:rPr>
          <w:rFonts w:ascii="Times New Roman" w:hAnsi="Times New Roman" w:cs="Times New Roman"/>
          <w:color w:val="231F20"/>
          <w:spacing w:val="-4"/>
          <w:sz w:val="24"/>
          <w:szCs w:val="24"/>
          <w:lang w:val="es"/>
        </w:rPr>
        <w:t>simplificar</w:t>
      </w:r>
      <w:r w:rsidRPr="00D470F4">
        <w:rPr>
          <w:rFonts w:ascii="Times New Roman" w:hAnsi="Times New Roman" w:cs="Times New Roman"/>
          <w:color w:val="231F20"/>
          <w:spacing w:val="-4"/>
          <w:sz w:val="24"/>
          <w:szCs w:val="24"/>
          <w:lang w:val="es"/>
        </w:rPr>
        <w:t xml:space="preserve"> una problemática compleja para una comprensión más </w:t>
      </w:r>
      <w:r w:rsidR="00EF27A1" w:rsidRPr="00D470F4">
        <w:rPr>
          <w:rFonts w:ascii="Times New Roman" w:hAnsi="Times New Roman" w:cs="Times New Roman"/>
          <w:color w:val="231F20"/>
          <w:spacing w:val="-4"/>
          <w:sz w:val="24"/>
          <w:szCs w:val="24"/>
          <w:lang w:val="es"/>
        </w:rPr>
        <w:t>intuitiva</w:t>
      </w:r>
      <w:r w:rsidRPr="00D470F4">
        <w:rPr>
          <w:rFonts w:ascii="Times New Roman" w:hAnsi="Times New Roman" w:cs="Times New Roman"/>
          <w:color w:val="231F20"/>
          <w:spacing w:val="-4"/>
          <w:sz w:val="24"/>
          <w:szCs w:val="24"/>
          <w:lang w:val="es"/>
        </w:rPr>
        <w:t xml:space="preserve"> de la misma (</w:t>
      </w:r>
      <w:proofErr w:type="spellStart"/>
      <w:r w:rsidRPr="00D470F4">
        <w:rPr>
          <w:rFonts w:ascii="Times New Roman" w:hAnsi="Times New Roman" w:cs="Times New Roman"/>
          <w:color w:val="231F20"/>
          <w:spacing w:val="-4"/>
          <w:sz w:val="24"/>
          <w:szCs w:val="24"/>
          <w:lang w:val="es"/>
        </w:rPr>
        <w:t>Dennet</w:t>
      </w:r>
      <w:proofErr w:type="spellEnd"/>
      <w:r w:rsidRPr="00D470F4">
        <w:rPr>
          <w:rFonts w:ascii="Times New Roman" w:hAnsi="Times New Roman" w:cs="Times New Roman"/>
          <w:color w:val="231F20"/>
          <w:spacing w:val="-4"/>
          <w:sz w:val="24"/>
          <w:szCs w:val="24"/>
          <w:lang w:val="es"/>
        </w:rPr>
        <w:t xml:space="preserve">, 20015; Chong et al., 2007). Para que un </w:t>
      </w:r>
      <w:r w:rsidR="00EF27A1" w:rsidRPr="00D470F4">
        <w:rPr>
          <w:rFonts w:ascii="Times New Roman" w:hAnsi="Times New Roman" w:cs="Times New Roman"/>
          <w:color w:val="231F20"/>
          <w:spacing w:val="-4"/>
          <w:sz w:val="24"/>
          <w:szCs w:val="24"/>
          <w:lang w:val="es"/>
        </w:rPr>
        <w:t>fenómeno</w:t>
      </w:r>
      <w:r w:rsidRPr="00D470F4">
        <w:rPr>
          <w:rFonts w:ascii="Times New Roman" w:hAnsi="Times New Roman" w:cs="Times New Roman"/>
          <w:color w:val="231F20"/>
          <w:spacing w:val="-4"/>
          <w:sz w:val="24"/>
          <w:szCs w:val="24"/>
          <w:lang w:val="es"/>
        </w:rPr>
        <w:t xml:space="preserve"> pueda ser encuadrado en este marco es necesario tanto que exista un uso legítimo del recurso como que su naturaleza común sea la causa misma de su sobreexplotación. </w:t>
      </w:r>
      <w:r w:rsidR="00EE139A" w:rsidRPr="00D470F4">
        <w:rPr>
          <w:rFonts w:ascii="Times New Roman" w:hAnsi="Times New Roman" w:cs="Times New Roman"/>
          <w:color w:val="231F20"/>
          <w:spacing w:val="-4"/>
          <w:sz w:val="24"/>
          <w:szCs w:val="24"/>
          <w:lang w:val="es"/>
        </w:rPr>
        <w:t>Asimismo,</w:t>
      </w:r>
      <w:r w:rsidRPr="00D470F4">
        <w:rPr>
          <w:rFonts w:ascii="Times New Roman" w:hAnsi="Times New Roman" w:cs="Times New Roman"/>
          <w:color w:val="231F20"/>
          <w:spacing w:val="-4"/>
          <w:sz w:val="24"/>
          <w:szCs w:val="24"/>
          <w:lang w:val="es"/>
        </w:rPr>
        <w:t xml:space="preserve"> se asume que no existe una solución técnica capaz de superar el dilema. Sin embargo, según Anthony Platt, en el caso de la transición energética no solamente existe una solución </w:t>
      </w:r>
      <w:r w:rsidR="00EE139A" w:rsidRPr="00D470F4">
        <w:rPr>
          <w:rFonts w:ascii="Times New Roman" w:hAnsi="Times New Roman" w:cs="Times New Roman"/>
          <w:color w:val="231F20"/>
          <w:spacing w:val="-4"/>
          <w:sz w:val="24"/>
          <w:szCs w:val="24"/>
          <w:lang w:val="es"/>
        </w:rPr>
        <w:t>técnicamente</w:t>
      </w:r>
      <w:r w:rsidRPr="00D470F4">
        <w:rPr>
          <w:rFonts w:ascii="Times New Roman" w:hAnsi="Times New Roman" w:cs="Times New Roman"/>
          <w:color w:val="231F20"/>
          <w:spacing w:val="-4"/>
          <w:sz w:val="24"/>
          <w:szCs w:val="24"/>
          <w:lang w:val="es"/>
        </w:rPr>
        <w:t xml:space="preserve"> </w:t>
      </w:r>
      <w:r w:rsidR="00EE139A" w:rsidRPr="00D470F4">
        <w:rPr>
          <w:rFonts w:ascii="Times New Roman" w:hAnsi="Times New Roman" w:cs="Times New Roman"/>
          <w:color w:val="231F20"/>
          <w:spacing w:val="-4"/>
          <w:sz w:val="24"/>
          <w:szCs w:val="24"/>
          <w:lang w:val="es"/>
        </w:rPr>
        <w:t>viable (</w:t>
      </w:r>
      <w:r w:rsidRPr="00D470F4">
        <w:rPr>
          <w:rFonts w:ascii="Times New Roman" w:hAnsi="Times New Roman" w:cs="Times New Roman"/>
          <w:color w:val="231F20"/>
          <w:spacing w:val="-4"/>
          <w:sz w:val="24"/>
          <w:szCs w:val="24"/>
          <w:lang w:val="es"/>
        </w:rPr>
        <w:t xml:space="preserve">el uso de tecnologías renovables) </w:t>
      </w:r>
      <w:r w:rsidR="00EE139A" w:rsidRPr="00D470F4">
        <w:rPr>
          <w:rFonts w:ascii="Times New Roman" w:hAnsi="Times New Roman" w:cs="Times New Roman"/>
          <w:color w:val="231F20"/>
          <w:spacing w:val="-4"/>
          <w:sz w:val="24"/>
          <w:szCs w:val="24"/>
          <w:lang w:val="es"/>
        </w:rPr>
        <w:t>sino</w:t>
      </w:r>
      <w:r w:rsidRPr="00D470F4">
        <w:rPr>
          <w:rFonts w:ascii="Times New Roman" w:hAnsi="Times New Roman" w:cs="Times New Roman"/>
          <w:color w:val="231F20"/>
          <w:spacing w:val="-4"/>
          <w:sz w:val="24"/>
          <w:szCs w:val="24"/>
          <w:lang w:val="es"/>
        </w:rPr>
        <w:t xml:space="preserve"> que además el desarrollo de las mismas impacta directamente en su abaratamiento (Obama, 2017), lo que sumado a la creciente toma de consciencia respecto a los perjudiciales efectos de los gases de efecto invernadero, erosiona la legitimidad social del uso de combustibles fósiles (Platt, 2017).</w:t>
      </w:r>
    </w:p>
    <w:p w14:paraId="460B6B3F" w14:textId="77777777" w:rsidR="00EF27A1" w:rsidRPr="00D470F4" w:rsidRDefault="00EF27A1" w:rsidP="00132D23">
      <w:pPr>
        <w:pStyle w:val="Textoindependiente"/>
        <w:spacing w:before="33" w:line="480" w:lineRule="auto"/>
        <w:ind w:left="116"/>
        <w:rPr>
          <w:rFonts w:ascii="Times New Roman" w:hAnsi="Times New Roman" w:cs="Times New Roman"/>
          <w:color w:val="231F20"/>
          <w:spacing w:val="-4"/>
          <w:sz w:val="24"/>
          <w:szCs w:val="24"/>
          <w:lang w:val="es"/>
        </w:rPr>
      </w:pPr>
    </w:p>
    <w:p w14:paraId="5D65A89E" w14:textId="55D8F5EB" w:rsidR="00262F75" w:rsidRPr="00D470F4" w:rsidRDefault="00262F75" w:rsidP="00132D23">
      <w:pPr>
        <w:pStyle w:val="Textoindependiente"/>
        <w:spacing w:before="33" w:line="480" w:lineRule="auto"/>
        <w:ind w:left="116"/>
        <w:rPr>
          <w:rFonts w:ascii="Times New Roman" w:hAnsi="Times New Roman" w:cs="Times New Roman"/>
          <w:b/>
          <w:color w:val="231F20"/>
          <w:spacing w:val="-4"/>
          <w:sz w:val="24"/>
          <w:szCs w:val="24"/>
          <w:lang w:val="es"/>
        </w:rPr>
      </w:pPr>
      <w:r w:rsidRPr="00D470F4">
        <w:rPr>
          <w:rFonts w:ascii="Times New Roman" w:hAnsi="Times New Roman" w:cs="Times New Roman"/>
          <w:b/>
          <w:color w:val="231F20"/>
          <w:spacing w:val="-4"/>
          <w:sz w:val="24"/>
          <w:szCs w:val="24"/>
          <w:lang w:val="es"/>
        </w:rPr>
        <w:t>Estado de la Cuestión</w:t>
      </w:r>
      <w:r w:rsidR="00EE139A" w:rsidRPr="00D470F4">
        <w:rPr>
          <w:rFonts w:ascii="Times New Roman" w:hAnsi="Times New Roman" w:cs="Times New Roman"/>
          <w:b/>
          <w:color w:val="231F20"/>
          <w:spacing w:val="-4"/>
          <w:sz w:val="24"/>
          <w:szCs w:val="24"/>
          <w:lang w:val="es"/>
        </w:rPr>
        <w:t>: Revisión de la Literatura.</w:t>
      </w:r>
    </w:p>
    <w:p w14:paraId="2002A1E6" w14:textId="77777777" w:rsidR="00262F75" w:rsidRPr="00D470F4" w:rsidRDefault="00262F7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A pesar de las dificultades descriptas en el punto anterior, empíricamente podemos observar que muchos estados, tanto en el plano nacional como en el subnacional, han puesto en marcha medidas individuales de mitigación del cambio climático y promoción de energías renovables. Esto se presenta como un enigma particularmente sorprendente teniendo en cuenta tanto la inercia del sistema energético como la relación entre consumo de energía y crecimiento económico.</w:t>
      </w:r>
    </w:p>
    <w:p w14:paraId="2009A8A2" w14:textId="6AFECA10" w:rsidR="00262F75" w:rsidRPr="00D470F4" w:rsidRDefault="00262F7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A partir de un recorrido por la literatura actual hemos podido identificar distintas tesis que compiten por explicar est</w:t>
      </w:r>
      <w:r w:rsidR="00EF27A1" w:rsidRPr="00D470F4">
        <w:rPr>
          <w:rFonts w:ascii="Times New Roman" w:hAnsi="Times New Roman" w:cs="Times New Roman"/>
          <w:color w:val="231F20"/>
          <w:spacing w:val="-4"/>
          <w:sz w:val="24"/>
          <w:szCs w:val="24"/>
          <w:lang w:val="es"/>
        </w:rPr>
        <w:t>a cuestión</w:t>
      </w:r>
      <w:r w:rsidRPr="00D470F4">
        <w:rPr>
          <w:rFonts w:ascii="Times New Roman" w:hAnsi="Times New Roman" w:cs="Times New Roman"/>
          <w:color w:val="231F20"/>
          <w:spacing w:val="-4"/>
          <w:sz w:val="24"/>
          <w:szCs w:val="24"/>
          <w:lang w:val="es"/>
        </w:rPr>
        <w:t xml:space="preserve">. En primer lugar, la tesis de la política posmoderna señala que la preocupación por el medio-ambiente ha tomado prioridad en los países con un alto grado de desarrollo económico al provocar un cambio en los valores de sus ciudadanos. Si en los países en vías de desarrollo predominan “valores materialistas” que enfatizan la necesidad de </w:t>
      </w:r>
      <w:r w:rsidRPr="00D470F4">
        <w:rPr>
          <w:rFonts w:ascii="Times New Roman" w:hAnsi="Times New Roman" w:cs="Times New Roman"/>
          <w:color w:val="231F20"/>
          <w:spacing w:val="-4"/>
          <w:sz w:val="24"/>
          <w:szCs w:val="24"/>
          <w:lang w:val="es"/>
        </w:rPr>
        <w:tab/>
        <w:t xml:space="preserve">alcanzar bienes materiales y seguridad económica, en los países desarrollados </w:t>
      </w:r>
      <w:r w:rsidRPr="00D470F4">
        <w:rPr>
          <w:rFonts w:ascii="Times New Roman" w:hAnsi="Times New Roman" w:cs="Times New Roman"/>
          <w:color w:val="231F20"/>
          <w:spacing w:val="-4"/>
          <w:sz w:val="24"/>
          <w:szCs w:val="24"/>
          <w:lang w:val="es"/>
        </w:rPr>
        <w:lastRenderedPageBreak/>
        <w:t>se observan “valores post</w:t>
      </w:r>
      <w:r w:rsidR="00EE139A" w:rsidRPr="00D470F4">
        <w:rPr>
          <w:rFonts w:ascii="Times New Roman" w:hAnsi="Times New Roman" w:cs="Times New Roman"/>
          <w:color w:val="231F20"/>
          <w:spacing w:val="-4"/>
          <w:sz w:val="24"/>
          <w:szCs w:val="24"/>
          <w:lang w:val="es"/>
        </w:rPr>
        <w:t xml:space="preserve"> </w:t>
      </w:r>
      <w:r w:rsidRPr="00D470F4">
        <w:rPr>
          <w:rFonts w:ascii="Times New Roman" w:hAnsi="Times New Roman" w:cs="Times New Roman"/>
          <w:color w:val="231F20"/>
          <w:spacing w:val="-4"/>
          <w:sz w:val="24"/>
          <w:szCs w:val="24"/>
          <w:lang w:val="es"/>
        </w:rPr>
        <w:t>-</w:t>
      </w:r>
      <w:r w:rsidR="00EE139A" w:rsidRPr="00D470F4">
        <w:rPr>
          <w:rFonts w:ascii="Times New Roman" w:hAnsi="Times New Roman" w:cs="Times New Roman"/>
          <w:color w:val="231F20"/>
          <w:spacing w:val="-4"/>
          <w:sz w:val="24"/>
          <w:szCs w:val="24"/>
          <w:lang w:val="es"/>
        </w:rPr>
        <w:t xml:space="preserve"> </w:t>
      </w:r>
      <w:r w:rsidRPr="00D470F4">
        <w:rPr>
          <w:rFonts w:ascii="Times New Roman" w:hAnsi="Times New Roman" w:cs="Times New Roman"/>
          <w:color w:val="231F20"/>
          <w:spacing w:val="-4"/>
          <w:sz w:val="24"/>
          <w:szCs w:val="24"/>
          <w:lang w:val="es"/>
        </w:rPr>
        <w:t>materialistas” que incluyen los deseos de autodesarrollo, participación y protección del clima (</w:t>
      </w:r>
      <w:proofErr w:type="spellStart"/>
      <w:r w:rsidRPr="00D470F4">
        <w:rPr>
          <w:rFonts w:ascii="Times New Roman" w:hAnsi="Times New Roman" w:cs="Times New Roman"/>
          <w:color w:val="231F20"/>
          <w:spacing w:val="-4"/>
          <w:sz w:val="24"/>
          <w:szCs w:val="24"/>
          <w:lang w:val="es"/>
        </w:rPr>
        <w:t>Inglehart</w:t>
      </w:r>
      <w:proofErr w:type="spellEnd"/>
      <w:r w:rsidRPr="00D470F4">
        <w:rPr>
          <w:rFonts w:ascii="Times New Roman" w:hAnsi="Times New Roman" w:cs="Times New Roman"/>
          <w:color w:val="231F20"/>
          <w:spacing w:val="-4"/>
          <w:sz w:val="24"/>
          <w:szCs w:val="24"/>
          <w:lang w:val="es"/>
        </w:rPr>
        <w:t xml:space="preserve">, 1997). Según </w:t>
      </w:r>
      <w:proofErr w:type="spellStart"/>
      <w:r w:rsidRPr="00D470F4">
        <w:rPr>
          <w:rFonts w:ascii="Times New Roman" w:hAnsi="Times New Roman" w:cs="Times New Roman"/>
          <w:color w:val="231F20"/>
          <w:spacing w:val="-4"/>
          <w:sz w:val="24"/>
          <w:szCs w:val="24"/>
          <w:lang w:val="es"/>
        </w:rPr>
        <w:t>Gerhards</w:t>
      </w:r>
      <w:proofErr w:type="spellEnd"/>
      <w:r w:rsidRPr="00D470F4">
        <w:rPr>
          <w:rFonts w:ascii="Times New Roman" w:hAnsi="Times New Roman" w:cs="Times New Roman"/>
          <w:color w:val="231F20"/>
          <w:spacing w:val="-4"/>
          <w:sz w:val="24"/>
          <w:szCs w:val="24"/>
          <w:lang w:val="es"/>
        </w:rPr>
        <w:t xml:space="preserve"> y Longford:</w:t>
      </w:r>
    </w:p>
    <w:p w14:paraId="2D970B8C" w14:textId="171BDDEE" w:rsidR="00262F75" w:rsidRPr="00D470F4" w:rsidRDefault="00262F7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Las preferencias para la protección del medio ambiente dependen, por encima de todo, del grado de modernización económica y ecológica de un país y también de las orientaciones de valores fundamentales de sus ciudadanos. Las actitudes pos</w:t>
      </w:r>
      <w:r w:rsidR="00EE139A" w:rsidRPr="00D470F4">
        <w:rPr>
          <w:rFonts w:ascii="Times New Roman" w:hAnsi="Times New Roman" w:cs="Times New Roman"/>
          <w:color w:val="231F20"/>
          <w:spacing w:val="-4"/>
          <w:sz w:val="24"/>
          <w:szCs w:val="24"/>
          <w:lang w:val="es"/>
        </w:rPr>
        <w:t xml:space="preserve">t - </w:t>
      </w:r>
      <w:r w:rsidRPr="00D470F4">
        <w:rPr>
          <w:rFonts w:ascii="Times New Roman" w:hAnsi="Times New Roman" w:cs="Times New Roman"/>
          <w:color w:val="231F20"/>
          <w:spacing w:val="-4"/>
          <w:sz w:val="24"/>
          <w:szCs w:val="24"/>
          <w:lang w:val="es"/>
        </w:rPr>
        <w:t>materialistas también dependen del grado de modernización económica de un país. (2008: 22)</w:t>
      </w:r>
    </w:p>
    <w:p w14:paraId="16A2B249" w14:textId="3EA2A942" w:rsidR="00262F75" w:rsidRPr="00D470F4" w:rsidRDefault="00262F7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Una segunda tesis enfatiza el rol que le cabe a los liderazgos de los aparatos </w:t>
      </w:r>
      <w:r w:rsidR="00EE139A" w:rsidRPr="00D470F4">
        <w:rPr>
          <w:rFonts w:ascii="Times New Roman" w:hAnsi="Times New Roman" w:cs="Times New Roman"/>
          <w:color w:val="231F20"/>
          <w:spacing w:val="-4"/>
          <w:sz w:val="24"/>
          <w:szCs w:val="24"/>
          <w:lang w:val="es"/>
        </w:rPr>
        <w:t>burocráticos en</w:t>
      </w:r>
      <w:r w:rsidRPr="00D470F4">
        <w:rPr>
          <w:rFonts w:ascii="Times New Roman" w:hAnsi="Times New Roman" w:cs="Times New Roman"/>
          <w:color w:val="231F20"/>
          <w:spacing w:val="-4"/>
          <w:sz w:val="24"/>
          <w:szCs w:val="24"/>
          <w:lang w:val="es"/>
        </w:rPr>
        <w:t xml:space="preserve"> la promoción de las políticas de mitigación. Analizando los esfuerzos realizados por la Unión Europea (sorprendentes si se considera su estructura federal y la indiferencia de otros regiones y países más contaminantes), </w:t>
      </w:r>
      <w:proofErr w:type="spellStart"/>
      <w:r w:rsidRPr="00D470F4">
        <w:rPr>
          <w:rFonts w:ascii="Times New Roman" w:hAnsi="Times New Roman" w:cs="Times New Roman"/>
          <w:color w:val="231F20"/>
          <w:spacing w:val="-4"/>
          <w:sz w:val="24"/>
          <w:szCs w:val="24"/>
          <w:lang w:val="es"/>
        </w:rPr>
        <w:t>Schreurs</w:t>
      </w:r>
      <w:proofErr w:type="spellEnd"/>
      <w:r w:rsidRPr="00D470F4">
        <w:rPr>
          <w:rFonts w:ascii="Times New Roman" w:hAnsi="Times New Roman" w:cs="Times New Roman"/>
          <w:color w:val="231F20"/>
          <w:spacing w:val="-4"/>
          <w:sz w:val="24"/>
          <w:szCs w:val="24"/>
          <w:lang w:val="es"/>
        </w:rPr>
        <w:t xml:space="preserve"> y </w:t>
      </w:r>
      <w:proofErr w:type="spellStart"/>
      <w:r w:rsidRPr="00D470F4">
        <w:rPr>
          <w:rFonts w:ascii="Times New Roman" w:hAnsi="Times New Roman" w:cs="Times New Roman"/>
          <w:color w:val="231F20"/>
          <w:spacing w:val="-4"/>
          <w:sz w:val="24"/>
          <w:szCs w:val="24"/>
          <w:lang w:val="es"/>
        </w:rPr>
        <w:t>Tiberghien</w:t>
      </w:r>
      <w:proofErr w:type="spellEnd"/>
      <w:r w:rsidRPr="00D470F4">
        <w:rPr>
          <w:rFonts w:ascii="Times New Roman" w:hAnsi="Times New Roman" w:cs="Times New Roman"/>
          <w:color w:val="231F20"/>
          <w:spacing w:val="-4"/>
          <w:sz w:val="24"/>
          <w:szCs w:val="24"/>
          <w:lang w:val="es"/>
        </w:rPr>
        <w:t xml:space="preserve"> sostienen que el liderazgo de la UE en las políticas de cambio climático ha dependido de las acciones y los compromisos de un grupo de estados pioneros y el liderazgo desempeñado por éstos en el Parlamento y la Comisión Europea. Este se trató de un proceso dinámico de refuerzo competitivo multi</w:t>
      </w:r>
      <w:r w:rsidR="00EE139A" w:rsidRPr="00D470F4">
        <w:rPr>
          <w:rFonts w:ascii="Times New Roman" w:hAnsi="Times New Roman" w:cs="Times New Roman"/>
          <w:color w:val="231F20"/>
          <w:spacing w:val="-4"/>
          <w:sz w:val="24"/>
          <w:szCs w:val="24"/>
          <w:lang w:val="es"/>
        </w:rPr>
        <w:t xml:space="preserve"> </w:t>
      </w:r>
      <w:r w:rsidRPr="00D470F4">
        <w:rPr>
          <w:rFonts w:ascii="Times New Roman" w:hAnsi="Times New Roman" w:cs="Times New Roman"/>
          <w:color w:val="231F20"/>
          <w:spacing w:val="-4"/>
          <w:sz w:val="24"/>
          <w:szCs w:val="24"/>
          <w:lang w:val="es"/>
        </w:rPr>
        <w:t>-</w:t>
      </w:r>
      <w:r w:rsidR="00EE139A" w:rsidRPr="00D470F4">
        <w:rPr>
          <w:rFonts w:ascii="Times New Roman" w:hAnsi="Times New Roman" w:cs="Times New Roman"/>
          <w:color w:val="231F20"/>
          <w:spacing w:val="-4"/>
          <w:sz w:val="24"/>
          <w:szCs w:val="24"/>
          <w:lang w:val="es"/>
        </w:rPr>
        <w:t xml:space="preserve"> </w:t>
      </w:r>
      <w:r w:rsidRPr="00D470F4">
        <w:rPr>
          <w:rFonts w:ascii="Times New Roman" w:hAnsi="Times New Roman" w:cs="Times New Roman"/>
          <w:color w:val="231F20"/>
          <w:spacing w:val="-4"/>
          <w:sz w:val="24"/>
          <w:szCs w:val="24"/>
          <w:lang w:val="es"/>
        </w:rPr>
        <w:t>nivel entre los diferentes polos políticos de la UE en un contexto de gobernanza descentralizada, y dependió en gran medida de un fuerte apoyo público y un gran compromiso normativo (</w:t>
      </w:r>
      <w:proofErr w:type="spellStart"/>
      <w:r w:rsidRPr="00D470F4">
        <w:rPr>
          <w:rFonts w:ascii="Times New Roman" w:hAnsi="Times New Roman" w:cs="Times New Roman"/>
          <w:color w:val="231F20"/>
          <w:spacing w:val="-4"/>
          <w:sz w:val="24"/>
          <w:szCs w:val="24"/>
          <w:lang w:val="es"/>
        </w:rPr>
        <w:t>Schreurs</w:t>
      </w:r>
      <w:proofErr w:type="spellEnd"/>
      <w:r w:rsidRPr="00D470F4">
        <w:rPr>
          <w:rFonts w:ascii="Times New Roman" w:hAnsi="Times New Roman" w:cs="Times New Roman"/>
          <w:color w:val="231F20"/>
          <w:spacing w:val="-4"/>
          <w:sz w:val="24"/>
          <w:szCs w:val="24"/>
          <w:lang w:val="es"/>
        </w:rPr>
        <w:t xml:space="preserve"> and </w:t>
      </w:r>
      <w:proofErr w:type="spellStart"/>
      <w:r w:rsidRPr="00D470F4">
        <w:rPr>
          <w:rFonts w:ascii="Times New Roman" w:hAnsi="Times New Roman" w:cs="Times New Roman"/>
          <w:color w:val="231F20"/>
          <w:spacing w:val="-4"/>
          <w:sz w:val="24"/>
          <w:szCs w:val="24"/>
          <w:lang w:val="es"/>
        </w:rPr>
        <w:t>Tiberghien</w:t>
      </w:r>
      <w:proofErr w:type="spellEnd"/>
      <w:r w:rsidRPr="00D470F4">
        <w:rPr>
          <w:rFonts w:ascii="Times New Roman" w:hAnsi="Times New Roman" w:cs="Times New Roman"/>
          <w:color w:val="231F20"/>
          <w:spacing w:val="-4"/>
          <w:sz w:val="24"/>
          <w:szCs w:val="24"/>
          <w:lang w:val="es"/>
        </w:rPr>
        <w:t>, 2007).</w:t>
      </w:r>
    </w:p>
    <w:p w14:paraId="7A9E4560" w14:textId="77777777" w:rsidR="00262F75" w:rsidRPr="00D470F4" w:rsidRDefault="00262F7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Una tercera tesis señala que los partidos políticos con una plataforma ecológica (los “verdes”) pueden tener una gran influencia proporcionado representación política con una agenda única en los parlamentos nacionales. </w:t>
      </w:r>
      <w:proofErr w:type="spellStart"/>
      <w:r w:rsidRPr="00D470F4">
        <w:rPr>
          <w:rFonts w:ascii="Times New Roman" w:hAnsi="Times New Roman" w:cs="Times New Roman"/>
          <w:color w:val="231F20"/>
          <w:spacing w:val="-4"/>
          <w:sz w:val="24"/>
          <w:szCs w:val="24"/>
          <w:lang w:val="es"/>
        </w:rPr>
        <w:t>Jacobsson</w:t>
      </w:r>
      <w:proofErr w:type="spellEnd"/>
      <w:r w:rsidRPr="00D470F4">
        <w:rPr>
          <w:rFonts w:ascii="Times New Roman" w:hAnsi="Times New Roman" w:cs="Times New Roman"/>
          <w:color w:val="231F20"/>
          <w:spacing w:val="-4"/>
          <w:sz w:val="24"/>
          <w:szCs w:val="24"/>
          <w:lang w:val="es"/>
        </w:rPr>
        <w:t xml:space="preserve"> y </w:t>
      </w:r>
      <w:proofErr w:type="spellStart"/>
      <w:r w:rsidRPr="00D470F4">
        <w:rPr>
          <w:rFonts w:ascii="Times New Roman" w:hAnsi="Times New Roman" w:cs="Times New Roman"/>
          <w:color w:val="231F20"/>
          <w:spacing w:val="-4"/>
          <w:sz w:val="24"/>
          <w:szCs w:val="24"/>
          <w:lang w:val="es"/>
        </w:rPr>
        <w:t>Lauber</w:t>
      </w:r>
      <w:proofErr w:type="spellEnd"/>
      <w:r w:rsidRPr="00D470F4">
        <w:rPr>
          <w:rFonts w:ascii="Times New Roman" w:hAnsi="Times New Roman" w:cs="Times New Roman"/>
          <w:color w:val="231F20"/>
          <w:spacing w:val="-4"/>
          <w:sz w:val="24"/>
          <w:szCs w:val="24"/>
          <w:lang w:val="es"/>
        </w:rPr>
        <w:t xml:space="preserve"> (2006) toman este argumento en su explicación de la transición de Alemania hacia un entorno favorable para la adopción de energías renovables. Sostienen que los programas de diversificación de la matriz energética alemana surgieron como una disputa entre el Ministerio de Energía, aliado al sector de combustibles fósiles y el Ministerio del Medio Ambiente, respaldado por un partido verde cada vez más poderoso. </w:t>
      </w:r>
    </w:p>
    <w:p w14:paraId="24D8702F" w14:textId="77777777" w:rsidR="00262F75" w:rsidRPr="00D470F4" w:rsidRDefault="00262F7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Aunque estas tesis nos brindan interesantes perspectivas de análisis y nos permiten </w:t>
      </w:r>
      <w:r w:rsidRPr="00D470F4">
        <w:rPr>
          <w:rFonts w:ascii="Times New Roman" w:hAnsi="Times New Roman" w:cs="Times New Roman"/>
          <w:color w:val="231F20"/>
          <w:spacing w:val="-4"/>
          <w:sz w:val="24"/>
          <w:szCs w:val="24"/>
          <w:lang w:val="es"/>
        </w:rPr>
        <w:lastRenderedPageBreak/>
        <w:t xml:space="preserve">esclarecer por qué países desarrollados ponen en marchas medidas de transición energética, no nos permiten comprender por qué economías menos desarrolladas realizan este esfuerzo. Estados nacionales como Chile y Uruguay, en el cono sur de América Latina, a pesar de no contribuir significativamente (en relación a otros países) a la contaminación atmosférica han desarrollado un ambicioso programa renovable. </w:t>
      </w:r>
    </w:p>
    <w:p w14:paraId="1E547BBD" w14:textId="77777777" w:rsidR="00262F75" w:rsidRPr="00D470F4" w:rsidRDefault="00262F7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Una interesante perspectiva de análisis la brinda Marck </w:t>
      </w:r>
      <w:proofErr w:type="spellStart"/>
      <w:r w:rsidRPr="00D470F4">
        <w:rPr>
          <w:rFonts w:ascii="Times New Roman" w:hAnsi="Times New Roman" w:cs="Times New Roman"/>
          <w:color w:val="231F20"/>
          <w:spacing w:val="-4"/>
          <w:sz w:val="24"/>
          <w:szCs w:val="24"/>
          <w:lang w:val="es"/>
        </w:rPr>
        <w:t>Huberty</w:t>
      </w:r>
      <w:proofErr w:type="spellEnd"/>
      <w:r w:rsidRPr="00D470F4">
        <w:rPr>
          <w:rFonts w:ascii="Times New Roman" w:hAnsi="Times New Roman" w:cs="Times New Roman"/>
          <w:color w:val="231F20"/>
          <w:spacing w:val="-4"/>
          <w:sz w:val="24"/>
          <w:szCs w:val="24"/>
          <w:lang w:val="es"/>
        </w:rPr>
        <w:t>. En su explicación, los estados ponen en marcha medidas para reducir las emisiones cuando los cambios requeridos por el sistema energético generan beneficios secundarios en otros sectores, tales como la seguridad de suministro, la política industrial o la competitividad económica. Esos beneficios proporcionan los medios para dos tareas políticamente importantes: primero, compensar a los perdedores que de otro modo podrían haber vetado el proceso y, segundo, crear nuevos intereses relacionados con beneficios materiales inmediatos (</w:t>
      </w:r>
      <w:proofErr w:type="spellStart"/>
      <w:r w:rsidRPr="00D470F4">
        <w:rPr>
          <w:rFonts w:ascii="Times New Roman" w:hAnsi="Times New Roman" w:cs="Times New Roman"/>
          <w:color w:val="231F20"/>
          <w:spacing w:val="-4"/>
          <w:sz w:val="24"/>
          <w:szCs w:val="24"/>
          <w:lang w:val="es"/>
        </w:rPr>
        <w:t>Huberty</w:t>
      </w:r>
      <w:proofErr w:type="spellEnd"/>
      <w:r w:rsidRPr="00D470F4">
        <w:rPr>
          <w:rFonts w:ascii="Times New Roman" w:hAnsi="Times New Roman" w:cs="Times New Roman"/>
          <w:color w:val="231F20"/>
          <w:spacing w:val="-4"/>
          <w:sz w:val="24"/>
          <w:szCs w:val="24"/>
          <w:lang w:val="es"/>
        </w:rPr>
        <w:t xml:space="preserve">, 2013). </w:t>
      </w:r>
    </w:p>
    <w:p w14:paraId="2A1BD223" w14:textId="77777777" w:rsidR="00262F75" w:rsidRPr="00D470F4" w:rsidRDefault="00262F7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Según </w:t>
      </w:r>
      <w:proofErr w:type="spellStart"/>
      <w:r w:rsidRPr="00D470F4">
        <w:rPr>
          <w:rFonts w:ascii="Times New Roman" w:hAnsi="Times New Roman" w:cs="Times New Roman"/>
          <w:color w:val="231F20"/>
          <w:spacing w:val="-4"/>
          <w:sz w:val="24"/>
          <w:szCs w:val="24"/>
          <w:lang w:val="es"/>
        </w:rPr>
        <w:t>Kathlen</w:t>
      </w:r>
      <w:proofErr w:type="spellEnd"/>
      <w:r w:rsidRPr="00D470F4">
        <w:rPr>
          <w:rFonts w:ascii="Times New Roman" w:hAnsi="Times New Roman" w:cs="Times New Roman"/>
          <w:color w:val="231F20"/>
          <w:spacing w:val="-4"/>
          <w:sz w:val="24"/>
          <w:szCs w:val="24"/>
          <w:lang w:val="es"/>
        </w:rPr>
        <w:t xml:space="preserve"> Araújo, entre los impulsores más prominentes de la transición energética se encuentra la presión por reducir las importaciones de petróleo y por aumentar la seguridad energética nacional. Estos elementos se combinan con la búsqueda de proteger la balanza de pagos de la volatilidad del precio del petróleo (Araujo, 2013).</w:t>
      </w:r>
    </w:p>
    <w:p w14:paraId="08593F57" w14:textId="19B341F4" w:rsidR="00262F75" w:rsidRPr="00D470F4" w:rsidRDefault="00262F7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La seguridad energética se refiere al grado en que el sistema energético de un país está expuesto a interrupciones en el suministro y a la volatilidad de los precios. Mientras que las interrupciones del suministro pueden interferir directamente en el funcionamiento del sistema energético, la volatilidad puede afectar negativamente la capacidad de las empresas para planificar a largo plazo (</w:t>
      </w:r>
      <w:proofErr w:type="spellStart"/>
      <w:r w:rsidRPr="00D470F4">
        <w:rPr>
          <w:rFonts w:ascii="Times New Roman" w:hAnsi="Times New Roman" w:cs="Times New Roman"/>
          <w:color w:val="231F20"/>
          <w:spacing w:val="-4"/>
          <w:sz w:val="24"/>
          <w:szCs w:val="24"/>
          <w:lang w:val="es"/>
        </w:rPr>
        <w:t>Huberty</w:t>
      </w:r>
      <w:proofErr w:type="spellEnd"/>
      <w:r w:rsidRPr="00D470F4">
        <w:rPr>
          <w:rFonts w:ascii="Times New Roman" w:hAnsi="Times New Roman" w:cs="Times New Roman"/>
          <w:color w:val="231F20"/>
          <w:spacing w:val="-4"/>
          <w:sz w:val="24"/>
          <w:szCs w:val="24"/>
          <w:lang w:val="es"/>
        </w:rPr>
        <w:t xml:space="preserve">, 2013). En este sentido, la presión social y política por impulsar fuentes energéticas no convencionales presenta una correlación alta con las fluctuaciones del precio del barril de petróleo. Así, en los casos exitosos, la aceleración de los procesos de transición está marcada por “shocks” externos, especialmente los problemas para importar combustibles derivados de conflictos geopolíticos y la subida del precio del </w:t>
      </w:r>
      <w:r w:rsidRPr="00D470F4">
        <w:rPr>
          <w:rFonts w:ascii="Times New Roman" w:hAnsi="Times New Roman" w:cs="Times New Roman"/>
          <w:color w:val="231F20"/>
          <w:spacing w:val="-4"/>
          <w:sz w:val="24"/>
          <w:szCs w:val="24"/>
          <w:lang w:val="es"/>
        </w:rPr>
        <w:lastRenderedPageBreak/>
        <w:t xml:space="preserve">crudo (Araujo, 2013; Madariaga y </w:t>
      </w:r>
      <w:proofErr w:type="spellStart"/>
      <w:r w:rsidRPr="00D470F4">
        <w:rPr>
          <w:rFonts w:ascii="Times New Roman" w:hAnsi="Times New Roman" w:cs="Times New Roman"/>
          <w:color w:val="231F20"/>
          <w:spacing w:val="-4"/>
          <w:sz w:val="24"/>
          <w:szCs w:val="24"/>
          <w:lang w:val="es"/>
        </w:rPr>
        <w:t>Gladina</w:t>
      </w:r>
      <w:proofErr w:type="spellEnd"/>
      <w:r w:rsidRPr="00D470F4">
        <w:rPr>
          <w:rFonts w:ascii="Times New Roman" w:hAnsi="Times New Roman" w:cs="Times New Roman"/>
          <w:color w:val="231F20"/>
          <w:spacing w:val="-4"/>
          <w:sz w:val="24"/>
          <w:szCs w:val="24"/>
          <w:lang w:val="es"/>
        </w:rPr>
        <w:t xml:space="preserve">, 2017). </w:t>
      </w:r>
    </w:p>
    <w:p w14:paraId="52790EA9" w14:textId="77777777" w:rsidR="00AF2904" w:rsidRPr="00D470F4" w:rsidRDefault="00AF2904"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Estas tesis, sin embargo, no permiten entender la opción por ERNC frente a otras alternativas igualmente válidas, ni porque estados económicamente atrasados o ricos en fuentes energéticas tradicionales optan por promoverlas. Del mismo modo, no permiten entender la difusión de políticas de ERNC en estados que no cuentan con partidos ecologistas con representación electoral.</w:t>
      </w:r>
    </w:p>
    <w:p w14:paraId="09344F4D" w14:textId="77777777" w:rsidR="00AF2904" w:rsidRPr="00D470F4" w:rsidRDefault="00AF2904"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Los análisis de estados federales se han concentrado fundamentalmente en los “efectos de contagio” de políticas de promoción de las ERNC entre estados </w:t>
      </w:r>
      <w:proofErr w:type="spellStart"/>
      <w:r w:rsidRPr="00D470F4">
        <w:rPr>
          <w:rFonts w:ascii="Times New Roman" w:hAnsi="Times New Roman" w:cs="Times New Roman"/>
          <w:color w:val="231F20"/>
          <w:spacing w:val="-4"/>
          <w:sz w:val="24"/>
          <w:szCs w:val="24"/>
          <w:lang w:val="es"/>
        </w:rPr>
        <w:t>sub-nacionales</w:t>
      </w:r>
      <w:proofErr w:type="spellEnd"/>
      <w:r w:rsidRPr="00D470F4">
        <w:rPr>
          <w:rFonts w:ascii="Times New Roman" w:hAnsi="Times New Roman" w:cs="Times New Roman"/>
          <w:color w:val="231F20"/>
          <w:spacing w:val="-4"/>
          <w:sz w:val="24"/>
          <w:szCs w:val="24"/>
          <w:lang w:val="es"/>
        </w:rPr>
        <w:t xml:space="preserve">. Según este enfoque, se espera que la presencia de un vecino líder en política ambiental incida en el grado de desarrollo de la política energética renovable no convencional. Sin embargo, los estudios realizados hasta ahora no encontraron una asociación significativa entre estas variables </w:t>
      </w:r>
      <w:r w:rsidRPr="00D470F4">
        <w:rPr>
          <w:rFonts w:ascii="Times New Roman" w:hAnsi="Times New Roman" w:cs="Times New Roman"/>
          <w:color w:val="231F20"/>
          <w:spacing w:val="-4"/>
          <w:sz w:val="24"/>
          <w:szCs w:val="24"/>
          <w:lang w:val="es"/>
        </w:rPr>
        <w:fldChar w:fldCharType="begin" w:fldLock="1"/>
      </w:r>
      <w:r w:rsidRPr="00D470F4">
        <w:rPr>
          <w:rFonts w:ascii="Times New Roman" w:hAnsi="Times New Roman" w:cs="Times New Roman"/>
          <w:color w:val="231F20"/>
          <w:spacing w:val="-4"/>
          <w:sz w:val="24"/>
          <w:szCs w:val="24"/>
          <w:lang w:val="es"/>
        </w:rPr>
        <w:instrText>ADDIN CSL_CITATION {"citationItems":[{"id":"ITEM-1","itemData":{"DOI":"10.1111/j.1541-1338.2008.00360.x","ISSN":"1541132X","author":[{"dropping-particle":"","family":"Matisoff","given":"Daniel C.","non-dropping-particle":"","parse-names":false,"suffix":""}],"container-title":"Review of Policy Research","id":"ITEM-1","issue":"6","issued":{"date-parts":[["2008","12","1"]]},"page":"527-546","publisher":"John Wiley &amp; Sons, Ltd (10.1111)","title":"The Adoption of State Climate Change Policies and Renewable Portfolio Standards: Regional Diffusion or Internal Determinants?","type":"article-journal","volume":"25"},"uris":["http://www.mendeley.com/documents/?uuid=2f8f1ae6-ca67-33f9-bd2b-d3d96ea59d0c"]},{"id":"ITEM-2","itemData":{"author":[{"dropping-particle":"","family":"Lyon","given":"T.","non-dropping-particle":"","parse-names":false,"suffix":""}],"container-title":"Annual Review of Resource Economics","id":"ITEM-2","issued":{"date-parts":[["2016"]]},"page":"141-155","title":"Drivers and Impacts of Renewable Portfolio Standards","type":"article-journal","volume":"8"},"uris":["http://www.mendeley.com/documents/?uuid=ee4dc4b4-a189-4692-b738-d3f484afb894"]}],"mendeley":{"formattedCitation":"(Matisoff 2008; Lyon 2016)","plainTextFormattedCitation":"(Matisoff 2008; Lyon 2016)","previouslyFormattedCitation":"(Matisoff 2008; Lyon 2016)"},"properties":{"noteIndex":0},"schema":"https://github.com/citation-style-language/schema/raw/master/csl-citation.json"}</w:instrText>
      </w:r>
      <w:r w:rsidRPr="00D470F4">
        <w:rPr>
          <w:rFonts w:ascii="Times New Roman" w:hAnsi="Times New Roman" w:cs="Times New Roman"/>
          <w:color w:val="231F20"/>
          <w:spacing w:val="-4"/>
          <w:sz w:val="24"/>
          <w:szCs w:val="24"/>
          <w:lang w:val="es"/>
        </w:rPr>
        <w:fldChar w:fldCharType="separate"/>
      </w:r>
      <w:r w:rsidRPr="00D470F4">
        <w:rPr>
          <w:rFonts w:ascii="Times New Roman" w:hAnsi="Times New Roman" w:cs="Times New Roman"/>
          <w:color w:val="231F20"/>
          <w:spacing w:val="-4"/>
          <w:sz w:val="24"/>
          <w:szCs w:val="24"/>
          <w:lang w:val="es"/>
        </w:rPr>
        <w:t>(Matisoff 2008; Lyon 2016)</w:t>
      </w:r>
      <w:r w:rsidRPr="00D470F4">
        <w:rPr>
          <w:rFonts w:ascii="Times New Roman" w:hAnsi="Times New Roman" w:cs="Times New Roman"/>
          <w:color w:val="231F20"/>
          <w:spacing w:val="-4"/>
          <w:sz w:val="24"/>
          <w:szCs w:val="24"/>
          <w:lang w:val="es"/>
        </w:rPr>
        <w:fldChar w:fldCharType="end"/>
      </w:r>
      <w:r w:rsidRPr="00D470F4">
        <w:rPr>
          <w:rFonts w:ascii="Times New Roman" w:hAnsi="Times New Roman" w:cs="Times New Roman"/>
          <w:color w:val="231F20"/>
          <w:spacing w:val="-4"/>
          <w:sz w:val="24"/>
          <w:szCs w:val="24"/>
          <w:lang w:val="es"/>
        </w:rPr>
        <w:t>. Más importante aún, no permiten entender la emergencia de políticas de ERNC en los estados líderes, ni los mecanismos causales intervinientes.</w:t>
      </w:r>
    </w:p>
    <w:p w14:paraId="36D2F1A6" w14:textId="77777777" w:rsidR="00AF2904" w:rsidRPr="00D470F4" w:rsidRDefault="00AF2904"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En lo que se refiere al rol de los expertos en la promoción de políticas de ERNC, analizando el caso estadounidense, Barry </w:t>
      </w:r>
      <w:proofErr w:type="spellStart"/>
      <w:r w:rsidRPr="00D470F4">
        <w:rPr>
          <w:rFonts w:ascii="Times New Roman" w:hAnsi="Times New Roman" w:cs="Times New Roman"/>
          <w:color w:val="231F20"/>
          <w:spacing w:val="-4"/>
          <w:sz w:val="24"/>
          <w:szCs w:val="24"/>
          <w:lang w:val="es"/>
        </w:rPr>
        <w:t>Rabe</w:t>
      </w:r>
      <w:proofErr w:type="spellEnd"/>
      <w:r w:rsidRPr="00D470F4">
        <w:rPr>
          <w:rFonts w:ascii="Times New Roman" w:hAnsi="Times New Roman" w:cs="Times New Roman"/>
          <w:color w:val="231F20"/>
          <w:spacing w:val="-4"/>
          <w:sz w:val="24"/>
          <w:szCs w:val="24"/>
          <w:lang w:val="es"/>
        </w:rPr>
        <w:t xml:space="preserve"> sostiene que expertos en el seno de las burocracias </w:t>
      </w:r>
      <w:proofErr w:type="spellStart"/>
      <w:r w:rsidRPr="00D470F4">
        <w:rPr>
          <w:rFonts w:ascii="Times New Roman" w:hAnsi="Times New Roman" w:cs="Times New Roman"/>
          <w:color w:val="231F20"/>
          <w:spacing w:val="-4"/>
          <w:sz w:val="24"/>
          <w:szCs w:val="24"/>
          <w:lang w:val="es"/>
        </w:rPr>
        <w:t>sub-nacionales</w:t>
      </w:r>
      <w:proofErr w:type="spellEnd"/>
      <w:r w:rsidRPr="00D470F4">
        <w:rPr>
          <w:rFonts w:ascii="Times New Roman" w:hAnsi="Times New Roman" w:cs="Times New Roman"/>
          <w:color w:val="231F20"/>
          <w:spacing w:val="-4"/>
          <w:sz w:val="24"/>
          <w:szCs w:val="24"/>
          <w:lang w:val="es"/>
        </w:rPr>
        <w:t xml:space="preserve"> desempeñaron un rol clave en el fomento de las mismas (</w:t>
      </w:r>
      <w:proofErr w:type="spellStart"/>
      <w:r w:rsidRPr="00D470F4">
        <w:rPr>
          <w:rFonts w:ascii="Times New Roman" w:hAnsi="Times New Roman" w:cs="Times New Roman"/>
          <w:color w:val="231F20"/>
          <w:spacing w:val="-4"/>
          <w:sz w:val="24"/>
          <w:szCs w:val="24"/>
          <w:lang w:val="es"/>
        </w:rPr>
        <w:t>Rabe</w:t>
      </w:r>
      <w:proofErr w:type="spellEnd"/>
      <w:r w:rsidRPr="00D470F4">
        <w:rPr>
          <w:rFonts w:ascii="Times New Roman" w:hAnsi="Times New Roman" w:cs="Times New Roman"/>
          <w:color w:val="231F20"/>
          <w:spacing w:val="-4"/>
          <w:sz w:val="24"/>
          <w:szCs w:val="24"/>
          <w:lang w:val="es"/>
        </w:rPr>
        <w:t xml:space="preserve"> 2004). Para </w:t>
      </w:r>
      <w:proofErr w:type="spellStart"/>
      <w:r w:rsidRPr="00D470F4">
        <w:rPr>
          <w:rFonts w:ascii="Times New Roman" w:hAnsi="Times New Roman" w:cs="Times New Roman"/>
          <w:color w:val="231F20"/>
          <w:spacing w:val="-4"/>
          <w:sz w:val="24"/>
          <w:szCs w:val="24"/>
          <w:lang w:val="es"/>
        </w:rPr>
        <w:t>Rabe</w:t>
      </w:r>
      <w:proofErr w:type="spellEnd"/>
      <w:r w:rsidRPr="00D470F4">
        <w:rPr>
          <w:rFonts w:ascii="Times New Roman" w:hAnsi="Times New Roman" w:cs="Times New Roman"/>
          <w:color w:val="231F20"/>
          <w:spacing w:val="-4"/>
          <w:sz w:val="24"/>
          <w:szCs w:val="24"/>
          <w:lang w:val="es"/>
        </w:rPr>
        <w:t>, por un lado, en una etapa temprana de emergencia de políticas de ERNC, los empresarios de los hidrocarburos no se sintieron lo suficientemente amenazados por el surgimiento de nuevas fuentes energéticas como para interponer estrategias de veto. Por otro lado, según su argumentación, los grupos ambientalistas se encontraban demasiado ocupados en el plano nacional, descuidando los entornos locales.</w:t>
      </w:r>
    </w:p>
    <w:p w14:paraId="558D3B61" w14:textId="77777777" w:rsidR="00AF2904" w:rsidRPr="00D470F4" w:rsidRDefault="00AF2904"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En este contexto, el rol de expertos en el seno de las burocracias estatales resultó determinante en la promoción de políticas de ERNC. Sin embargo, el análisis de </w:t>
      </w:r>
      <w:proofErr w:type="spellStart"/>
      <w:r w:rsidRPr="00D470F4">
        <w:rPr>
          <w:rFonts w:ascii="Times New Roman" w:hAnsi="Times New Roman" w:cs="Times New Roman"/>
          <w:color w:val="231F20"/>
          <w:spacing w:val="-4"/>
          <w:sz w:val="24"/>
          <w:szCs w:val="24"/>
          <w:lang w:val="es"/>
        </w:rPr>
        <w:t>Rabe</w:t>
      </w:r>
      <w:proofErr w:type="spellEnd"/>
      <w:r w:rsidRPr="00D470F4">
        <w:rPr>
          <w:rFonts w:ascii="Times New Roman" w:hAnsi="Times New Roman" w:cs="Times New Roman"/>
          <w:color w:val="231F20"/>
          <w:spacing w:val="-4"/>
          <w:sz w:val="24"/>
          <w:szCs w:val="24"/>
          <w:lang w:val="es"/>
        </w:rPr>
        <w:t xml:space="preserve"> no da cuenta de cómo surge en estos expertos la preocupación por el clima, ni permite </w:t>
      </w:r>
      <w:r w:rsidRPr="00D470F4">
        <w:rPr>
          <w:rFonts w:ascii="Times New Roman" w:hAnsi="Times New Roman" w:cs="Times New Roman"/>
          <w:color w:val="231F20"/>
          <w:spacing w:val="-4"/>
          <w:sz w:val="24"/>
          <w:szCs w:val="24"/>
          <w:lang w:val="es"/>
        </w:rPr>
        <w:lastRenderedPageBreak/>
        <w:t xml:space="preserve">comprender los mecanismos que despliegan para promover las reformas que les interesan. </w:t>
      </w:r>
    </w:p>
    <w:p w14:paraId="62DFB00A" w14:textId="3EC153A9" w:rsidR="00262F75" w:rsidRPr="00D470F4" w:rsidRDefault="00AF2904"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Una nueva perspectiva de</w:t>
      </w:r>
      <w:r w:rsidR="00262F75" w:rsidRPr="00D470F4">
        <w:rPr>
          <w:rFonts w:ascii="Times New Roman" w:hAnsi="Times New Roman" w:cs="Times New Roman"/>
          <w:color w:val="231F20"/>
          <w:spacing w:val="-4"/>
          <w:sz w:val="24"/>
          <w:szCs w:val="24"/>
          <w:lang w:val="es"/>
        </w:rPr>
        <w:t xml:space="preserve"> análisis ha sido promovida para analizar el caso chileno. Según Aldo Madariaga y Edson </w:t>
      </w:r>
      <w:proofErr w:type="spellStart"/>
      <w:r w:rsidR="00262F75" w:rsidRPr="00D470F4">
        <w:rPr>
          <w:rFonts w:ascii="Times New Roman" w:hAnsi="Times New Roman" w:cs="Times New Roman"/>
          <w:color w:val="231F20"/>
          <w:spacing w:val="-4"/>
          <w:sz w:val="24"/>
          <w:szCs w:val="24"/>
          <w:lang w:val="es"/>
        </w:rPr>
        <w:t>Gladina</w:t>
      </w:r>
      <w:proofErr w:type="spellEnd"/>
      <w:r w:rsidR="00262F75" w:rsidRPr="00D470F4">
        <w:rPr>
          <w:rFonts w:ascii="Times New Roman" w:hAnsi="Times New Roman" w:cs="Times New Roman"/>
          <w:color w:val="231F20"/>
          <w:spacing w:val="-4"/>
          <w:sz w:val="24"/>
          <w:szCs w:val="24"/>
          <w:lang w:val="es"/>
        </w:rPr>
        <w:t xml:space="preserve"> es necesario introducir una mirada sociológica para comprender el avance de las tecnologías renovables en Chile. En su argumentación, un shock externo, la negativa de los países vecinos a exportarle gas licuado, y las presiones de los grupos ecologistas introdujeron un período de crisis en el paradigma político dominante hasta el momento. El retraimiento del Estado (piedra angular de la política energética nacional desde el régimen de Pinochet) se mostró incapaz de conjurar la crisis energética, por lo que, tras un período de incertidumbre, se modificó este paradigma a favor de un rol más activo del Estado. Según Madariaga y </w:t>
      </w:r>
      <w:proofErr w:type="spellStart"/>
      <w:r w:rsidR="00262F75" w:rsidRPr="00D470F4">
        <w:rPr>
          <w:rFonts w:ascii="Times New Roman" w:hAnsi="Times New Roman" w:cs="Times New Roman"/>
          <w:color w:val="231F20"/>
          <w:spacing w:val="-4"/>
          <w:sz w:val="24"/>
          <w:szCs w:val="24"/>
          <w:lang w:val="es"/>
        </w:rPr>
        <w:t>Gladina</w:t>
      </w:r>
      <w:proofErr w:type="spellEnd"/>
      <w:r w:rsidR="00262F75" w:rsidRPr="00D470F4">
        <w:rPr>
          <w:rFonts w:ascii="Times New Roman" w:hAnsi="Times New Roman" w:cs="Times New Roman"/>
          <w:color w:val="231F20"/>
          <w:spacing w:val="-4"/>
          <w:sz w:val="24"/>
          <w:szCs w:val="24"/>
          <w:lang w:val="es"/>
        </w:rPr>
        <w:t>:</w:t>
      </w:r>
    </w:p>
    <w:p w14:paraId="3A715BC1" w14:textId="612F7AEF" w:rsidR="00262F75" w:rsidRPr="00D470F4" w:rsidRDefault="00262F75" w:rsidP="00132D23">
      <w:pPr>
        <w:pStyle w:val="Textoindependiente"/>
        <w:spacing w:before="33" w:line="480" w:lineRule="auto"/>
        <w:ind w:left="567"/>
        <w:rPr>
          <w:rFonts w:ascii="Times New Roman" w:hAnsi="Times New Roman" w:cs="Times New Roman"/>
          <w:i/>
          <w:color w:val="231F20"/>
          <w:spacing w:val="-4"/>
          <w:sz w:val="24"/>
          <w:szCs w:val="24"/>
          <w:lang w:val="es"/>
        </w:rPr>
      </w:pPr>
      <w:r w:rsidRPr="00D470F4">
        <w:rPr>
          <w:rFonts w:ascii="Times New Roman" w:hAnsi="Times New Roman" w:cs="Times New Roman"/>
          <w:i/>
          <w:color w:val="231F20"/>
          <w:spacing w:val="-4"/>
          <w:sz w:val="24"/>
          <w:szCs w:val="24"/>
          <w:lang w:val="es"/>
        </w:rPr>
        <w:t xml:space="preserve">… las sucesivas crisis pusieron en jaque la capacidad del país de asegurar el suministro eléctrico a través de un mercado más o menos autorregulado, dando lugar a consideraciones como la seguridad energética y la sustentabilidad, que movilizaron nuevos recursos, especialmente la intervención estatal más decidida y la participación social, y nuevos actores como las organizaciones ambientalistas. La nueva política energética lanzada a través del programa Energía 2050 incorpora estos aspectos, y parece constituir, en este sentido, un verdadero cambio de paradigma en la manera que opera la política energética. (2017, 35) </w:t>
      </w:r>
    </w:p>
    <w:p w14:paraId="1D5FF8D7" w14:textId="46C9785A" w:rsidR="00471585" w:rsidRPr="00D470F4" w:rsidRDefault="00AE1F8E" w:rsidP="00132D23">
      <w:pPr>
        <w:pStyle w:val="Textoindependiente"/>
        <w:spacing w:before="33" w:line="480" w:lineRule="auto"/>
        <w:ind w:firstLine="567"/>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Para el caso argentino, Recalde (2017) identificó la baja calidad institucional como un factor explicativo central a la hora de predecir el desarrollo de </w:t>
      </w:r>
      <w:r w:rsidR="00471585" w:rsidRPr="00D470F4">
        <w:rPr>
          <w:rFonts w:ascii="Times New Roman" w:hAnsi="Times New Roman" w:cs="Times New Roman"/>
          <w:color w:val="231F20"/>
          <w:spacing w:val="-4"/>
          <w:sz w:val="24"/>
          <w:szCs w:val="24"/>
          <w:lang w:val="es"/>
        </w:rPr>
        <w:t>ERNC, en una situación en la que la abundancia del recurso renovable parece evidente. Por otra parte, Garrido et al. (2020) al analizar la evolución de las políticas de promoción de ERNC, destacaron la perspectiva determinista desde el punto de vista tecnológico que asumían, equivocadamente, que las políticas aplicadas en otros contextos institucionales iban a tener un efecto idéntico en este país.</w:t>
      </w:r>
    </w:p>
    <w:p w14:paraId="758C1F6D" w14:textId="175A51B9" w:rsidR="00AE1F8E" w:rsidRPr="00D470F4" w:rsidRDefault="00471585" w:rsidP="00132D23">
      <w:pPr>
        <w:pStyle w:val="Textoindependiente"/>
        <w:spacing w:before="33" w:line="480" w:lineRule="auto"/>
        <w:ind w:firstLine="567"/>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lastRenderedPageBreak/>
        <w:t xml:space="preserve">En 2009 </w:t>
      </w:r>
      <w:proofErr w:type="spellStart"/>
      <w:r w:rsidRPr="00D470F4">
        <w:rPr>
          <w:rFonts w:ascii="Times New Roman" w:hAnsi="Times New Roman" w:cs="Times New Roman"/>
          <w:color w:val="231F20"/>
          <w:spacing w:val="-4"/>
          <w:sz w:val="24"/>
          <w:szCs w:val="24"/>
          <w:lang w:val="es"/>
        </w:rPr>
        <w:t>Guzowski</w:t>
      </w:r>
      <w:proofErr w:type="spellEnd"/>
      <w:r w:rsidRPr="00D470F4">
        <w:rPr>
          <w:rFonts w:ascii="Times New Roman" w:hAnsi="Times New Roman" w:cs="Times New Roman"/>
          <w:color w:val="231F20"/>
          <w:spacing w:val="-4"/>
          <w:sz w:val="24"/>
          <w:szCs w:val="24"/>
          <w:lang w:val="es"/>
        </w:rPr>
        <w:t xml:space="preserve"> y Recalde llevaron adelante una comparación entre el caso argentino y chileno, relacionando la reforma neoliberal del sistema eléctrico </w:t>
      </w:r>
      <w:r w:rsidR="00B563FC" w:rsidRPr="00D470F4">
        <w:rPr>
          <w:rFonts w:ascii="Times New Roman" w:hAnsi="Times New Roman" w:cs="Times New Roman"/>
          <w:color w:val="231F20"/>
          <w:spacing w:val="-4"/>
          <w:sz w:val="24"/>
          <w:szCs w:val="24"/>
          <w:lang w:val="es"/>
        </w:rPr>
        <w:t>con el grado de difusión de energías renovables en ambos países. Este seminal artículo, no consideraba, sin embargo, la influencia de la ideología del poder ejecutivo en las políticas de promoción de ERNC implementadas.</w:t>
      </w:r>
    </w:p>
    <w:p w14:paraId="29D9D913" w14:textId="768BBF6B" w:rsidR="00262F75" w:rsidRPr="00D470F4" w:rsidRDefault="00262F7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En esta línea de reflexión, nos parece importante incluir los cambios en las </w:t>
      </w:r>
      <w:proofErr w:type="gramStart"/>
      <w:r w:rsidR="00B563FC" w:rsidRPr="00D470F4">
        <w:rPr>
          <w:rFonts w:ascii="Times New Roman" w:hAnsi="Times New Roman" w:cs="Times New Roman"/>
          <w:color w:val="231F20"/>
          <w:spacing w:val="-4"/>
          <w:sz w:val="24"/>
          <w:szCs w:val="24"/>
          <w:lang w:val="es"/>
        </w:rPr>
        <w:t xml:space="preserve">ideologías </w:t>
      </w:r>
      <w:r w:rsidRPr="00D470F4">
        <w:rPr>
          <w:rFonts w:ascii="Times New Roman" w:hAnsi="Times New Roman" w:cs="Times New Roman"/>
          <w:color w:val="231F20"/>
          <w:spacing w:val="-4"/>
          <w:sz w:val="24"/>
          <w:szCs w:val="24"/>
          <w:lang w:val="es"/>
        </w:rPr>
        <w:t xml:space="preserve"> </w:t>
      </w:r>
      <w:r w:rsidR="000F6F6E" w:rsidRPr="00D470F4">
        <w:rPr>
          <w:rFonts w:ascii="Times New Roman" w:hAnsi="Times New Roman" w:cs="Times New Roman"/>
          <w:color w:val="231F20"/>
          <w:spacing w:val="-4"/>
          <w:sz w:val="24"/>
          <w:szCs w:val="24"/>
          <w:lang w:val="es"/>
        </w:rPr>
        <w:t>d</w:t>
      </w:r>
      <w:r w:rsidRPr="00D470F4">
        <w:rPr>
          <w:rFonts w:ascii="Times New Roman" w:hAnsi="Times New Roman" w:cs="Times New Roman"/>
          <w:color w:val="231F20"/>
          <w:spacing w:val="-4"/>
          <w:sz w:val="24"/>
          <w:szCs w:val="24"/>
          <w:lang w:val="es"/>
        </w:rPr>
        <w:t>e</w:t>
      </w:r>
      <w:proofErr w:type="gramEnd"/>
      <w:r w:rsidRPr="00D470F4">
        <w:rPr>
          <w:rFonts w:ascii="Times New Roman" w:hAnsi="Times New Roman" w:cs="Times New Roman"/>
          <w:color w:val="231F20"/>
          <w:spacing w:val="-4"/>
          <w:sz w:val="24"/>
          <w:szCs w:val="24"/>
          <w:lang w:val="es"/>
        </w:rPr>
        <w:t xml:space="preserve"> los actores para explicar tanto la variación intra</w:t>
      </w:r>
      <w:r w:rsidR="00EE139A" w:rsidRPr="00D470F4">
        <w:rPr>
          <w:rFonts w:ascii="Times New Roman" w:hAnsi="Times New Roman" w:cs="Times New Roman"/>
          <w:color w:val="231F20"/>
          <w:spacing w:val="-4"/>
          <w:sz w:val="24"/>
          <w:szCs w:val="24"/>
          <w:lang w:val="es"/>
        </w:rPr>
        <w:t xml:space="preserve"> </w:t>
      </w:r>
      <w:r w:rsidRPr="00D470F4">
        <w:rPr>
          <w:rFonts w:ascii="Times New Roman" w:hAnsi="Times New Roman" w:cs="Times New Roman"/>
          <w:color w:val="231F20"/>
          <w:spacing w:val="-4"/>
          <w:sz w:val="24"/>
          <w:szCs w:val="24"/>
          <w:lang w:val="es"/>
        </w:rPr>
        <w:t>-</w:t>
      </w:r>
      <w:r w:rsidR="00EE139A" w:rsidRPr="00D470F4">
        <w:rPr>
          <w:rFonts w:ascii="Times New Roman" w:hAnsi="Times New Roman" w:cs="Times New Roman"/>
          <w:color w:val="231F20"/>
          <w:spacing w:val="-4"/>
          <w:sz w:val="24"/>
          <w:szCs w:val="24"/>
          <w:lang w:val="es"/>
        </w:rPr>
        <w:t xml:space="preserve"> </w:t>
      </w:r>
      <w:r w:rsidRPr="00D470F4">
        <w:rPr>
          <w:rFonts w:ascii="Times New Roman" w:hAnsi="Times New Roman" w:cs="Times New Roman"/>
          <w:color w:val="231F20"/>
          <w:spacing w:val="-4"/>
          <w:sz w:val="24"/>
          <w:szCs w:val="24"/>
          <w:lang w:val="es"/>
        </w:rPr>
        <w:t>caso como las situaciones en que tanto los compromisos internacionales como los incentivos de seguridad energética no resultaron suficientes para acelerar el proceso de diversificación de la matriz energética.</w:t>
      </w:r>
    </w:p>
    <w:p w14:paraId="3DA1782A" w14:textId="77777777" w:rsidR="000F6F6E" w:rsidRPr="00D470F4" w:rsidRDefault="000F6F6E" w:rsidP="00132D23">
      <w:pPr>
        <w:pStyle w:val="Textoindependiente"/>
        <w:spacing w:before="33" w:line="480" w:lineRule="auto"/>
        <w:ind w:left="116"/>
        <w:rPr>
          <w:rFonts w:ascii="Times New Roman" w:hAnsi="Times New Roman" w:cs="Times New Roman"/>
          <w:color w:val="231F20"/>
          <w:spacing w:val="-4"/>
          <w:sz w:val="24"/>
          <w:szCs w:val="24"/>
          <w:lang w:val="es"/>
        </w:rPr>
      </w:pPr>
    </w:p>
    <w:p w14:paraId="737B306D" w14:textId="038475A3" w:rsidR="00262F75" w:rsidRPr="00D470F4" w:rsidRDefault="006A172C" w:rsidP="00132D23">
      <w:pPr>
        <w:autoSpaceDE w:val="0"/>
        <w:autoSpaceDN w:val="0"/>
        <w:adjustRightInd w:val="0"/>
        <w:spacing w:after="0" w:line="480" w:lineRule="auto"/>
        <w:jc w:val="both"/>
        <w:rPr>
          <w:rFonts w:ascii="Times New Roman" w:hAnsi="Times New Roman" w:cs="Times New Roman"/>
          <w:b/>
          <w:sz w:val="24"/>
          <w:szCs w:val="24"/>
        </w:rPr>
      </w:pPr>
      <w:r w:rsidRPr="00D470F4">
        <w:rPr>
          <w:rFonts w:ascii="Times New Roman" w:hAnsi="Times New Roman" w:cs="Times New Roman"/>
          <w:b/>
          <w:sz w:val="24"/>
          <w:szCs w:val="24"/>
        </w:rPr>
        <w:t xml:space="preserve">Selección de </w:t>
      </w:r>
      <w:r w:rsidR="001D10C7" w:rsidRPr="00D470F4">
        <w:rPr>
          <w:rFonts w:ascii="Times New Roman" w:hAnsi="Times New Roman" w:cs="Times New Roman"/>
          <w:b/>
          <w:sz w:val="24"/>
          <w:szCs w:val="24"/>
        </w:rPr>
        <w:t>Casos</w:t>
      </w:r>
      <w:r w:rsidR="001D10C7" w:rsidRPr="00D470F4">
        <w:rPr>
          <w:rFonts w:ascii="Times New Roman" w:hAnsi="Times New Roman" w:cs="Times New Roman"/>
          <w:b/>
          <w:sz w:val="24"/>
          <w:szCs w:val="24"/>
        </w:rPr>
        <w:tab/>
      </w:r>
    </w:p>
    <w:p w14:paraId="39074E0F" w14:textId="77777777" w:rsidR="000F6F6E" w:rsidRPr="00D470F4" w:rsidRDefault="000F6F6E" w:rsidP="00132D23">
      <w:pPr>
        <w:autoSpaceDE w:val="0"/>
        <w:autoSpaceDN w:val="0"/>
        <w:adjustRightInd w:val="0"/>
        <w:spacing w:after="0" w:line="480" w:lineRule="auto"/>
        <w:jc w:val="both"/>
        <w:rPr>
          <w:rFonts w:ascii="Times New Roman" w:hAnsi="Times New Roman" w:cs="Times New Roman"/>
          <w:sz w:val="24"/>
          <w:szCs w:val="24"/>
        </w:rPr>
      </w:pPr>
      <w:r w:rsidRPr="00D470F4">
        <w:rPr>
          <w:rFonts w:ascii="Times New Roman" w:hAnsi="Times New Roman" w:cs="Times New Roman"/>
          <w:sz w:val="24"/>
          <w:szCs w:val="24"/>
        </w:rPr>
        <w:t>Como hemos visto, el desafío de incorporar energías renovables no convencionales y conseguir un sistema energético más sostenible a largo plazo requiere tanto mejoras tecnológicas como la desestructuración de un sistema socio-técnico (</w:t>
      </w:r>
      <w:proofErr w:type="spellStart"/>
      <w:r w:rsidRPr="00D470F4">
        <w:rPr>
          <w:rFonts w:ascii="Times New Roman" w:hAnsi="Times New Roman" w:cs="Times New Roman"/>
          <w:sz w:val="24"/>
          <w:szCs w:val="24"/>
        </w:rPr>
        <w:t>Bijker</w:t>
      </w:r>
      <w:proofErr w:type="spellEnd"/>
      <w:r w:rsidRPr="00D470F4">
        <w:rPr>
          <w:rFonts w:ascii="Times New Roman" w:hAnsi="Times New Roman" w:cs="Times New Roman"/>
          <w:sz w:val="24"/>
          <w:szCs w:val="24"/>
        </w:rPr>
        <w:t xml:space="preserve"> et al., 1996) que presenta un comportamiento inercial (</w:t>
      </w:r>
      <w:proofErr w:type="spellStart"/>
      <w:r w:rsidRPr="00D470F4">
        <w:rPr>
          <w:rFonts w:ascii="Times New Roman" w:hAnsi="Times New Roman" w:cs="Times New Roman"/>
          <w:sz w:val="24"/>
          <w:szCs w:val="24"/>
        </w:rPr>
        <w:t>Unruh</w:t>
      </w:r>
      <w:proofErr w:type="spellEnd"/>
      <w:r w:rsidRPr="00D470F4">
        <w:rPr>
          <w:rFonts w:ascii="Times New Roman" w:hAnsi="Times New Roman" w:cs="Times New Roman"/>
          <w:sz w:val="24"/>
          <w:szCs w:val="24"/>
        </w:rPr>
        <w:t>, 2000). Además, la desestructuración del sistema energético puede poner en riesgo el crecimiento económico actual de un país, a costa de las generaciones futuras, que tienen una representación limitada en la actualidad (</w:t>
      </w:r>
      <w:proofErr w:type="spellStart"/>
      <w:r w:rsidRPr="00D470F4">
        <w:rPr>
          <w:rFonts w:ascii="Times New Roman" w:hAnsi="Times New Roman" w:cs="Times New Roman"/>
          <w:sz w:val="24"/>
          <w:szCs w:val="24"/>
        </w:rPr>
        <w:t>Bernauer</w:t>
      </w:r>
      <w:proofErr w:type="spellEnd"/>
      <w:r w:rsidRPr="00D470F4">
        <w:rPr>
          <w:rFonts w:ascii="Times New Roman" w:hAnsi="Times New Roman" w:cs="Times New Roman"/>
          <w:sz w:val="24"/>
          <w:szCs w:val="24"/>
        </w:rPr>
        <w:t>, 2013).</w:t>
      </w:r>
    </w:p>
    <w:p w14:paraId="7827DED5" w14:textId="684A5C67" w:rsidR="00262F75" w:rsidRPr="00D470F4" w:rsidRDefault="000F6F6E" w:rsidP="00132D23">
      <w:pPr>
        <w:autoSpaceDE w:val="0"/>
        <w:autoSpaceDN w:val="0"/>
        <w:adjustRightInd w:val="0"/>
        <w:spacing w:after="0" w:line="480" w:lineRule="auto"/>
        <w:jc w:val="both"/>
        <w:rPr>
          <w:rFonts w:ascii="Times New Roman" w:hAnsi="Times New Roman" w:cs="Times New Roman"/>
          <w:sz w:val="24"/>
          <w:szCs w:val="24"/>
        </w:rPr>
      </w:pPr>
      <w:r w:rsidRPr="00D470F4">
        <w:rPr>
          <w:rFonts w:ascii="Times New Roman" w:hAnsi="Times New Roman" w:cs="Times New Roman"/>
          <w:sz w:val="24"/>
          <w:szCs w:val="24"/>
        </w:rPr>
        <w:t xml:space="preserve"> Estos problemas son aún más acentuados en los países en desarrollo, donde la población se preocupa más por los "valores materiales" (luchar contra el hambre, la desigualdad, la pobreza) en comparación con los "</w:t>
      </w:r>
      <w:proofErr w:type="spellStart"/>
      <w:r w:rsidRPr="00D470F4">
        <w:rPr>
          <w:rFonts w:ascii="Times New Roman" w:hAnsi="Times New Roman" w:cs="Times New Roman"/>
          <w:sz w:val="24"/>
          <w:szCs w:val="24"/>
        </w:rPr>
        <w:t>post-materiales</w:t>
      </w:r>
      <w:proofErr w:type="spellEnd"/>
      <w:r w:rsidRPr="00D470F4">
        <w:rPr>
          <w:rFonts w:ascii="Times New Roman" w:hAnsi="Times New Roman" w:cs="Times New Roman"/>
          <w:sz w:val="24"/>
          <w:szCs w:val="24"/>
        </w:rPr>
        <w:t>" (defender los derechos de los animales, proteger el medio ambiente, etc.) (</w:t>
      </w:r>
      <w:proofErr w:type="spellStart"/>
      <w:r w:rsidRPr="00D470F4">
        <w:rPr>
          <w:rFonts w:ascii="Times New Roman" w:hAnsi="Times New Roman" w:cs="Times New Roman"/>
          <w:sz w:val="24"/>
          <w:szCs w:val="24"/>
        </w:rPr>
        <w:t>Inglehart</w:t>
      </w:r>
      <w:proofErr w:type="spellEnd"/>
      <w:r w:rsidRPr="00D470F4">
        <w:rPr>
          <w:rFonts w:ascii="Times New Roman" w:hAnsi="Times New Roman" w:cs="Times New Roman"/>
          <w:sz w:val="24"/>
          <w:szCs w:val="24"/>
        </w:rPr>
        <w:t>, 1995) y adoptan una tasa de descuento social de tipo "crecer primero, limpiar después" (</w:t>
      </w:r>
      <w:proofErr w:type="spellStart"/>
      <w:r w:rsidRPr="00D470F4">
        <w:rPr>
          <w:rFonts w:ascii="Times New Roman" w:hAnsi="Times New Roman" w:cs="Times New Roman"/>
          <w:sz w:val="24"/>
          <w:szCs w:val="24"/>
        </w:rPr>
        <w:t>Spilker</w:t>
      </w:r>
      <w:proofErr w:type="spellEnd"/>
      <w:r w:rsidRPr="00D470F4">
        <w:rPr>
          <w:rFonts w:ascii="Times New Roman" w:hAnsi="Times New Roman" w:cs="Times New Roman"/>
          <w:sz w:val="24"/>
          <w:szCs w:val="24"/>
        </w:rPr>
        <w:t xml:space="preserve">, 2016). De este modo, que países en vías de desarrollo hayan puesto en marcha ambiciosos programas de diversificación de su matriz energética debe aparecer como un enigma particularmente </w:t>
      </w:r>
      <w:r w:rsidRPr="00D470F4">
        <w:rPr>
          <w:rFonts w:ascii="Times New Roman" w:hAnsi="Times New Roman" w:cs="Times New Roman"/>
          <w:sz w:val="24"/>
          <w:szCs w:val="24"/>
        </w:rPr>
        <w:lastRenderedPageBreak/>
        <w:t>sorprendente. En comparación con países desarrollados el aporte de estos a las emisiones globales de dióxido de carbono, tanto en términos históricos como per cápita, es muy menor. Más aún la contribución de los países en vías de desarrollo al esfuerzo global de reducción de emisiones de carbono es insignificante en ausencia de idéntico compromiso por parte de las naciones más desarrolladas.</w:t>
      </w:r>
    </w:p>
    <w:p w14:paraId="2604A5A7" w14:textId="22AB69A3" w:rsidR="002C5518" w:rsidRPr="00D470F4" w:rsidRDefault="002C5518" w:rsidP="00132D23">
      <w:pPr>
        <w:autoSpaceDE w:val="0"/>
        <w:autoSpaceDN w:val="0"/>
        <w:adjustRightInd w:val="0"/>
        <w:spacing w:after="0" w:line="480" w:lineRule="auto"/>
        <w:jc w:val="both"/>
        <w:rPr>
          <w:rFonts w:ascii="Times New Roman" w:hAnsi="Times New Roman" w:cs="Times New Roman"/>
          <w:b/>
          <w:sz w:val="24"/>
          <w:szCs w:val="24"/>
        </w:rPr>
      </w:pPr>
      <w:r w:rsidRPr="00D470F4">
        <w:rPr>
          <w:rFonts w:ascii="Times New Roman" w:hAnsi="Times New Roman" w:cs="Times New Roman"/>
          <w:b/>
          <w:sz w:val="24"/>
          <w:szCs w:val="24"/>
        </w:rPr>
        <w:t>El argumento de la tesis en breve</w:t>
      </w:r>
    </w:p>
    <w:p w14:paraId="01554D31" w14:textId="77777777" w:rsidR="000F6F6E" w:rsidRPr="00D470F4" w:rsidRDefault="000F6F6E" w:rsidP="00132D23">
      <w:pPr>
        <w:autoSpaceDE w:val="0"/>
        <w:autoSpaceDN w:val="0"/>
        <w:adjustRightInd w:val="0"/>
        <w:spacing w:after="0" w:line="480" w:lineRule="auto"/>
        <w:jc w:val="both"/>
        <w:rPr>
          <w:rFonts w:ascii="Times New Roman" w:hAnsi="Times New Roman" w:cs="Times New Roman"/>
          <w:b/>
          <w:sz w:val="24"/>
          <w:szCs w:val="24"/>
        </w:rPr>
      </w:pPr>
    </w:p>
    <w:p w14:paraId="0C678004" w14:textId="62A1D10B" w:rsidR="00262F75" w:rsidRPr="00D470F4" w:rsidRDefault="00491CC8" w:rsidP="00132D23">
      <w:pPr>
        <w:autoSpaceDE w:val="0"/>
        <w:autoSpaceDN w:val="0"/>
        <w:adjustRightInd w:val="0"/>
        <w:spacing w:after="0" w:line="480" w:lineRule="auto"/>
        <w:jc w:val="both"/>
        <w:rPr>
          <w:rFonts w:ascii="Times New Roman" w:hAnsi="Times New Roman" w:cs="Times New Roman"/>
          <w:b/>
          <w:sz w:val="24"/>
          <w:szCs w:val="24"/>
        </w:rPr>
      </w:pPr>
      <w:r w:rsidRPr="00D470F4">
        <w:rPr>
          <w:rFonts w:ascii="Times New Roman" w:hAnsi="Times New Roman" w:cs="Times New Roman"/>
          <w:b/>
          <w:sz w:val="24"/>
          <w:szCs w:val="24"/>
        </w:rPr>
        <w:t>Estructura de la Tesis</w:t>
      </w:r>
    </w:p>
    <w:p w14:paraId="161343B8" w14:textId="47314911" w:rsidR="00A70FA3" w:rsidRPr="00D470F4" w:rsidRDefault="000F6F6E" w:rsidP="00132D23">
      <w:pPr>
        <w:autoSpaceDE w:val="0"/>
        <w:autoSpaceDN w:val="0"/>
        <w:adjustRightInd w:val="0"/>
        <w:spacing w:after="0" w:line="480" w:lineRule="auto"/>
        <w:jc w:val="both"/>
        <w:rPr>
          <w:rFonts w:ascii="Times New Roman" w:hAnsi="Times New Roman" w:cs="Times New Roman"/>
          <w:sz w:val="24"/>
          <w:szCs w:val="24"/>
        </w:rPr>
      </w:pPr>
      <w:r w:rsidRPr="00D470F4">
        <w:rPr>
          <w:rFonts w:ascii="Times New Roman" w:hAnsi="Times New Roman" w:cs="Times New Roman"/>
          <w:sz w:val="24"/>
          <w:szCs w:val="24"/>
        </w:rPr>
        <w:t xml:space="preserve">El resto de esta tesis </w:t>
      </w:r>
      <w:r w:rsidR="00A70FA3" w:rsidRPr="00D470F4">
        <w:rPr>
          <w:rFonts w:ascii="Times New Roman" w:hAnsi="Times New Roman" w:cs="Times New Roman"/>
          <w:sz w:val="24"/>
          <w:szCs w:val="24"/>
        </w:rPr>
        <w:t>continúa de la siguiente manera</w:t>
      </w:r>
      <w:r w:rsidRPr="00D470F4">
        <w:rPr>
          <w:rFonts w:ascii="Times New Roman" w:hAnsi="Times New Roman" w:cs="Times New Roman"/>
          <w:sz w:val="24"/>
          <w:szCs w:val="24"/>
        </w:rPr>
        <w:t xml:space="preserve">. El segundo capítulo describe </w:t>
      </w:r>
      <w:r w:rsidR="00A70FA3" w:rsidRPr="00D470F4">
        <w:rPr>
          <w:rFonts w:ascii="Times New Roman" w:hAnsi="Times New Roman" w:cs="Times New Roman"/>
          <w:sz w:val="24"/>
          <w:szCs w:val="24"/>
        </w:rPr>
        <w:t xml:space="preserve">el marco </w:t>
      </w:r>
      <w:r w:rsidRPr="00D470F4">
        <w:rPr>
          <w:rFonts w:ascii="Times New Roman" w:hAnsi="Times New Roman" w:cs="Times New Roman"/>
          <w:sz w:val="24"/>
          <w:szCs w:val="24"/>
        </w:rPr>
        <w:t>teóric</w:t>
      </w:r>
      <w:r w:rsidR="00A70FA3" w:rsidRPr="00D470F4">
        <w:rPr>
          <w:rFonts w:ascii="Times New Roman" w:hAnsi="Times New Roman" w:cs="Times New Roman"/>
          <w:sz w:val="24"/>
          <w:szCs w:val="24"/>
        </w:rPr>
        <w:t>o y los conceptos</w:t>
      </w:r>
      <w:r w:rsidRPr="00D470F4">
        <w:rPr>
          <w:rFonts w:ascii="Times New Roman" w:hAnsi="Times New Roman" w:cs="Times New Roman"/>
          <w:sz w:val="24"/>
          <w:szCs w:val="24"/>
        </w:rPr>
        <w:t xml:space="preserve"> esenciales utilizadas en la investigació</w:t>
      </w:r>
      <w:r w:rsidR="00A70FA3" w:rsidRPr="00D470F4">
        <w:rPr>
          <w:rFonts w:ascii="Times New Roman" w:hAnsi="Times New Roman" w:cs="Times New Roman"/>
          <w:sz w:val="24"/>
          <w:szCs w:val="24"/>
        </w:rPr>
        <w:t>n. En particular, interesa aclarar el concepto que utilizamos para políticas públicas, especialmente, en lo que se refiere a las políticas de promoción de ERNC. En segundo lugar, dejar en claro el concepto de energías renovables no convencionales que utilizamos, dejando en claro que en el caso de esta investigación nos concentramos en aquellas que han tenido un mayor impacto en la estructuración del sistema eléctrico para la alta tensión</w:t>
      </w:r>
      <w:r w:rsidRPr="00D470F4">
        <w:rPr>
          <w:rFonts w:ascii="Times New Roman" w:hAnsi="Times New Roman" w:cs="Times New Roman"/>
          <w:sz w:val="24"/>
          <w:szCs w:val="24"/>
        </w:rPr>
        <w:t xml:space="preserve">. </w:t>
      </w:r>
      <w:r w:rsidR="00A70FA3" w:rsidRPr="00D470F4">
        <w:rPr>
          <w:rFonts w:ascii="Times New Roman" w:hAnsi="Times New Roman" w:cs="Times New Roman"/>
          <w:sz w:val="24"/>
          <w:szCs w:val="24"/>
        </w:rPr>
        <w:t>Asimismo, interesa dejar en claro el concepto de seguridad energética que ejerce una influencia sustancial en el desarrollo de políticas de ERNC. Del mismo modo, se aclara la noción de coyuntura crítica, que ejerce una importancia sustantiva en la explicación de la reforma del sistema eléctrico y en las políticas que se derivan. Finalmente, se aclaran los conceptos de “neoliberalismo” y “</w:t>
      </w:r>
      <w:proofErr w:type="spellStart"/>
      <w:r w:rsidR="00A70FA3" w:rsidRPr="00D470F4">
        <w:rPr>
          <w:rFonts w:ascii="Times New Roman" w:hAnsi="Times New Roman" w:cs="Times New Roman"/>
          <w:sz w:val="24"/>
          <w:szCs w:val="24"/>
        </w:rPr>
        <w:t>neodesarrollismo</w:t>
      </w:r>
      <w:proofErr w:type="spellEnd"/>
      <w:r w:rsidR="00A70FA3" w:rsidRPr="00D470F4">
        <w:rPr>
          <w:rFonts w:ascii="Times New Roman" w:hAnsi="Times New Roman" w:cs="Times New Roman"/>
          <w:sz w:val="24"/>
          <w:szCs w:val="24"/>
        </w:rPr>
        <w:t>” que marcan los programas de desarrollo y la ideología del poder ejecutivo, e influyen sobre sus políticas energéticas y de promoción de ERNC.</w:t>
      </w:r>
    </w:p>
    <w:p w14:paraId="7A9150E7" w14:textId="77777777" w:rsidR="00A70FA3" w:rsidRPr="00D470F4" w:rsidRDefault="00A70FA3" w:rsidP="00132D23">
      <w:pPr>
        <w:autoSpaceDE w:val="0"/>
        <w:autoSpaceDN w:val="0"/>
        <w:adjustRightInd w:val="0"/>
        <w:spacing w:after="0" w:line="480" w:lineRule="auto"/>
        <w:jc w:val="both"/>
        <w:rPr>
          <w:rFonts w:ascii="Times New Roman" w:hAnsi="Times New Roman" w:cs="Times New Roman"/>
          <w:sz w:val="24"/>
          <w:szCs w:val="24"/>
        </w:rPr>
      </w:pPr>
      <w:r w:rsidRPr="00D470F4">
        <w:rPr>
          <w:rFonts w:ascii="Times New Roman" w:hAnsi="Times New Roman" w:cs="Times New Roman"/>
          <w:sz w:val="24"/>
          <w:szCs w:val="24"/>
        </w:rPr>
        <w:t xml:space="preserve"> </w:t>
      </w:r>
      <w:r w:rsidR="000F6F6E" w:rsidRPr="00D470F4">
        <w:rPr>
          <w:rFonts w:ascii="Times New Roman" w:hAnsi="Times New Roman" w:cs="Times New Roman"/>
          <w:sz w:val="24"/>
          <w:szCs w:val="24"/>
        </w:rPr>
        <w:t xml:space="preserve">En el capítulo tres, se establece el enfoque de investigación; se discute el uso del rastreo de procesos como la técnica más adecuada para explorar el efecto de las ideas; se justifica </w:t>
      </w:r>
      <w:r w:rsidR="000F6F6E" w:rsidRPr="00D470F4">
        <w:rPr>
          <w:rFonts w:ascii="Times New Roman" w:hAnsi="Times New Roman" w:cs="Times New Roman"/>
          <w:sz w:val="24"/>
          <w:szCs w:val="24"/>
        </w:rPr>
        <w:lastRenderedPageBreak/>
        <w:t>la periodización del análisis; y se presenta el plan para la recopilación de datos y la evaluación de fuentes.</w:t>
      </w:r>
    </w:p>
    <w:p w14:paraId="113E5209" w14:textId="0B77ED3C" w:rsidR="000F6F6E" w:rsidRPr="00D470F4" w:rsidRDefault="007235C8" w:rsidP="00132D23">
      <w:pPr>
        <w:autoSpaceDE w:val="0"/>
        <w:autoSpaceDN w:val="0"/>
        <w:adjustRightInd w:val="0"/>
        <w:spacing w:after="0" w:line="480" w:lineRule="auto"/>
        <w:jc w:val="both"/>
        <w:rPr>
          <w:rFonts w:ascii="Times New Roman" w:hAnsi="Times New Roman" w:cs="Times New Roman"/>
          <w:sz w:val="24"/>
          <w:szCs w:val="24"/>
        </w:rPr>
      </w:pPr>
      <w:r w:rsidRPr="00D470F4">
        <w:rPr>
          <w:rFonts w:ascii="Times New Roman" w:hAnsi="Times New Roman" w:cs="Times New Roman"/>
          <w:sz w:val="24"/>
          <w:szCs w:val="24"/>
        </w:rPr>
        <w:t xml:space="preserve">Los capítulos cuatro y cinco </w:t>
      </w:r>
      <w:r w:rsidR="000F6F6E" w:rsidRPr="00D470F4">
        <w:rPr>
          <w:rFonts w:ascii="Times New Roman" w:hAnsi="Times New Roman" w:cs="Times New Roman"/>
          <w:sz w:val="24"/>
          <w:szCs w:val="24"/>
        </w:rPr>
        <w:t>constituyen la mayor parte del estudio empírico. Este capítulo concluye con una cronología que ofrece una visión general de los principales eventos institucionales y legislativos examinados en los capítulos anteriores</w:t>
      </w:r>
      <w:r w:rsidRPr="00D470F4">
        <w:rPr>
          <w:rFonts w:ascii="Times New Roman" w:hAnsi="Times New Roman" w:cs="Times New Roman"/>
          <w:sz w:val="24"/>
          <w:szCs w:val="24"/>
        </w:rPr>
        <w:t>.</w:t>
      </w:r>
    </w:p>
    <w:p w14:paraId="218D17D9" w14:textId="30B33C31" w:rsidR="007235C8" w:rsidRPr="00D470F4" w:rsidRDefault="000F6F6E" w:rsidP="00132D23">
      <w:pPr>
        <w:autoSpaceDE w:val="0"/>
        <w:autoSpaceDN w:val="0"/>
        <w:adjustRightInd w:val="0"/>
        <w:spacing w:after="0" w:line="480" w:lineRule="auto"/>
        <w:jc w:val="both"/>
        <w:rPr>
          <w:rFonts w:ascii="Times New Roman" w:hAnsi="Times New Roman" w:cs="Times New Roman"/>
          <w:sz w:val="24"/>
          <w:szCs w:val="24"/>
        </w:rPr>
      </w:pPr>
      <w:r w:rsidRPr="00D470F4">
        <w:rPr>
          <w:rFonts w:ascii="Times New Roman" w:hAnsi="Times New Roman" w:cs="Times New Roman"/>
          <w:sz w:val="24"/>
          <w:szCs w:val="24"/>
        </w:rPr>
        <w:t xml:space="preserve">El cuarto capítulo explora el desarrollo de la política </w:t>
      </w:r>
      <w:r w:rsidR="007235C8" w:rsidRPr="00D470F4">
        <w:rPr>
          <w:rFonts w:ascii="Times New Roman" w:hAnsi="Times New Roman" w:cs="Times New Roman"/>
          <w:sz w:val="24"/>
          <w:szCs w:val="24"/>
        </w:rPr>
        <w:t>energética</w:t>
      </w:r>
      <w:r w:rsidRPr="00D470F4">
        <w:rPr>
          <w:rFonts w:ascii="Times New Roman" w:hAnsi="Times New Roman" w:cs="Times New Roman"/>
          <w:sz w:val="24"/>
          <w:szCs w:val="24"/>
        </w:rPr>
        <w:t xml:space="preserve"> </w:t>
      </w:r>
      <w:r w:rsidR="007235C8" w:rsidRPr="00D470F4">
        <w:rPr>
          <w:rFonts w:ascii="Times New Roman" w:hAnsi="Times New Roman" w:cs="Times New Roman"/>
          <w:sz w:val="24"/>
          <w:szCs w:val="24"/>
        </w:rPr>
        <w:t>argentina</w:t>
      </w:r>
      <w:r w:rsidRPr="00D470F4">
        <w:rPr>
          <w:rFonts w:ascii="Times New Roman" w:hAnsi="Times New Roman" w:cs="Times New Roman"/>
          <w:sz w:val="24"/>
          <w:szCs w:val="24"/>
        </w:rPr>
        <w:t xml:space="preserve"> entre 19</w:t>
      </w:r>
      <w:r w:rsidR="007235C8" w:rsidRPr="00D470F4">
        <w:rPr>
          <w:rFonts w:ascii="Times New Roman" w:hAnsi="Times New Roman" w:cs="Times New Roman"/>
          <w:sz w:val="24"/>
          <w:szCs w:val="24"/>
        </w:rPr>
        <w:t>90</w:t>
      </w:r>
      <w:r w:rsidRPr="00D470F4">
        <w:rPr>
          <w:rFonts w:ascii="Times New Roman" w:hAnsi="Times New Roman" w:cs="Times New Roman"/>
          <w:sz w:val="24"/>
          <w:szCs w:val="24"/>
        </w:rPr>
        <w:t xml:space="preserve"> y </w:t>
      </w:r>
      <w:r w:rsidR="007235C8" w:rsidRPr="00D470F4">
        <w:rPr>
          <w:rFonts w:ascii="Times New Roman" w:hAnsi="Times New Roman" w:cs="Times New Roman"/>
          <w:sz w:val="24"/>
          <w:szCs w:val="24"/>
        </w:rPr>
        <w:t>2020,</w:t>
      </w:r>
      <w:r w:rsidRPr="00D470F4">
        <w:rPr>
          <w:rFonts w:ascii="Times New Roman" w:hAnsi="Times New Roman" w:cs="Times New Roman"/>
          <w:sz w:val="24"/>
          <w:szCs w:val="24"/>
        </w:rPr>
        <w:t xml:space="preserve"> desde un punto de vista histórico. Este capítulo examina cómo se llegó a definir </w:t>
      </w:r>
      <w:r w:rsidR="007235C8" w:rsidRPr="00D470F4">
        <w:rPr>
          <w:rFonts w:ascii="Times New Roman" w:hAnsi="Times New Roman" w:cs="Times New Roman"/>
          <w:sz w:val="24"/>
          <w:szCs w:val="24"/>
        </w:rPr>
        <w:t xml:space="preserve">la cuestión </w:t>
      </w:r>
      <w:r w:rsidRPr="00D470F4">
        <w:rPr>
          <w:rFonts w:ascii="Times New Roman" w:hAnsi="Times New Roman" w:cs="Times New Roman"/>
          <w:sz w:val="24"/>
          <w:szCs w:val="24"/>
        </w:rPr>
        <w:t>de la</w:t>
      </w:r>
      <w:r w:rsidR="007235C8" w:rsidRPr="00D470F4">
        <w:rPr>
          <w:rFonts w:ascii="Times New Roman" w:hAnsi="Times New Roman" w:cs="Times New Roman"/>
          <w:sz w:val="24"/>
          <w:szCs w:val="24"/>
        </w:rPr>
        <w:t xml:space="preserve"> energía eléctrica y la reforma integral del sector dentro del marco ideológico del neoliberalismo. Se muestra como la hiperinflación puede ser definida como una coyuntura crítica que sirvió para licuar los apoyos políticos ideológicos a los modelos desarrollistas y permitió una mayor recepción de las ideas neoliberales que fueron permeadas por actores claves</w:t>
      </w:r>
      <w:r w:rsidRPr="00D470F4">
        <w:rPr>
          <w:rFonts w:ascii="Times New Roman" w:hAnsi="Times New Roman" w:cs="Times New Roman"/>
          <w:sz w:val="24"/>
          <w:szCs w:val="24"/>
        </w:rPr>
        <w:t xml:space="preserve">. </w:t>
      </w:r>
      <w:r w:rsidR="007235C8" w:rsidRPr="00D470F4">
        <w:rPr>
          <w:rFonts w:ascii="Times New Roman" w:hAnsi="Times New Roman" w:cs="Times New Roman"/>
          <w:sz w:val="24"/>
          <w:szCs w:val="24"/>
        </w:rPr>
        <w:t xml:space="preserve">Se avanza además en las primeras medidas y experiencias de promoción de ERNC para la alta tensión eléctrica, sus causas y sus límites. Entre 1998 y 2002, una nueva crisis macroeconómica general volvió a poner en cuestión el modelo de desarrollo imperante durante la década de los noventa. Se impusieron distintas medidas como paliativos, que, sin embargo, no avanzaron en desestructurar la lógica neoliberal tanto de desarrollo como del sistema eléctrico. Se analiza el funcionamiento del sistema eléctrico y el fracaso de los programas de promoción de ERNC dentro de este contexto. El capítulo 4 finaliza con el análisis del cambio de políticas, a partir de la llegada de una nueva coalición de gobierno, en diciembre de 2015. Este marcó una nueva estrategia de desarrollo, con una orientación más cercana a los mercados y la rehabilitación del </w:t>
      </w:r>
      <w:r w:rsidR="00AF0A50" w:rsidRPr="00D470F4">
        <w:rPr>
          <w:rFonts w:ascii="Times New Roman" w:hAnsi="Times New Roman" w:cs="Times New Roman"/>
          <w:sz w:val="24"/>
          <w:szCs w:val="24"/>
        </w:rPr>
        <w:t xml:space="preserve">modelo neoliberal de la década de 1990. Asimismo, se analiza el impacto que esta nueva orientación ideológica tuvo sobre la política eléctrica y su impacto sobre el diseño de las políticas de ERNC. En particular, el caso del programa </w:t>
      </w:r>
      <w:proofErr w:type="spellStart"/>
      <w:r w:rsidR="00AF0A50" w:rsidRPr="00D470F4">
        <w:rPr>
          <w:rFonts w:ascii="Times New Roman" w:hAnsi="Times New Roman" w:cs="Times New Roman"/>
          <w:sz w:val="24"/>
          <w:szCs w:val="24"/>
        </w:rPr>
        <w:t>RENOVar</w:t>
      </w:r>
      <w:proofErr w:type="spellEnd"/>
      <w:r w:rsidR="00AF0A50" w:rsidRPr="00D470F4">
        <w:rPr>
          <w:rFonts w:ascii="Times New Roman" w:hAnsi="Times New Roman" w:cs="Times New Roman"/>
          <w:sz w:val="24"/>
          <w:szCs w:val="24"/>
        </w:rPr>
        <w:t xml:space="preserve">, que tuvo un éxito sustantivo en el crecimiento de energía </w:t>
      </w:r>
      <w:r w:rsidR="00AF0A50" w:rsidRPr="00D470F4">
        <w:rPr>
          <w:rFonts w:ascii="Times New Roman" w:hAnsi="Times New Roman" w:cs="Times New Roman"/>
          <w:sz w:val="24"/>
          <w:szCs w:val="24"/>
        </w:rPr>
        <w:lastRenderedPageBreak/>
        <w:t>eólica y solar en el segmento de la oferta, a costa de una profundización de la estrategia de desarrollo dependiente, que implica la remisión de ganancias a las potencias centrales y la 7 ausencia de una estrategia de desarrollo endógeno, verificada especialmente en la falta de interés en la cuestión del desarrollo industrial.</w:t>
      </w:r>
    </w:p>
    <w:p w14:paraId="436D1570" w14:textId="77777777" w:rsidR="003717B5" w:rsidRPr="00D470F4" w:rsidRDefault="003717B5" w:rsidP="00132D23">
      <w:pPr>
        <w:pStyle w:val="Textoindependiente"/>
        <w:spacing w:before="33" w:line="480" w:lineRule="auto"/>
        <w:ind w:left="116"/>
        <w:jc w:val="center"/>
        <w:rPr>
          <w:rFonts w:ascii="Times New Roman" w:hAnsi="Times New Roman" w:cs="Times New Roman"/>
          <w:b/>
          <w:color w:val="231F20"/>
          <w:spacing w:val="-4"/>
          <w:sz w:val="24"/>
          <w:szCs w:val="24"/>
          <w:lang w:val="es"/>
        </w:rPr>
      </w:pPr>
      <w:r w:rsidRPr="00D470F4">
        <w:rPr>
          <w:rFonts w:ascii="Times New Roman" w:hAnsi="Times New Roman" w:cs="Times New Roman"/>
          <w:b/>
          <w:color w:val="231F20"/>
          <w:spacing w:val="-4"/>
          <w:sz w:val="24"/>
          <w:szCs w:val="24"/>
          <w:lang w:val="es"/>
        </w:rPr>
        <w:t>Capítulo 2</w:t>
      </w:r>
    </w:p>
    <w:p w14:paraId="4ADC3178" w14:textId="77777777" w:rsidR="003717B5" w:rsidRPr="00D470F4" w:rsidRDefault="003717B5" w:rsidP="00132D23">
      <w:pPr>
        <w:pStyle w:val="Textoindependiente"/>
        <w:spacing w:before="33" w:line="480" w:lineRule="auto"/>
        <w:ind w:left="116"/>
        <w:jc w:val="center"/>
        <w:rPr>
          <w:rFonts w:ascii="Times New Roman" w:hAnsi="Times New Roman" w:cs="Times New Roman"/>
          <w:b/>
          <w:color w:val="231F20"/>
          <w:spacing w:val="-4"/>
          <w:sz w:val="24"/>
          <w:szCs w:val="24"/>
          <w:lang w:val="es"/>
        </w:rPr>
      </w:pPr>
      <w:r w:rsidRPr="00D470F4">
        <w:rPr>
          <w:rFonts w:ascii="Times New Roman" w:hAnsi="Times New Roman" w:cs="Times New Roman"/>
          <w:b/>
          <w:color w:val="231F20"/>
          <w:spacing w:val="-4"/>
          <w:sz w:val="24"/>
          <w:szCs w:val="24"/>
          <w:lang w:val="es"/>
        </w:rPr>
        <w:t>Marco Teórico y Estrategia de Investigación</w:t>
      </w:r>
    </w:p>
    <w:p w14:paraId="7C62A2E1" w14:textId="43880855" w:rsidR="003717B5" w:rsidRPr="00D470F4" w:rsidRDefault="002C5518" w:rsidP="00132D23">
      <w:pPr>
        <w:pStyle w:val="Textoindependiente"/>
        <w:spacing w:before="33" w:line="480" w:lineRule="auto"/>
        <w:ind w:left="116"/>
        <w:rPr>
          <w:rFonts w:ascii="Times New Roman" w:hAnsi="Times New Roman" w:cs="Times New Roman"/>
          <w:b/>
          <w:color w:val="231F20"/>
          <w:spacing w:val="-4"/>
          <w:sz w:val="24"/>
          <w:szCs w:val="24"/>
          <w:lang w:val="es"/>
        </w:rPr>
      </w:pPr>
      <w:r w:rsidRPr="00D470F4">
        <w:rPr>
          <w:rFonts w:ascii="Times New Roman" w:hAnsi="Times New Roman" w:cs="Times New Roman"/>
          <w:b/>
          <w:color w:val="231F20"/>
          <w:spacing w:val="-4"/>
          <w:sz w:val="24"/>
          <w:szCs w:val="24"/>
          <w:lang w:val="es"/>
        </w:rPr>
        <w:t>Introducción</w:t>
      </w:r>
    </w:p>
    <w:p w14:paraId="6F0F8D38" w14:textId="77777777" w:rsidR="003717B5" w:rsidRPr="00D470F4" w:rsidRDefault="003717B5" w:rsidP="00132D23">
      <w:pPr>
        <w:pStyle w:val="Textoindependiente"/>
        <w:spacing w:before="33" w:line="480" w:lineRule="auto"/>
        <w:ind w:left="116"/>
        <w:rPr>
          <w:rFonts w:ascii="Times New Roman" w:hAnsi="Times New Roman" w:cs="Times New Roman"/>
          <w:b/>
          <w:color w:val="231F20"/>
          <w:spacing w:val="-4"/>
          <w:sz w:val="24"/>
          <w:szCs w:val="24"/>
          <w:lang w:val="es"/>
        </w:rPr>
      </w:pPr>
      <w:r w:rsidRPr="00D470F4">
        <w:rPr>
          <w:rFonts w:ascii="Times New Roman" w:hAnsi="Times New Roman" w:cs="Times New Roman"/>
          <w:b/>
          <w:color w:val="231F20"/>
          <w:spacing w:val="-4"/>
          <w:sz w:val="24"/>
          <w:szCs w:val="24"/>
          <w:lang w:val="es"/>
        </w:rPr>
        <w:t>Políticas de Promoción de Energías Renovables No Convencionales</w:t>
      </w:r>
    </w:p>
    <w:p w14:paraId="42A9845F" w14:textId="77777777" w:rsidR="003717B5" w:rsidRPr="00D470F4" w:rsidRDefault="003717B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Esta investigación apunta a explicar los mecanismos de diversificación de la matriz eléctrica para la alta tensión a través de la introducción de políticas públicas de promoción de tecnologías de energías renovables no convencionales (ERNC). Por políticas públicas entendemos al conjunto “de leyes, medidas regulatorias, cursos de acción y prioridades de financiamiento relacionadas con un tema determinado promulgado por una entidad gubernamental o sus representantes” </w:t>
      </w:r>
      <w:r w:rsidRPr="00D470F4">
        <w:rPr>
          <w:rFonts w:ascii="Times New Roman" w:hAnsi="Times New Roman" w:cs="Times New Roman"/>
          <w:color w:val="231F20"/>
          <w:spacing w:val="-4"/>
          <w:sz w:val="24"/>
          <w:szCs w:val="24"/>
          <w:lang w:val="es"/>
        </w:rPr>
        <w:fldChar w:fldCharType="begin" w:fldLock="1"/>
      </w:r>
      <w:r w:rsidRPr="00D470F4">
        <w:rPr>
          <w:rFonts w:ascii="Times New Roman" w:hAnsi="Times New Roman" w:cs="Times New Roman"/>
          <w:color w:val="231F20"/>
          <w:spacing w:val="-4"/>
          <w:sz w:val="24"/>
          <w:szCs w:val="24"/>
          <w:lang w:val="es"/>
        </w:rPr>
        <w:instrText>ADDIN CSL_CITATION {"citationItems":[{"id":"ITEM-1","itemData":{"URL":"https://mainweb-v.musc.edu/vawprevention/policy/definition.shtml","accessed":{"date-parts":[["2019","2","20"]]},"author":[{"dropping-particle":"","family":"Kilpratik","given":"Dean","non-dropping-particle":"","parse-names":false,"suffix":""}],"container-title":"National Violence Against Women Prevention Research Center","id":"ITEM-1","issued":{"date-parts":[["2010"]]},"title":"Definitions of Public Policy and the Law","type":"webpage"},"locator":"2","uris":["http://www.mendeley.com/documents/?uuid=6cf1344b-0904-41db-8d6f-1850307b2738"]}],"mendeley":{"formattedCitation":"(Kilpratik 2010, 2)","plainTextFormattedCitation":"(Kilpratik 2010, 2)","previouslyFormattedCitation":"(Kilpratik 2010, 2)"},"properties":{"noteIndex":0},"schema":"https://github.com/citation-style-language/schema/raw/master/csl-citation.json"}</w:instrText>
      </w:r>
      <w:r w:rsidRPr="00D470F4">
        <w:rPr>
          <w:rFonts w:ascii="Times New Roman" w:hAnsi="Times New Roman" w:cs="Times New Roman"/>
          <w:color w:val="231F20"/>
          <w:spacing w:val="-4"/>
          <w:sz w:val="24"/>
          <w:szCs w:val="24"/>
          <w:lang w:val="es"/>
        </w:rPr>
        <w:fldChar w:fldCharType="separate"/>
      </w:r>
      <w:r w:rsidRPr="00D470F4">
        <w:rPr>
          <w:rFonts w:ascii="Times New Roman" w:hAnsi="Times New Roman" w:cs="Times New Roman"/>
          <w:color w:val="231F20"/>
          <w:spacing w:val="-4"/>
          <w:sz w:val="24"/>
          <w:szCs w:val="24"/>
          <w:lang w:val="es"/>
        </w:rPr>
        <w:t>(Kilpratik 2010, 2)</w:t>
      </w:r>
      <w:r w:rsidRPr="00D470F4">
        <w:rPr>
          <w:rFonts w:ascii="Times New Roman" w:hAnsi="Times New Roman" w:cs="Times New Roman"/>
          <w:color w:val="231F20"/>
          <w:spacing w:val="-4"/>
          <w:sz w:val="24"/>
          <w:szCs w:val="24"/>
          <w:lang w:val="es"/>
        </w:rPr>
        <w:fldChar w:fldCharType="end"/>
      </w:r>
      <w:r w:rsidRPr="00D470F4">
        <w:rPr>
          <w:rFonts w:ascii="Times New Roman" w:hAnsi="Times New Roman" w:cs="Times New Roman"/>
          <w:color w:val="231F20"/>
          <w:spacing w:val="-4"/>
          <w:sz w:val="24"/>
          <w:szCs w:val="24"/>
          <w:lang w:val="es"/>
        </w:rPr>
        <w:t>. Las políticas públicas son acciones y decisiones tomadas por el gobierno para abordar problemas o mejorar la calidad de vida de la población. Estas políticas pueden incluir iniciativas en áreas como educación, salud, seguridad, medio ambiente, desarrollo económico y derechos humanos. El objetivo de las políticas públicas es lograr cambios positivos en la sociedad y mejorar la vida de las personas. La formulación de políticas públicas generalmente implica un proceso de investigación, análisis, discusión y evaluación, en el que se toman en cuenta diferentes perspectivas y se busca alcanzar un consenso sobre cómo abordar un problema o mejorar una situación. Las políticas públicas también pueden ser revisadas y actualizadas con el tiempo para adaptarse a los cambios en la sociedad y en el contexto global.</w:t>
      </w:r>
    </w:p>
    <w:p w14:paraId="7C48010E" w14:textId="77777777" w:rsidR="003717B5" w:rsidRPr="00D470F4" w:rsidRDefault="003717B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En 1973 el impacto del aumento de los precios del petróleo decidido por los países miembros de la OPEP provocó una súbita subida inflacionaria y agravó los problemas </w:t>
      </w:r>
      <w:r w:rsidRPr="00D470F4">
        <w:rPr>
          <w:rFonts w:ascii="Times New Roman" w:hAnsi="Times New Roman" w:cs="Times New Roman"/>
          <w:color w:val="231F20"/>
          <w:spacing w:val="-4"/>
          <w:sz w:val="24"/>
          <w:szCs w:val="24"/>
          <w:lang w:val="es"/>
        </w:rPr>
        <w:lastRenderedPageBreak/>
        <w:t>económicos que se venían sintiendo en las economías del Atlántico Norte desde fines de la década anterior. Asimismo, representó un fuerte estímulo para que las cúpulas dirigentes de estos países incentivaran el diseño de políticas creativas que pudieran mejorar la eficiencia en el consumo energético, garantizar la fluidez del suministro y reducir la dependencia exterior. La creciente toma de conciencia respecto a la contaminación atmosférica ha tenido el efecto de reorientar algunas de estas medidas con el objetivo de reducir la emisión de gases de efecto invernadero.</w:t>
      </w:r>
    </w:p>
    <w:p w14:paraId="715D8067" w14:textId="77777777" w:rsidR="003717B5" w:rsidRPr="00D470F4" w:rsidRDefault="003717B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Desde entonces, tres herramientas de política económica han ocupado un lugar destacado tanto en la literatura como en los esfuerzos gubernamentales. En primer lugar, la regulación directa destinada a utilizar mecanismos coercitivos para limitar la emisión de dióxido de carbono. En segundo lugar, las políticas de precios que buscan incorporar en el costo de los combustibles fósiles el impacto ambiental de los mismos y, finalmente, la promoción de la innovación y el desarrollo de tecnologías “verdes”.</w:t>
      </w:r>
    </w:p>
    <w:p w14:paraId="2B13D53F" w14:textId="77777777" w:rsidR="003717B5" w:rsidRPr="00D470F4" w:rsidRDefault="003717B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En términos económicos, la emisión de gases de efecto invernadero puede ser considera una externalidad negativa. Incorporar en su precio, a través de mecanismos fiscales, el daño que produce al medio ambiente, enviaría la señal correcta a los consumidores, desincentivando su consumo (Nordhaus, 1992; </w:t>
      </w:r>
      <w:proofErr w:type="spellStart"/>
      <w:r w:rsidRPr="00D470F4">
        <w:rPr>
          <w:rFonts w:ascii="Times New Roman" w:hAnsi="Times New Roman" w:cs="Times New Roman"/>
          <w:color w:val="231F20"/>
          <w:spacing w:val="-4"/>
          <w:sz w:val="24"/>
          <w:szCs w:val="24"/>
          <w:lang w:val="es"/>
        </w:rPr>
        <w:t>Stavins</w:t>
      </w:r>
      <w:proofErr w:type="spellEnd"/>
      <w:r w:rsidRPr="00D470F4">
        <w:rPr>
          <w:rFonts w:ascii="Times New Roman" w:hAnsi="Times New Roman" w:cs="Times New Roman"/>
          <w:color w:val="231F20"/>
          <w:spacing w:val="-4"/>
          <w:sz w:val="24"/>
          <w:szCs w:val="24"/>
          <w:lang w:val="es"/>
        </w:rPr>
        <w:t>, 1997). Según lo expresa Timmons et al.:</w:t>
      </w:r>
    </w:p>
    <w:p w14:paraId="32E8A608" w14:textId="77777777" w:rsidR="003717B5" w:rsidRPr="00D470F4" w:rsidRDefault="003717B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Hacer que los precios de los combustibles fósiles reflejen los costes de sus externalidades es, probablemente, la única manera de lograr una rápida transición hacia las energías renovables en un futuro cercano (aunque es posible que sea difícil desarrollar la voluntad política necesaria), y posiblemente es también la única opción con el potencial necesario para evitar los efectos más desastrosos del cambio climático. Al aumentar los precios de los combustibles fósiles, los precios de la energía fósil continuarían subiendo debido al agotamiento, y los precios más altos acelerarían las mejoras tecnológicas, reduciendo los costos de las energías renovables. (Timmons et al., 2006, 53).</w:t>
      </w:r>
    </w:p>
    <w:p w14:paraId="22365A13" w14:textId="77777777" w:rsidR="003717B5" w:rsidRPr="00D470F4" w:rsidRDefault="003717B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lastRenderedPageBreak/>
        <w:t>En la teoría económica estándar se considera que (bajo condiciones de estabilidad y competencia perfecta) una externalidad negativa puede ser corregida mediante la introducción de impuestos especiales (</w:t>
      </w:r>
      <w:proofErr w:type="spellStart"/>
      <w:r w:rsidRPr="00D470F4">
        <w:rPr>
          <w:rFonts w:ascii="Times New Roman" w:hAnsi="Times New Roman" w:cs="Times New Roman"/>
          <w:color w:val="231F20"/>
          <w:spacing w:val="-4"/>
          <w:sz w:val="24"/>
          <w:szCs w:val="24"/>
          <w:lang w:val="es"/>
        </w:rPr>
        <w:t>pigouvianos</w:t>
      </w:r>
      <w:proofErr w:type="spellEnd"/>
      <w:r w:rsidRPr="00D470F4">
        <w:rPr>
          <w:rFonts w:ascii="Times New Roman" w:hAnsi="Times New Roman" w:cs="Times New Roman"/>
          <w:color w:val="231F20"/>
          <w:spacing w:val="-4"/>
          <w:sz w:val="24"/>
          <w:szCs w:val="24"/>
          <w:lang w:val="es"/>
        </w:rPr>
        <w:t>) que graven a las empresas privadas por el equivalente de aquella parte de sus propios costos que no es sufragada por ellas mismas (</w:t>
      </w:r>
      <w:proofErr w:type="spellStart"/>
      <w:r w:rsidRPr="00D470F4">
        <w:rPr>
          <w:rFonts w:ascii="Times New Roman" w:hAnsi="Times New Roman" w:cs="Times New Roman"/>
          <w:color w:val="231F20"/>
          <w:spacing w:val="-4"/>
          <w:sz w:val="24"/>
          <w:szCs w:val="24"/>
          <w:lang w:val="es"/>
        </w:rPr>
        <w:t>Pigou</w:t>
      </w:r>
      <w:proofErr w:type="spellEnd"/>
      <w:r w:rsidRPr="00D470F4">
        <w:rPr>
          <w:rFonts w:ascii="Times New Roman" w:hAnsi="Times New Roman" w:cs="Times New Roman"/>
          <w:color w:val="231F20"/>
          <w:spacing w:val="-4"/>
          <w:sz w:val="24"/>
          <w:szCs w:val="24"/>
          <w:lang w:val="es"/>
        </w:rPr>
        <w:t xml:space="preserve"> 1920; Metcalf y Weisbach, 2009) o a través del establecimiento de claros derechos de propiedad y bajos o nulos costos de transacción (Coase, 1960; </w:t>
      </w:r>
      <w:proofErr w:type="spellStart"/>
      <w:r w:rsidRPr="00D470F4">
        <w:rPr>
          <w:rFonts w:ascii="Times New Roman" w:hAnsi="Times New Roman" w:cs="Times New Roman"/>
          <w:color w:val="231F20"/>
          <w:spacing w:val="-4"/>
          <w:sz w:val="24"/>
          <w:szCs w:val="24"/>
          <w:lang w:val="es"/>
        </w:rPr>
        <w:t>Stavins</w:t>
      </w:r>
      <w:proofErr w:type="spellEnd"/>
      <w:r w:rsidRPr="00D470F4">
        <w:rPr>
          <w:rFonts w:ascii="Times New Roman" w:hAnsi="Times New Roman" w:cs="Times New Roman"/>
          <w:color w:val="231F20"/>
          <w:spacing w:val="-4"/>
          <w:sz w:val="24"/>
          <w:szCs w:val="24"/>
          <w:lang w:val="es"/>
        </w:rPr>
        <w:t xml:space="preserve">, 2008)  </w:t>
      </w:r>
    </w:p>
    <w:p w14:paraId="1A2A443A" w14:textId="77777777" w:rsidR="003717B5" w:rsidRPr="00D470F4" w:rsidRDefault="003717B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Según estos criterios, desde 2005 la Unión Europea ha establecido un “Régimen de comercio de derechos de emisión” (RCDE-UE). En este mercado, lo que se comercia no es el dióxido de carbono, sino los derechos para emitir determinadas cantidades de gases contaminantes (</w:t>
      </w:r>
      <w:proofErr w:type="spellStart"/>
      <w:r w:rsidRPr="00D470F4">
        <w:rPr>
          <w:rFonts w:ascii="Times New Roman" w:hAnsi="Times New Roman" w:cs="Times New Roman"/>
          <w:color w:val="231F20"/>
          <w:spacing w:val="-4"/>
          <w:sz w:val="24"/>
          <w:szCs w:val="24"/>
          <w:lang w:val="es"/>
        </w:rPr>
        <w:t>Vegara</w:t>
      </w:r>
      <w:proofErr w:type="spellEnd"/>
      <w:r w:rsidRPr="00D470F4">
        <w:rPr>
          <w:rFonts w:ascii="Times New Roman" w:hAnsi="Times New Roman" w:cs="Times New Roman"/>
          <w:color w:val="231F20"/>
          <w:spacing w:val="-4"/>
          <w:sz w:val="24"/>
          <w:szCs w:val="24"/>
          <w:lang w:val="es"/>
        </w:rPr>
        <w:t>, 2009: 31). Una vez fijado un objetivo máximo, la autoridad pública procede a distribuir los derechos entre las empresas. La existencia de esta autoridad pública con poderes coercitivos representa una de las condiciones necesarias para el funcionamiento del sistema y limita su aplicabilidad a nivel global (Stern, 2007).</w:t>
      </w:r>
    </w:p>
    <w:p w14:paraId="628816D2" w14:textId="77777777" w:rsidR="003717B5" w:rsidRPr="00D470F4" w:rsidRDefault="003717B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La aprobación de los permisos está facilitada por la naturaleza jurídica de los mismos que son fácilmente apropiables y transmisibles (Guerra, 2009). La misma razón limita los costos de búsqueda de información (Nordhaus, 1992) y facilita su comercialización, garantizando una distribución óptima de los mismos (</w:t>
      </w:r>
      <w:proofErr w:type="spellStart"/>
      <w:r w:rsidRPr="00D470F4">
        <w:rPr>
          <w:rFonts w:ascii="Times New Roman" w:hAnsi="Times New Roman" w:cs="Times New Roman"/>
          <w:color w:val="231F20"/>
          <w:spacing w:val="-4"/>
          <w:sz w:val="24"/>
          <w:szCs w:val="24"/>
          <w:lang w:val="es"/>
        </w:rPr>
        <w:t>Vegara</w:t>
      </w:r>
      <w:proofErr w:type="spellEnd"/>
      <w:r w:rsidRPr="00D470F4">
        <w:rPr>
          <w:rFonts w:ascii="Times New Roman" w:hAnsi="Times New Roman" w:cs="Times New Roman"/>
          <w:color w:val="231F20"/>
          <w:spacing w:val="-4"/>
          <w:sz w:val="24"/>
          <w:szCs w:val="24"/>
          <w:lang w:val="es"/>
        </w:rPr>
        <w:t>, 2009).</w:t>
      </w:r>
    </w:p>
    <w:p w14:paraId="19E06782" w14:textId="77777777" w:rsidR="003717B5" w:rsidRPr="00D470F4" w:rsidRDefault="003717B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Se entiende que las empresas que reducen la contaminación más rápidamente pueden vender concesiones a las empresas que contaminan más, o "guardarlas" para usarlas en el futuro. Este mercado, “otorga flexibilidad a las empresas, aumenta el conjunto de capital disponible para hacer reducciones, alienta a las empresas a reducir la contaminación más rápidamente y recompensa la innovación” (</w:t>
      </w:r>
      <w:proofErr w:type="spellStart"/>
      <w:r w:rsidRPr="00D470F4">
        <w:rPr>
          <w:rFonts w:ascii="Times New Roman" w:hAnsi="Times New Roman" w:cs="Times New Roman"/>
          <w:color w:val="231F20"/>
          <w:spacing w:val="-4"/>
          <w:sz w:val="24"/>
          <w:szCs w:val="24"/>
          <w:lang w:val="es"/>
        </w:rPr>
        <w:t>Keohane</w:t>
      </w:r>
      <w:proofErr w:type="spellEnd"/>
      <w:r w:rsidRPr="00D470F4">
        <w:rPr>
          <w:rFonts w:ascii="Times New Roman" w:hAnsi="Times New Roman" w:cs="Times New Roman"/>
          <w:color w:val="231F20"/>
          <w:spacing w:val="-4"/>
          <w:sz w:val="24"/>
          <w:szCs w:val="24"/>
          <w:lang w:val="es"/>
        </w:rPr>
        <w:t>, 2015).</w:t>
      </w:r>
    </w:p>
    <w:p w14:paraId="50EFAB4F" w14:textId="77777777" w:rsidR="003717B5" w:rsidRPr="00D470F4" w:rsidRDefault="003717B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En situaciones de estabilidad, competencia perfecta y jurisdicción única, los impuestos </w:t>
      </w:r>
      <w:proofErr w:type="spellStart"/>
      <w:r w:rsidRPr="00D470F4">
        <w:rPr>
          <w:rFonts w:ascii="Times New Roman" w:hAnsi="Times New Roman" w:cs="Times New Roman"/>
          <w:color w:val="231F20"/>
          <w:spacing w:val="-4"/>
          <w:sz w:val="24"/>
          <w:szCs w:val="24"/>
          <w:lang w:val="es"/>
        </w:rPr>
        <w:t>pigouvianos</w:t>
      </w:r>
      <w:proofErr w:type="spellEnd"/>
      <w:r w:rsidRPr="00D470F4">
        <w:rPr>
          <w:rFonts w:ascii="Times New Roman" w:hAnsi="Times New Roman" w:cs="Times New Roman"/>
          <w:color w:val="231F20"/>
          <w:spacing w:val="-4"/>
          <w:sz w:val="24"/>
          <w:szCs w:val="24"/>
          <w:lang w:val="es"/>
        </w:rPr>
        <w:t xml:space="preserve"> y los sistemas de comercialización basados en el teorema de Coase deberían bastar para solucionar el problema de una externalidad negativa. Sin embargo, en el caso de </w:t>
      </w:r>
      <w:r w:rsidRPr="00D470F4">
        <w:rPr>
          <w:rFonts w:ascii="Times New Roman" w:hAnsi="Times New Roman" w:cs="Times New Roman"/>
          <w:color w:val="231F20"/>
          <w:spacing w:val="-4"/>
          <w:sz w:val="24"/>
          <w:szCs w:val="24"/>
          <w:lang w:val="es"/>
        </w:rPr>
        <w:lastRenderedPageBreak/>
        <w:t>la emisión de gases de efecto invernadero, como señala Nicholas Stern, “tenemos muchas jurisdicciones, débil representación de aquellos más afectados (las generaciones futuras), horizontes temporales largos, escala global, enormes incertidumbres e importantes interacciones con otras fallas de mercado”. (Stern, 2006: 4)</w:t>
      </w:r>
    </w:p>
    <w:p w14:paraId="158BE1AC" w14:textId="77777777" w:rsidR="003717B5" w:rsidRPr="00D470F4" w:rsidRDefault="003717B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Otro aspecto central de las políticas de mitigación del cambio climático han sido las de promoción de la investigación y el desarrollo científico-tecnológico de fuentes renovables de energía. En esta categoría se incluyen las políticas que tienen como finalidad incentivar los sectores productivos y de consumo para que efectúen los cambios pertinentes en su estructura tecnológica a fin de reducir el nivel de las emisiones que generan. Dentro de esta categoría pueden distinguirse dos grupos. El primero consiste en políticas orientadas a mejorar la eficiencia en el uso y la producción de energía fósil. El segundo persigue facilitar el desarrollo de nuevas tecnologías que hagan uso de fuentes energéticas más respetuosas con el medio ambiente.</w:t>
      </w:r>
    </w:p>
    <w:p w14:paraId="325D5382" w14:textId="77777777" w:rsidR="003717B5" w:rsidRPr="00D470F4" w:rsidRDefault="003717B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A pesar de los muchos avances que se han registrado en los últimos tiempos, las tecnologías renovables no están creciendo con la velocidad necesaria para mitigar los impactos peligrosos del cambio climático (Loftus et al., 2014) Para lograrlo, los especialistas señalan que se requerirá un apoyo sustancial de las políticas públicas (</w:t>
      </w:r>
      <w:proofErr w:type="spellStart"/>
      <w:r w:rsidRPr="00D470F4">
        <w:rPr>
          <w:rFonts w:ascii="Times New Roman" w:hAnsi="Times New Roman" w:cs="Times New Roman"/>
          <w:color w:val="231F20"/>
          <w:spacing w:val="-4"/>
          <w:sz w:val="24"/>
          <w:szCs w:val="24"/>
          <w:lang w:val="es"/>
        </w:rPr>
        <w:t>Trancik</w:t>
      </w:r>
      <w:proofErr w:type="spellEnd"/>
      <w:r w:rsidRPr="00D470F4">
        <w:rPr>
          <w:rFonts w:ascii="Times New Roman" w:hAnsi="Times New Roman" w:cs="Times New Roman"/>
          <w:color w:val="231F20"/>
          <w:spacing w:val="-4"/>
          <w:sz w:val="24"/>
          <w:szCs w:val="24"/>
          <w:lang w:val="es"/>
        </w:rPr>
        <w:t>, 2014).</w:t>
      </w:r>
    </w:p>
    <w:p w14:paraId="41597BC4" w14:textId="77777777" w:rsidR="003717B5" w:rsidRPr="00D470F4" w:rsidRDefault="003717B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Existen dos razones ampliamente aceptadas para el apoyo de las políticas públicas a la innovación energética (Jaffe et al., 2005; Gallagher et al., 2012). En primer lugar, tanto las situaciones de monopolio como la presencia de externalidades difíciles de gravar implican una distorsión en el mercado de bienes y servicios energéticos. Según Gillingham y </w:t>
      </w:r>
      <w:proofErr w:type="spellStart"/>
      <w:r w:rsidRPr="00D470F4">
        <w:rPr>
          <w:rFonts w:ascii="Times New Roman" w:hAnsi="Times New Roman" w:cs="Times New Roman"/>
          <w:color w:val="231F20"/>
          <w:spacing w:val="-4"/>
          <w:sz w:val="24"/>
          <w:szCs w:val="24"/>
          <w:lang w:val="es"/>
        </w:rPr>
        <w:t>Sweeney</w:t>
      </w:r>
      <w:proofErr w:type="spellEnd"/>
      <w:r w:rsidRPr="00D470F4">
        <w:rPr>
          <w:rFonts w:ascii="Times New Roman" w:hAnsi="Times New Roman" w:cs="Times New Roman"/>
          <w:color w:val="231F20"/>
          <w:spacing w:val="-4"/>
          <w:sz w:val="24"/>
          <w:szCs w:val="24"/>
          <w:lang w:val="es"/>
        </w:rPr>
        <w:t>, estas fallas del mercado justifican las inversiones del gobierno para promover el interés público (2010).</w:t>
      </w:r>
    </w:p>
    <w:p w14:paraId="20EDEA5E" w14:textId="77777777" w:rsidR="003717B5" w:rsidRPr="00D470F4" w:rsidRDefault="003717B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La segunda razón es que los beneficios sociales del desarrollo de nuevas tecnologías de energía limpia exceden los beneficios privados de los proveedores de tecnología (Gallagher </w:t>
      </w:r>
      <w:r w:rsidRPr="00D470F4">
        <w:rPr>
          <w:rFonts w:ascii="Times New Roman" w:hAnsi="Times New Roman" w:cs="Times New Roman"/>
          <w:color w:val="231F20"/>
          <w:spacing w:val="-4"/>
          <w:sz w:val="24"/>
          <w:szCs w:val="24"/>
          <w:lang w:val="es"/>
        </w:rPr>
        <w:lastRenderedPageBreak/>
        <w:t xml:space="preserve">et al., 2012). </w:t>
      </w:r>
    </w:p>
    <w:p w14:paraId="6244DBA8" w14:textId="77777777" w:rsidR="003717B5" w:rsidRPr="00D470F4" w:rsidRDefault="003717B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Si los recursos públicos se gastan mejor en la investigación y en el desarrollo o en las etapas posteriores del proceso de innovación energética se debate polémicamente en la comunidad académica (Yang y Oppenheimer, 2007) (</w:t>
      </w:r>
      <w:proofErr w:type="spellStart"/>
      <w:r w:rsidRPr="00D470F4">
        <w:rPr>
          <w:rFonts w:ascii="Times New Roman" w:hAnsi="Times New Roman" w:cs="Times New Roman"/>
          <w:color w:val="231F20"/>
          <w:spacing w:val="-4"/>
          <w:sz w:val="24"/>
          <w:szCs w:val="24"/>
          <w:lang w:val="es"/>
        </w:rPr>
        <w:t>Nemet</w:t>
      </w:r>
      <w:proofErr w:type="spellEnd"/>
      <w:r w:rsidRPr="00D470F4">
        <w:rPr>
          <w:rFonts w:ascii="Times New Roman" w:hAnsi="Times New Roman" w:cs="Times New Roman"/>
          <w:color w:val="231F20"/>
          <w:spacing w:val="-4"/>
          <w:sz w:val="24"/>
          <w:szCs w:val="24"/>
          <w:lang w:val="es"/>
        </w:rPr>
        <w:t xml:space="preserve">, 2009). </w:t>
      </w:r>
    </w:p>
    <w:p w14:paraId="06ABAF20" w14:textId="77777777" w:rsidR="003717B5" w:rsidRPr="00D470F4" w:rsidRDefault="003717B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Más que otros sectores, la energía puede estar dominada por grandes empresas y servicios públicos, que a menudo buscan influir en las políticas. Según </w:t>
      </w:r>
      <w:proofErr w:type="spellStart"/>
      <w:r w:rsidRPr="00D470F4">
        <w:rPr>
          <w:rFonts w:ascii="Times New Roman" w:hAnsi="Times New Roman" w:cs="Times New Roman"/>
          <w:color w:val="231F20"/>
          <w:spacing w:val="-4"/>
          <w:sz w:val="24"/>
          <w:szCs w:val="24"/>
          <w:lang w:val="es"/>
        </w:rPr>
        <w:t>Lockwood</w:t>
      </w:r>
      <w:proofErr w:type="spellEnd"/>
      <w:r w:rsidRPr="00D470F4">
        <w:rPr>
          <w:rFonts w:ascii="Times New Roman" w:hAnsi="Times New Roman" w:cs="Times New Roman"/>
          <w:color w:val="231F20"/>
          <w:spacing w:val="-4"/>
          <w:sz w:val="24"/>
          <w:szCs w:val="24"/>
          <w:lang w:val="es"/>
        </w:rPr>
        <w:t xml:space="preserve"> (2013), sus inversiones, especialmente en las nuevas tecnologías, son influidas en gran medida por los incentivos y las normas establecidas por los responsables políticos. </w:t>
      </w:r>
    </w:p>
    <w:p w14:paraId="036A121B" w14:textId="77777777" w:rsidR="003717B5" w:rsidRPr="00D470F4" w:rsidRDefault="003717B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Naturalmente el desarrollo tecnológico no sólo contribuye a ampliar la frontera de posibilidad de lo que es humanamente realizable, sino que además permite abaratar los costos de los equipos renovables, promoviendo su utilización. Más aún, estudios recientes han puesto en evidencia que las políticas de promoción de tecnologías renovables contribuyen a generar accionistas y grupos de interés. Estos pueden constituirse en actores claves de la transición energética al ser los beneficiarios inmediatos (</w:t>
      </w:r>
      <w:proofErr w:type="spellStart"/>
      <w:r w:rsidRPr="00D470F4">
        <w:rPr>
          <w:rFonts w:ascii="Times New Roman" w:hAnsi="Times New Roman" w:cs="Times New Roman"/>
          <w:color w:val="231F20"/>
          <w:spacing w:val="-4"/>
          <w:sz w:val="24"/>
          <w:szCs w:val="24"/>
          <w:lang w:val="es"/>
        </w:rPr>
        <w:t>Huberty</w:t>
      </w:r>
      <w:proofErr w:type="spellEnd"/>
      <w:r w:rsidRPr="00D470F4">
        <w:rPr>
          <w:rFonts w:ascii="Times New Roman" w:hAnsi="Times New Roman" w:cs="Times New Roman"/>
          <w:color w:val="231F20"/>
          <w:spacing w:val="-4"/>
          <w:sz w:val="24"/>
          <w:szCs w:val="24"/>
          <w:lang w:val="es"/>
        </w:rPr>
        <w:t xml:space="preserve">, 2013). Según Anthony </w:t>
      </w:r>
      <w:proofErr w:type="spellStart"/>
      <w:r w:rsidRPr="00D470F4">
        <w:rPr>
          <w:rFonts w:ascii="Times New Roman" w:hAnsi="Times New Roman" w:cs="Times New Roman"/>
          <w:color w:val="231F20"/>
          <w:spacing w:val="-4"/>
          <w:sz w:val="24"/>
          <w:szCs w:val="24"/>
          <w:lang w:val="es"/>
        </w:rPr>
        <w:t>Patt</w:t>
      </w:r>
      <w:proofErr w:type="spellEnd"/>
      <w:r w:rsidRPr="00D470F4">
        <w:rPr>
          <w:rFonts w:ascii="Times New Roman" w:hAnsi="Times New Roman" w:cs="Times New Roman"/>
          <w:color w:val="231F20"/>
          <w:spacing w:val="-4"/>
          <w:sz w:val="24"/>
          <w:szCs w:val="24"/>
          <w:lang w:val="es"/>
        </w:rPr>
        <w:t>: “La promoción de nuevas tecnologías no es el trabajo preparatorio para la política climática. La promoción de nuevas tecnologías es la política climática en sí misma” (2017: 175).</w:t>
      </w:r>
    </w:p>
    <w:p w14:paraId="1745411F" w14:textId="77777777" w:rsidR="003717B5" w:rsidRPr="00D470F4" w:rsidRDefault="003717B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Como se observa, la transición hacia fuentes de energía limpia y no emiten dióxido de carbono es esencial, pero el logro de este objetivo no solo implica avances tecnológicos, sino desafiar y superar la resistencia de un sistema socio-técnico que tiene un comportamiento establecido y actores con un gran poder económico y político que pueden actuar como barreras</w:t>
      </w:r>
      <w:r w:rsidRPr="00D470F4">
        <w:rPr>
          <w:rFonts w:ascii="Times New Roman" w:hAnsi="Times New Roman" w:cs="Times New Roman"/>
          <w:color w:val="374151"/>
          <w:sz w:val="24"/>
          <w:szCs w:val="24"/>
          <w:shd w:val="clear" w:color="auto" w:fill="F7F7F8"/>
        </w:rPr>
        <w:t xml:space="preserve">. </w:t>
      </w:r>
      <w:r w:rsidRPr="00D470F4">
        <w:rPr>
          <w:rFonts w:ascii="Times New Roman" w:hAnsi="Times New Roman" w:cs="Times New Roman"/>
          <w:color w:val="231F20"/>
          <w:spacing w:val="-4"/>
          <w:sz w:val="24"/>
          <w:szCs w:val="24"/>
          <w:lang w:val="es"/>
        </w:rPr>
        <w:t xml:space="preserve">Además, el cambio en el sistema energético puede poner en riesgo el crecimiento económico actual, en beneficio de las generaciones futuras, que no están bien representadas. Por estas razones, la transición energética es un tema complejo que debe ser abordado desde diferentes perspectivas, incluyendo las ciencias sociales y la economía </w:t>
      </w:r>
      <w:r w:rsidRPr="00D470F4">
        <w:rPr>
          <w:rFonts w:ascii="Times New Roman" w:hAnsi="Times New Roman" w:cs="Times New Roman"/>
          <w:color w:val="231F20"/>
          <w:spacing w:val="-4"/>
          <w:sz w:val="24"/>
          <w:szCs w:val="24"/>
          <w:lang w:val="es"/>
        </w:rPr>
        <w:lastRenderedPageBreak/>
        <w:t>política.</w:t>
      </w:r>
    </w:p>
    <w:p w14:paraId="56DFF549" w14:textId="77777777" w:rsidR="003717B5" w:rsidRPr="00D470F4" w:rsidRDefault="003717B5" w:rsidP="00132D23">
      <w:pPr>
        <w:pStyle w:val="Textoindependiente"/>
        <w:spacing w:before="33" w:line="480" w:lineRule="auto"/>
        <w:ind w:left="116"/>
        <w:rPr>
          <w:rFonts w:ascii="Times New Roman" w:hAnsi="Times New Roman" w:cs="Times New Roman"/>
          <w:b/>
          <w:color w:val="231F20"/>
          <w:spacing w:val="-4"/>
          <w:sz w:val="24"/>
          <w:szCs w:val="24"/>
          <w:lang w:val="es"/>
        </w:rPr>
      </w:pPr>
      <w:r w:rsidRPr="00D470F4">
        <w:rPr>
          <w:rFonts w:ascii="Times New Roman" w:hAnsi="Times New Roman" w:cs="Times New Roman"/>
          <w:b/>
          <w:color w:val="231F20"/>
          <w:spacing w:val="-4"/>
          <w:sz w:val="24"/>
          <w:szCs w:val="24"/>
          <w:lang w:val="es"/>
        </w:rPr>
        <w:t>Energías Renovables No Convencionales para la Alta Tensión</w:t>
      </w:r>
    </w:p>
    <w:p w14:paraId="68D1E61B" w14:textId="77777777" w:rsidR="003717B5" w:rsidRPr="00D470F4" w:rsidRDefault="003717B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Por energías renovables se entiende a aquellas cuya generación se obtiene de fuentes naturales prácticamente inagotables, ya sea por la inmensa cantidad de energía que contienen, o porque son capaces de regenerarse por medios naturales </w:t>
      </w:r>
      <w:r w:rsidRPr="00D470F4">
        <w:rPr>
          <w:rFonts w:ascii="Times New Roman" w:hAnsi="Times New Roman" w:cs="Times New Roman"/>
          <w:color w:val="231F20"/>
          <w:spacing w:val="-4"/>
          <w:sz w:val="24"/>
          <w:szCs w:val="24"/>
          <w:lang w:val="es"/>
        </w:rPr>
        <w:fldChar w:fldCharType="begin" w:fldLock="1"/>
      </w:r>
      <w:r w:rsidRPr="00D470F4">
        <w:rPr>
          <w:rFonts w:ascii="Times New Roman" w:hAnsi="Times New Roman" w:cs="Times New Roman"/>
          <w:color w:val="231F20"/>
          <w:spacing w:val="-4"/>
          <w:sz w:val="24"/>
          <w:szCs w:val="24"/>
          <w:lang w:val="es"/>
        </w:rPr>
        <w:instrText>ADDIN CSL_CITATION {"citationItems":[{"id":"ITEM-1","itemData":{"DOI":"10.1016/S1364-0321(99)00011-8","ISSN":"13640321","author":[{"dropping-particle":"","family":"Dincer","given":"Ibrahim","non-dropping-particle":"","parse-names":false,"suffix":""}],"container-title":"Renewable and Sustainable Energy Reviews","id":"ITEM-1","issue":"2","issued":{"date-parts":[["2000","6"]]},"page":"157-175","title":"Renewable energy and sustainable development: a crucial review","type":"article-journal","volume":"4"},"uris":["http://www.mendeley.com/documents/?uuid=ca884a99-1a02-33ce-8313-1e7eb0ed1cc4"]}],"mendeley":{"formattedCitation":"(Dincer 2000)","plainTextFormattedCitation":"(Dincer 2000)","previouslyFormattedCitation":"(Dincer 2000)"},"properties":{"noteIndex":0},"schema":"https://github.com/citation-style-language/schema/raw/master/csl-citation.json"}</w:instrText>
      </w:r>
      <w:r w:rsidRPr="00D470F4">
        <w:rPr>
          <w:rFonts w:ascii="Times New Roman" w:hAnsi="Times New Roman" w:cs="Times New Roman"/>
          <w:color w:val="231F20"/>
          <w:spacing w:val="-4"/>
          <w:sz w:val="24"/>
          <w:szCs w:val="24"/>
          <w:lang w:val="es"/>
        </w:rPr>
        <w:fldChar w:fldCharType="separate"/>
      </w:r>
      <w:r w:rsidRPr="00D470F4">
        <w:rPr>
          <w:rFonts w:ascii="Times New Roman" w:hAnsi="Times New Roman" w:cs="Times New Roman"/>
          <w:color w:val="231F20"/>
          <w:spacing w:val="-4"/>
          <w:sz w:val="24"/>
          <w:szCs w:val="24"/>
          <w:lang w:val="es"/>
        </w:rPr>
        <w:t>(Dincer 2000)</w:t>
      </w:r>
      <w:r w:rsidRPr="00D470F4">
        <w:rPr>
          <w:rFonts w:ascii="Times New Roman" w:hAnsi="Times New Roman" w:cs="Times New Roman"/>
          <w:color w:val="231F20"/>
          <w:spacing w:val="-4"/>
          <w:sz w:val="24"/>
          <w:szCs w:val="24"/>
          <w:lang w:val="es"/>
        </w:rPr>
        <w:fldChar w:fldCharType="end"/>
      </w:r>
      <w:r w:rsidRPr="00D470F4">
        <w:rPr>
          <w:rFonts w:ascii="Times New Roman" w:hAnsi="Times New Roman" w:cs="Times New Roman"/>
          <w:color w:val="231F20"/>
          <w:spacing w:val="-4"/>
          <w:sz w:val="24"/>
          <w:szCs w:val="24"/>
          <w:lang w:val="es"/>
        </w:rPr>
        <w:t>.  Según Cleveland y Morris “La energía renovable es cualquier recurso energético que se  regenera naturalmente en  una escala de  tiempo corta y  se deriva directamente de la energía solar (solar térmica,  fotoquímica y fotoeléctrica), indirectamente del sol (energía eólica, hidroeléctrica y energía fotosintética almacenada en biomasa) o de otros  flujos de energía natural (energía geotérmica, mareomotriz, undimotriz y corriente);  en contraste con  las formas de energía no renovables, como el petróleo, el carbón y el uranio”.</w:t>
      </w:r>
    </w:p>
    <w:p w14:paraId="57758BEC" w14:textId="77777777" w:rsidR="003717B5" w:rsidRPr="00D470F4" w:rsidRDefault="003717B5" w:rsidP="00132D23">
      <w:pPr>
        <w:spacing w:before="1" w:line="480" w:lineRule="auto"/>
        <w:jc w:val="both"/>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 El concepto de “no convencionales” se utiliza para restringir la definición a aquellas tecnologías que generan un impacto relativamente menor en el ambiente en que se asientan, e incluye a las tecnologías solar, eólica, geotérmica, mareomotriz y pequeño-hidráulica.  Naturalmente, las fuentes energéticas renovables pueden ser utilizadas de distintas maneras, desde el secado solar hasta aplicaciones infinitamente más complejas. Por ejemplo, especialmente en Brasil, encontramos significativos desarrollos a nivel latinoamericano de los biocombustibles que, como el etanol, son derivados de la biomasa (</w:t>
      </w:r>
      <w:proofErr w:type="gramStart"/>
      <w:r w:rsidRPr="00D470F4">
        <w:rPr>
          <w:rFonts w:ascii="Times New Roman" w:hAnsi="Times New Roman" w:cs="Times New Roman"/>
          <w:color w:val="231F20"/>
          <w:spacing w:val="-4"/>
          <w:sz w:val="24"/>
          <w:szCs w:val="24"/>
          <w:lang w:val="es"/>
          <w:rPrChange w:id="17" w:author="Joaquin Sarmiento" w:date="2023-02-11T12:19:00Z">
            <w:rPr>
              <w:rFonts w:ascii="Times New Roman" w:hAnsi="Times New Roman" w:cs="Times New Roman"/>
              <w:color w:val="231F20"/>
              <w:spacing w:val="-4"/>
              <w:sz w:val="24"/>
              <w:szCs w:val="24"/>
              <w:highlight w:val="yellow"/>
              <w:lang w:val="es"/>
            </w:rPr>
          </w:rPrChange>
        </w:rPr>
        <w:t>Araujo</w:t>
      </w:r>
      <w:r w:rsidRPr="00D470F4">
        <w:rPr>
          <w:rFonts w:ascii="Times New Roman" w:hAnsi="Times New Roman" w:cs="Times New Roman"/>
          <w:color w:val="231F20"/>
          <w:spacing w:val="-4"/>
          <w:sz w:val="24"/>
          <w:szCs w:val="24"/>
          <w:lang w:val="es"/>
        </w:rPr>
        <w:t xml:space="preserve"> )</w:t>
      </w:r>
      <w:proofErr w:type="gramEnd"/>
      <w:r w:rsidRPr="00D470F4">
        <w:rPr>
          <w:rFonts w:ascii="Times New Roman" w:hAnsi="Times New Roman" w:cs="Times New Roman"/>
          <w:color w:val="231F20"/>
          <w:spacing w:val="-4"/>
          <w:sz w:val="24"/>
          <w:szCs w:val="24"/>
          <w:lang w:val="es"/>
        </w:rPr>
        <w:t xml:space="preserve">. A priori, se asume que los biocombustibles permiten disminuir la demanda de combustibles fósiles, reduciendo de este modo, la emisión de G.E.I, sin </w:t>
      </w:r>
      <w:proofErr w:type="gramStart"/>
      <w:r w:rsidRPr="00D470F4">
        <w:rPr>
          <w:rFonts w:ascii="Times New Roman" w:hAnsi="Times New Roman" w:cs="Times New Roman"/>
          <w:color w:val="231F20"/>
          <w:spacing w:val="-4"/>
          <w:sz w:val="24"/>
          <w:szCs w:val="24"/>
          <w:lang w:val="es"/>
        </w:rPr>
        <w:t>embargo</w:t>
      </w:r>
      <w:proofErr w:type="gramEnd"/>
      <w:r w:rsidRPr="00D470F4">
        <w:rPr>
          <w:rFonts w:ascii="Times New Roman" w:hAnsi="Times New Roman" w:cs="Times New Roman"/>
          <w:color w:val="231F20"/>
          <w:spacing w:val="-4"/>
          <w:sz w:val="24"/>
          <w:szCs w:val="24"/>
          <w:lang w:val="es"/>
        </w:rPr>
        <w:t xml:space="preserve"> puede que esto no sea necesariamente así.</w:t>
      </w:r>
      <w:r w:rsidRPr="00D470F4">
        <w:rPr>
          <w:rStyle w:val="Refdenotaalpie"/>
          <w:rFonts w:ascii="Times New Roman" w:hAnsi="Times New Roman" w:cs="Times New Roman"/>
          <w:color w:val="231F20"/>
          <w:spacing w:val="-4"/>
          <w:sz w:val="24"/>
          <w:szCs w:val="24"/>
          <w:lang w:val="es"/>
        </w:rPr>
        <w:footnoteReference w:id="1"/>
      </w:r>
      <w:r w:rsidRPr="00D470F4">
        <w:rPr>
          <w:rFonts w:ascii="Times New Roman" w:hAnsi="Times New Roman" w:cs="Times New Roman"/>
          <w:color w:val="231F20"/>
          <w:spacing w:val="-4"/>
          <w:sz w:val="24"/>
          <w:szCs w:val="24"/>
          <w:lang w:val="es"/>
        </w:rPr>
        <w:t xml:space="preserve"> </w:t>
      </w:r>
    </w:p>
    <w:p w14:paraId="5385CF13" w14:textId="77777777" w:rsidR="003717B5" w:rsidRPr="00D470F4" w:rsidRDefault="003717B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Aunque las energías renovables tienen muchos usos, esta investigación se centra en el uso </w:t>
      </w:r>
      <w:r w:rsidRPr="00D470F4">
        <w:rPr>
          <w:rFonts w:ascii="Times New Roman" w:hAnsi="Times New Roman" w:cs="Times New Roman"/>
          <w:color w:val="231F20"/>
          <w:spacing w:val="-4"/>
          <w:sz w:val="24"/>
          <w:szCs w:val="24"/>
          <w:lang w:val="es"/>
        </w:rPr>
        <w:lastRenderedPageBreak/>
        <w:t xml:space="preserve">de fuentes renovables para la generación de electricidad de Alta Tensión, en particular, en energía eólica y solar. Centrarse en la generación de electricidad permite tomar en consideración una de las principales fuentes del calentamiento global dado que los combustibles fósiles continúan dominando ampliamente el sector. El sector energético es uno de los principales contribuyentes a las emisiones de gases de efecto invernadero y al concentrarse en el mismo, se toma en consideración un sector fundamental de la transición hacia fuentes de energía renovable. </w:t>
      </w:r>
    </w:p>
    <w:p w14:paraId="4F65ECC9" w14:textId="77777777" w:rsidR="003717B5" w:rsidRPr="00D470F4" w:rsidRDefault="003717B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Asimismo, la generación eléctrica está basada en distintas tecnologías, lo cual permite examinar el desarrollo de las energías renovables en el contexto de competencia con los combustibles fósiles. Por el contrario, por ejemplo, el transporte moderno se basa casi por completo en productos derivados del petróleo, y la energía renovable no se ha convertido en un desafío serio para el statu quo. En tercer lugar, los desarrollos modernos más importantes en energías renovables han sido la energía solar y eólica para la generación de electricidad. Mientras que la energía solar y eólica siguen siendo componentes menores del consumo total de energía a nivel mundial, su importancia para la generación de electricidad ha aumentado rápidamente en los últimos años. En 2005, la biomasa y los residuos generaron 227 mil millones de kWh de electricidad y el viento solo 104 mil millones de kWh; pero en 2014, las cifras fueron 488 000 millones de kWh y 714 000 millones de kWh, respectivamente (EIA 2017a). </w:t>
      </w:r>
    </w:p>
    <w:p w14:paraId="1439AF8B" w14:textId="77777777" w:rsidR="003717B5" w:rsidRPr="00D470F4" w:rsidRDefault="003717B5" w:rsidP="00132D23">
      <w:pPr>
        <w:pStyle w:val="Textoindependiente"/>
        <w:spacing w:before="33" w:line="480" w:lineRule="auto"/>
        <w:ind w:left="116"/>
        <w:rPr>
          <w:rFonts w:ascii="Times New Roman" w:hAnsi="Times New Roman" w:cs="Times New Roman"/>
          <w:b/>
          <w:color w:val="231F20"/>
          <w:spacing w:val="-4"/>
          <w:sz w:val="24"/>
          <w:szCs w:val="24"/>
          <w:lang w:val="es"/>
        </w:rPr>
      </w:pPr>
      <w:r w:rsidRPr="00D470F4">
        <w:rPr>
          <w:rFonts w:ascii="Times New Roman" w:hAnsi="Times New Roman" w:cs="Times New Roman"/>
          <w:b/>
          <w:color w:val="231F20"/>
          <w:spacing w:val="-4"/>
          <w:sz w:val="24"/>
          <w:szCs w:val="24"/>
          <w:lang w:val="es"/>
        </w:rPr>
        <w:t>Seguridad Energética</w:t>
      </w:r>
    </w:p>
    <w:p w14:paraId="041016C8" w14:textId="77777777" w:rsidR="003717B5" w:rsidRPr="00D470F4" w:rsidRDefault="003717B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Según se mencionó anteriormente, un aspecto central del desarrollo de las políticas de promoción de energías renovables, tanto para Argentina como Chile estuvo referido a la seguridad energética. La seguridad energética se refiere a la disponibilidad de suministro de energía en cantidades suficientes, a precios asequibles y de manera fiable. Para alcanzar la seguridad energética, puede ser necesario para un país asumir una trayectoria de </w:t>
      </w:r>
      <w:r w:rsidRPr="00D470F4">
        <w:rPr>
          <w:rFonts w:ascii="Times New Roman" w:hAnsi="Times New Roman" w:cs="Times New Roman"/>
          <w:color w:val="231F20"/>
          <w:spacing w:val="-4"/>
          <w:sz w:val="24"/>
          <w:szCs w:val="24"/>
          <w:lang w:val="es"/>
        </w:rPr>
        <w:lastRenderedPageBreak/>
        <w:t>diversificación de las fuentes de energía y de reducción de la dependencia de un solo proveedor o fuente de energía. En el caso chileno, por ejemplo, la fuerte dependencia del gas argentino, consolidada durante la década de 1990 le permitió contar con este combustible de manera abundante y barata, pero significó un duro revés y la puesta en cuestión de su modelo de desarrollo cuando en los años 2000 se suspendieron las importaciones. Asimismo, en el caso argentino el crecimiento de los planes de promoción de ERNC estuvieron relacionados con los problemas de suministro por el crecimiento de la demanda, con la recuperación del colapso económico, tras la crisis de 2001.</w:t>
      </w:r>
    </w:p>
    <w:p w14:paraId="78469B5E" w14:textId="77777777" w:rsidR="003717B5" w:rsidRPr="00D470F4" w:rsidRDefault="003717B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La transición hacia fuentes de energía renovable y baja en carbono puede contribuir a la seguridad energética al diversificar las fuentes de suministro y reducir la dependencia de los combustibles fósiles. Sin embargo, también es importante considerar la infraestructura y la capacidad de almacenamiento necesarias para apoyar un sistema energético renovable.</w:t>
      </w:r>
    </w:p>
    <w:p w14:paraId="47C36580" w14:textId="77777777" w:rsidR="003717B5" w:rsidRPr="00D470F4" w:rsidRDefault="003717B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Si bien la cuestión de la seguridad energética, tiene una larga historia política e intelectual, en los ámbitos académicos el concepto empezó a crecer exponencialmente su utilización en la década de 1970, tras la crisis de la OPEP y la reorientación del precio del barril de petróleo. Se trata, como es evidente, de un concepto polisémico que puede incluir diferentes dimensiones. </w:t>
      </w:r>
    </w:p>
    <w:p w14:paraId="2E19BF2F" w14:textId="77777777" w:rsidR="003717B5" w:rsidRPr="00D470F4" w:rsidRDefault="003717B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En primer lugar, una dimensión crítica para la seguridad energética es la disponibilidad de recursos. Según distintos autores, la importancia de la disponibilidad de energía radica en su apoyo al crecimiento económico y al bienestar. En efecto, cuando la disponibilidad se ve limitada, por distintos motivos, esto pone en riesgo el crecimiento económico y puede conducir a cambios en los patrones tecnológicos y de consumo, como un mayor énfasis en la eficiencia energética y el desarrollo de renovables. En este sentido, la disponibilidad energética tiene dos parámetros esenciales: 1) disponibilidad de recursos energéticos, 2) disponibilidad de medios para utilizar estos recursos (infraestructura energética)</w:t>
      </w:r>
    </w:p>
    <w:p w14:paraId="2CC84631" w14:textId="77777777" w:rsidR="003717B5" w:rsidRPr="00D470F4" w:rsidRDefault="003717B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lastRenderedPageBreak/>
        <w:t xml:space="preserve">Por otra parte, la diversidad también se considera una dimensión esencial de la seguridad energética. En general, los sistemas más diversos se consideran más seguros y estables. En ese sentido, si una fuente energética falla o pone en riesgo el sistema, existen otras alternativas que pueden reemplazarlo. Es altamente improbable que </w:t>
      </w:r>
      <w:proofErr w:type="spellStart"/>
      <w:r w:rsidRPr="00D470F4">
        <w:rPr>
          <w:rFonts w:ascii="Times New Roman" w:hAnsi="Times New Roman" w:cs="Times New Roman"/>
          <w:color w:val="231F20"/>
          <w:spacing w:val="-4"/>
          <w:sz w:val="24"/>
          <w:szCs w:val="24"/>
          <w:lang w:val="es"/>
        </w:rPr>
        <w:t>que</w:t>
      </w:r>
      <w:proofErr w:type="spellEnd"/>
      <w:r w:rsidRPr="00D470F4">
        <w:rPr>
          <w:rFonts w:ascii="Times New Roman" w:hAnsi="Times New Roman" w:cs="Times New Roman"/>
          <w:color w:val="231F20"/>
          <w:spacing w:val="-4"/>
          <w:sz w:val="24"/>
          <w:szCs w:val="24"/>
          <w:lang w:val="es"/>
        </w:rPr>
        <w:t xml:space="preserve"> todas las partes fallen de manera simultánea. Por lo tanto, el impacto se distribuye entre las otras partes del sistema. En caso de sistemas energéticos pequeños y poco diversificados, una alternativa puede ser la interconexión con otros sistemas para compensar los déficits temporarios.</w:t>
      </w:r>
    </w:p>
    <w:p w14:paraId="1A3990A8" w14:textId="77777777" w:rsidR="003717B5" w:rsidRPr="00D470F4" w:rsidRDefault="003717B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Finalmente, otra dimensión crucial de la seguridad energética es el costo. Normalmente, esta dimensión se asocia linealmente con cuan barata o asequible es la energía para los distintos sectores (residenciales, industriales), puesto que, según se señaló en la introducción, el consumo energético se considera prácticamente una función del desarrollo económico. En general, un precio de la energía más barato puede ser entendida como una mejora en la seguridad energético porque puede permitir aumentar la producción industrial, mejorar el crecimiento económico y fomentar el consumo. Sin embargo, como el caso argentino lo ilustra particularmente, puede que esto no sea necesariamente así. Dado que la industria energética es altamente intensiva en capital, precios más bajos pueden poner en riesgo las inversiones necesarias para el mantenimiento de la infraestructura y la exploración de nuevas fuentes, cargando de incertidumbre la planificación para las empresas y los gobiernos y restringiendo a futuro la seguridad energética.</w:t>
      </w:r>
    </w:p>
    <w:p w14:paraId="2D6F421E" w14:textId="77777777" w:rsidR="003717B5" w:rsidRPr="00D470F4" w:rsidRDefault="003717B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 Además, la escasez de fondos para la inversión tiene un impacto estructural en los precios futuros y, por lo tanto, en la seguridad energética. Los precios baratos de la energía son un problema a largo plazo puesto que conducen a una falsa sensación de seguridad presente. Cuando no hay garantía de precios bajos en el futuro, las sociedades y los compradores se vuelven vulnerables a cualquier shock de precios. Paradójicamente, un aumento súbito en el precio de los combustibles puede conducir al desarrollo de fuentes energéticas </w:t>
      </w:r>
      <w:r w:rsidRPr="00D470F4">
        <w:rPr>
          <w:rFonts w:ascii="Times New Roman" w:hAnsi="Times New Roman" w:cs="Times New Roman"/>
          <w:color w:val="231F20"/>
          <w:spacing w:val="-4"/>
          <w:sz w:val="24"/>
          <w:szCs w:val="24"/>
          <w:lang w:val="es"/>
        </w:rPr>
        <w:lastRenderedPageBreak/>
        <w:t>alternativas, en particular renovables no convencionales, lo cual a largo plazo puede redundar en un aumento de la seguridad energética.</w:t>
      </w:r>
    </w:p>
    <w:p w14:paraId="20483E82" w14:textId="77777777" w:rsidR="003717B5" w:rsidRPr="00D470F4" w:rsidRDefault="003717B5" w:rsidP="00132D23">
      <w:pPr>
        <w:pStyle w:val="Textoindependiente"/>
        <w:spacing w:before="33" w:line="480" w:lineRule="auto"/>
        <w:ind w:left="116"/>
        <w:rPr>
          <w:rFonts w:ascii="Times New Roman" w:hAnsi="Times New Roman" w:cs="Times New Roman"/>
          <w:b/>
          <w:color w:val="231F20"/>
          <w:spacing w:val="-4"/>
          <w:sz w:val="24"/>
          <w:szCs w:val="24"/>
          <w:lang w:val="es"/>
        </w:rPr>
      </w:pPr>
      <w:r w:rsidRPr="00D470F4">
        <w:rPr>
          <w:rFonts w:ascii="Times New Roman" w:hAnsi="Times New Roman" w:cs="Times New Roman"/>
          <w:b/>
          <w:color w:val="231F20"/>
          <w:spacing w:val="-4"/>
          <w:sz w:val="24"/>
          <w:szCs w:val="24"/>
          <w:lang w:val="es"/>
        </w:rPr>
        <w:t>Enfoque histórico-institucional y coyunturas críticas</w:t>
      </w:r>
    </w:p>
    <w:p w14:paraId="0E92D141" w14:textId="77777777" w:rsidR="003717B5" w:rsidRPr="00D470F4" w:rsidRDefault="003717B5" w:rsidP="00132D23">
      <w:pPr>
        <w:pStyle w:val="Textoindependiente"/>
        <w:spacing w:before="33" w:line="480" w:lineRule="auto"/>
        <w:ind w:left="116"/>
        <w:rPr>
          <w:rFonts w:ascii="Times New Roman" w:hAnsi="Times New Roman" w:cs="Times New Roman"/>
          <w:i/>
          <w:color w:val="231F20"/>
          <w:spacing w:val="-4"/>
          <w:sz w:val="24"/>
          <w:szCs w:val="24"/>
          <w:lang w:val="es"/>
        </w:rPr>
      </w:pPr>
      <w:r w:rsidRPr="00D470F4">
        <w:rPr>
          <w:rFonts w:ascii="Times New Roman" w:hAnsi="Times New Roman" w:cs="Times New Roman"/>
          <w:color w:val="231F20"/>
          <w:spacing w:val="-4"/>
          <w:sz w:val="24"/>
          <w:szCs w:val="24"/>
          <w:lang w:val="es"/>
        </w:rPr>
        <w:t>En las últimas décadas, algunos de los trabajos más fructíferos en ciencias sociales, tanto en historia, como sociología y, ciencia política se originaron a partir del estudio del rol que cumplen las instituciones, en tanto conjuntos de prácticas regularizadas con características equivalentes a una regla o norma, estructuran y definen el comportamiento de los actores políticos y sociales. Desde entonces, un cuerpo creciente de literatura se ha enfocado en la cuestión de cómo y por qué cambian las instituciones. En términos conceptuales, sin embargo, esta tarea presenta una dificultad intrínseca. Por su naturaleza, las instituciones son consideradas como esencialmente rígidas y resistentes al cambio. Reconocer la flexibilidad de las instituciones implica cuestionarse cuándo las instituciones deben ser vistas como determinantes del comportamiento y cuándo como objetos de acción estratégica en sí mismas. Este problema afecta con particular intensidad a los enfoques de elección racional de las instituciones debido a las elegantes soluciones que tales análisis han ideado para explicar la fuerza y la persistencia de las instituciones. Por lo general, ven a las instituciones como patrones de comportamiento regularizado que reflejan equilibrios (</w:t>
      </w:r>
      <w:proofErr w:type="spellStart"/>
      <w:r w:rsidRPr="00D470F4">
        <w:rPr>
          <w:rFonts w:ascii="Times New Roman" w:hAnsi="Times New Roman" w:cs="Times New Roman"/>
          <w:color w:val="231F20"/>
          <w:spacing w:val="-4"/>
          <w:sz w:val="24"/>
          <w:szCs w:val="24"/>
          <w:lang w:val="es"/>
        </w:rPr>
        <w:t>Greif</w:t>
      </w:r>
      <w:proofErr w:type="spellEnd"/>
      <w:r w:rsidRPr="00D470F4">
        <w:rPr>
          <w:rFonts w:ascii="Times New Roman" w:hAnsi="Times New Roman" w:cs="Times New Roman"/>
          <w:color w:val="231F20"/>
          <w:spacing w:val="-4"/>
          <w:sz w:val="24"/>
          <w:szCs w:val="24"/>
          <w:lang w:val="es"/>
        </w:rPr>
        <w:t xml:space="preserve"> y </w:t>
      </w:r>
      <w:proofErr w:type="spellStart"/>
      <w:r w:rsidRPr="00D470F4">
        <w:rPr>
          <w:rFonts w:ascii="Times New Roman" w:hAnsi="Times New Roman" w:cs="Times New Roman"/>
          <w:color w:val="231F20"/>
          <w:spacing w:val="-4"/>
          <w:sz w:val="24"/>
          <w:szCs w:val="24"/>
          <w:lang w:val="es"/>
        </w:rPr>
        <w:t>Laitin</w:t>
      </w:r>
      <w:proofErr w:type="spellEnd"/>
      <w:r w:rsidRPr="00D470F4">
        <w:rPr>
          <w:rFonts w:ascii="Times New Roman" w:hAnsi="Times New Roman" w:cs="Times New Roman"/>
          <w:color w:val="231F20"/>
          <w:spacing w:val="-4"/>
          <w:sz w:val="24"/>
          <w:szCs w:val="24"/>
          <w:lang w:val="es"/>
        </w:rPr>
        <w:t xml:space="preserve"> 2004). Según Peter Hall, tres características esenciales caracterización el pensamiento histórico-institucional. En primer lugar, se abordan cuestiones sustantivas que son inherentemente de interés para un público amplio, es decir se toman cuestiones de una significancia teórica y normativa sustancial. En segundo lugar, en el desarrollo argumental, los institucionalistas históricos se toman el tiempo en serio, especificando secuencias y rastreando transformaciones y procesos de escala y temporalidad variable. Frente a análisis, como el de la elección racional, tan común en teoría de los juegos o en el análisis </w:t>
      </w:r>
      <w:proofErr w:type="spellStart"/>
      <w:r w:rsidRPr="00D470F4">
        <w:rPr>
          <w:rFonts w:ascii="Times New Roman" w:hAnsi="Times New Roman" w:cs="Times New Roman"/>
          <w:color w:val="231F20"/>
          <w:spacing w:val="-4"/>
          <w:sz w:val="24"/>
          <w:szCs w:val="24"/>
          <w:lang w:val="es"/>
        </w:rPr>
        <w:t>micro-económico</w:t>
      </w:r>
      <w:proofErr w:type="spellEnd"/>
      <w:r w:rsidRPr="00D470F4">
        <w:rPr>
          <w:rFonts w:ascii="Times New Roman" w:hAnsi="Times New Roman" w:cs="Times New Roman"/>
          <w:color w:val="231F20"/>
          <w:spacing w:val="-4"/>
          <w:sz w:val="24"/>
          <w:szCs w:val="24"/>
          <w:lang w:val="es"/>
        </w:rPr>
        <w:t xml:space="preserve">, los institucionalistas históricos consideran la dimensión temporal de los </w:t>
      </w:r>
      <w:r w:rsidRPr="00D470F4">
        <w:rPr>
          <w:rFonts w:ascii="Times New Roman" w:hAnsi="Times New Roman" w:cs="Times New Roman"/>
          <w:color w:val="231F20"/>
          <w:spacing w:val="-4"/>
          <w:sz w:val="24"/>
          <w:szCs w:val="24"/>
          <w:lang w:val="es"/>
        </w:rPr>
        <w:lastRenderedPageBreak/>
        <w:t xml:space="preserve">fenómenos y cómo esto afecta el desarrollo de los procesos. Finalmente, según Hall, otra característica central es que los mismos analizan contextos macro y formulan hipótesis sobre los efectos combinados en lugar de examinar solo una institución o proceso a la vez. En palabras del autor: </w:t>
      </w:r>
    </w:p>
    <w:p w14:paraId="31725DCA" w14:textId="77777777" w:rsidR="003717B5" w:rsidRPr="00D470F4" w:rsidRDefault="003717B5" w:rsidP="00132D23">
      <w:pPr>
        <w:pStyle w:val="Textoindependiente"/>
        <w:spacing w:before="33" w:line="480" w:lineRule="auto"/>
        <w:ind w:left="116"/>
        <w:rPr>
          <w:rFonts w:ascii="Times New Roman" w:hAnsi="Times New Roman" w:cs="Times New Roman"/>
          <w:i/>
          <w:color w:val="231F20"/>
          <w:spacing w:val="-4"/>
          <w:sz w:val="24"/>
          <w:szCs w:val="24"/>
          <w:lang w:val="es"/>
        </w:rPr>
      </w:pPr>
      <w:r w:rsidRPr="00D470F4">
        <w:rPr>
          <w:rFonts w:ascii="Times New Roman" w:hAnsi="Times New Roman" w:cs="Times New Roman"/>
          <w:i/>
          <w:color w:val="231F20"/>
          <w:spacing w:val="-4"/>
          <w:sz w:val="24"/>
          <w:szCs w:val="24"/>
          <w:lang w:val="es"/>
        </w:rPr>
        <w:t>“En conjunto, estas tres características: agendas sustantivas; argumentos temporales; y la atención a los contextos y configuraciones, se suman a un enfoque institucional histórico reconocible que hace contribuciones poderosas a la comprensión de nuestra disciplina sobre el gobierno, la política y las políticas públicas.”</w:t>
      </w:r>
    </w:p>
    <w:p w14:paraId="0B84EA8C" w14:textId="77777777" w:rsidR="003717B5" w:rsidRPr="00D470F4" w:rsidRDefault="003717B5" w:rsidP="00132D23">
      <w:pPr>
        <w:pStyle w:val="Textoindependiente"/>
        <w:spacing w:before="33" w:line="480" w:lineRule="auto"/>
        <w:ind w:left="116"/>
        <w:rPr>
          <w:rFonts w:ascii="Times New Roman" w:hAnsi="Times New Roman" w:cs="Times New Roman"/>
          <w:b/>
          <w:color w:val="231F20"/>
          <w:spacing w:val="-4"/>
          <w:sz w:val="24"/>
          <w:szCs w:val="24"/>
          <w:lang w:val="es"/>
        </w:rPr>
      </w:pPr>
      <w:r w:rsidRPr="00D470F4">
        <w:rPr>
          <w:rFonts w:ascii="Times New Roman" w:hAnsi="Times New Roman" w:cs="Times New Roman"/>
          <w:color w:val="231F20"/>
          <w:spacing w:val="-4"/>
          <w:sz w:val="24"/>
          <w:szCs w:val="24"/>
          <w:lang w:val="es"/>
        </w:rPr>
        <w:t xml:space="preserve">En el pensamiento histórico institucional se busca comprender un resultado significativo mediante el análisis de procesos durante un período considerable de tiempo, lo cual, como en este caso, puede incluir un lapso de varias décadas. Extender el marco de tiempo de la investigación social obviamente amplía el rango de experiencia disponible para el examen. Esto simultáneamente hace que haya más datos disponibles y genera una mayor confianza en las deducciones. La investigación históricamente informada también sensibiliza a los investigadores sobre las condiciones de los límites temporales, o los efectos del período, con respecto a las afirmaciones sobre las relaciones causales. (Mahoney 2000). </w:t>
      </w:r>
    </w:p>
    <w:p w14:paraId="0526C060" w14:textId="77777777" w:rsidR="003717B5" w:rsidRPr="00D470F4" w:rsidRDefault="003717B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Los institucionalistas históricos se nutren de las explicaciones llevadas adelante por la teoría </w:t>
      </w:r>
      <w:proofErr w:type="spellStart"/>
      <w:r w:rsidRPr="00D470F4">
        <w:rPr>
          <w:rFonts w:ascii="Times New Roman" w:hAnsi="Times New Roman" w:cs="Times New Roman"/>
          <w:color w:val="231F20"/>
          <w:spacing w:val="-4"/>
          <w:sz w:val="24"/>
          <w:szCs w:val="24"/>
          <w:lang w:val="es"/>
        </w:rPr>
        <w:t>neo-institucional</w:t>
      </w:r>
      <w:proofErr w:type="spellEnd"/>
      <w:r w:rsidRPr="00D470F4">
        <w:rPr>
          <w:rFonts w:ascii="Times New Roman" w:hAnsi="Times New Roman" w:cs="Times New Roman"/>
          <w:color w:val="231F20"/>
          <w:spacing w:val="-4"/>
          <w:sz w:val="24"/>
          <w:szCs w:val="24"/>
          <w:lang w:val="es"/>
        </w:rPr>
        <w:t xml:space="preserve"> que considera que las instituciones desempeñan un rol fundamental en la construcción de estos equilibrios y que, por tanto, no deben ser considerados como factores exógenos o disruptivos. Según Douglas North:</w:t>
      </w:r>
    </w:p>
    <w:p w14:paraId="3AAEC93D" w14:textId="77777777" w:rsidR="003717B5" w:rsidRPr="00D470F4" w:rsidRDefault="003717B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“Las instituciones son las reglas del juego en una sociedad o, más formalmente, son las limitaciones ideadas por el hombre que dan forma a la interacción humana. Por consiguiente, estructuran incentivos en el intercambio humano, sea político, social o económico. El cambio institucional conforma el modo en que las sociedades evolucionan a lo largo del tiempo, por lo cual es la clave para entender el cambio histórico” (North, 1993, </w:t>
      </w:r>
      <w:r w:rsidRPr="00D470F4">
        <w:rPr>
          <w:rFonts w:ascii="Times New Roman" w:hAnsi="Times New Roman" w:cs="Times New Roman"/>
          <w:color w:val="231F20"/>
          <w:spacing w:val="-4"/>
          <w:sz w:val="24"/>
          <w:szCs w:val="24"/>
          <w:lang w:val="es"/>
        </w:rPr>
        <w:lastRenderedPageBreak/>
        <w:t xml:space="preserve">p. 13). </w:t>
      </w:r>
    </w:p>
    <w:p w14:paraId="5E6B02FF" w14:textId="16CB8177" w:rsidR="003717B5" w:rsidRPr="00D470F4" w:rsidRDefault="003717B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Para North, las instituciones conforman no sólo la base de cualquier sistema político sino, además, “afectan el desempeño de la economía (...) reducen la incertidumbre por el hecho de que proporcionan una estructura a la vida diaria. Constituyen una guía para la interacción humana” (North, 1993, p.14). Los </w:t>
      </w:r>
      <w:proofErr w:type="spellStart"/>
      <w:r w:rsidRPr="00D470F4">
        <w:rPr>
          <w:rFonts w:ascii="Times New Roman" w:hAnsi="Times New Roman" w:cs="Times New Roman"/>
          <w:color w:val="231F20"/>
          <w:spacing w:val="-4"/>
          <w:sz w:val="24"/>
          <w:szCs w:val="24"/>
          <w:lang w:val="es"/>
        </w:rPr>
        <w:t>neo</w:t>
      </w:r>
      <w:r w:rsidR="00AE1F6F" w:rsidRPr="00D470F4">
        <w:rPr>
          <w:rFonts w:ascii="Times New Roman" w:hAnsi="Times New Roman" w:cs="Times New Roman"/>
          <w:color w:val="231F20"/>
          <w:spacing w:val="-4"/>
          <w:sz w:val="24"/>
          <w:szCs w:val="24"/>
          <w:lang w:val="es"/>
        </w:rPr>
        <w:t>-</w:t>
      </w:r>
      <w:r w:rsidRPr="00D470F4">
        <w:rPr>
          <w:rFonts w:ascii="Times New Roman" w:hAnsi="Times New Roman" w:cs="Times New Roman"/>
          <w:color w:val="231F20"/>
          <w:spacing w:val="-4"/>
          <w:sz w:val="24"/>
          <w:szCs w:val="24"/>
          <w:lang w:val="es"/>
        </w:rPr>
        <w:t>institucio</w:t>
      </w:r>
      <w:r w:rsidR="00AE1F6F" w:rsidRPr="00D470F4">
        <w:rPr>
          <w:rFonts w:ascii="Times New Roman" w:hAnsi="Times New Roman" w:cs="Times New Roman"/>
          <w:color w:val="231F20"/>
          <w:spacing w:val="-4"/>
          <w:sz w:val="24"/>
          <w:szCs w:val="24"/>
          <w:lang w:val="es"/>
        </w:rPr>
        <w:t>na</w:t>
      </w:r>
      <w:r w:rsidRPr="00D470F4">
        <w:rPr>
          <w:rFonts w:ascii="Times New Roman" w:hAnsi="Times New Roman" w:cs="Times New Roman"/>
          <w:color w:val="231F20"/>
          <w:spacing w:val="-4"/>
          <w:sz w:val="24"/>
          <w:szCs w:val="24"/>
          <w:lang w:val="es"/>
        </w:rPr>
        <w:t>l</w:t>
      </w:r>
      <w:r w:rsidR="00AE1F6F" w:rsidRPr="00D470F4">
        <w:rPr>
          <w:rFonts w:ascii="Times New Roman" w:hAnsi="Times New Roman" w:cs="Times New Roman"/>
          <w:color w:val="231F20"/>
          <w:spacing w:val="-4"/>
          <w:sz w:val="24"/>
          <w:szCs w:val="24"/>
          <w:lang w:val="es"/>
        </w:rPr>
        <w:t>i</w:t>
      </w:r>
      <w:r w:rsidRPr="00D470F4">
        <w:rPr>
          <w:rFonts w:ascii="Times New Roman" w:hAnsi="Times New Roman" w:cs="Times New Roman"/>
          <w:color w:val="231F20"/>
          <w:spacing w:val="-4"/>
          <w:sz w:val="24"/>
          <w:szCs w:val="24"/>
          <w:lang w:val="es"/>
        </w:rPr>
        <w:t>stas</w:t>
      </w:r>
      <w:proofErr w:type="spellEnd"/>
      <w:r w:rsidRPr="00D470F4">
        <w:rPr>
          <w:rFonts w:ascii="Times New Roman" w:hAnsi="Times New Roman" w:cs="Times New Roman"/>
          <w:color w:val="231F20"/>
          <w:spacing w:val="-4"/>
          <w:sz w:val="24"/>
          <w:szCs w:val="24"/>
          <w:lang w:val="es"/>
        </w:rPr>
        <w:t xml:space="preserve"> distinguen entre instituciones formales e informales y analizan el modo en que éstas evolucionan. Las instituciones formales comprenden las leyes, los reglamentos y los procedimientos gubernamentales, mientras que las informales incluyen las ideas, las creencias, las actitudes y los valores de las personas, es decir, la cultura de una sociedad determinada. </w:t>
      </w:r>
    </w:p>
    <w:p w14:paraId="4A5EE8AC" w14:textId="77777777" w:rsidR="003717B5" w:rsidRPr="00D470F4" w:rsidRDefault="003717B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En particular, los </w:t>
      </w:r>
      <w:proofErr w:type="spellStart"/>
      <w:r w:rsidRPr="00D470F4">
        <w:rPr>
          <w:rFonts w:ascii="Times New Roman" w:hAnsi="Times New Roman" w:cs="Times New Roman"/>
          <w:color w:val="231F20"/>
          <w:spacing w:val="-4"/>
          <w:sz w:val="24"/>
          <w:szCs w:val="24"/>
          <w:lang w:val="es"/>
        </w:rPr>
        <w:t>neo-institucionalistas</w:t>
      </w:r>
      <w:proofErr w:type="spellEnd"/>
      <w:r w:rsidRPr="00D470F4">
        <w:rPr>
          <w:rFonts w:ascii="Times New Roman" w:hAnsi="Times New Roman" w:cs="Times New Roman"/>
          <w:color w:val="231F20"/>
          <w:spacing w:val="-4"/>
          <w:sz w:val="24"/>
          <w:szCs w:val="24"/>
          <w:lang w:val="es"/>
        </w:rPr>
        <w:t xml:space="preserve"> cuestión el supuesto neoclásico de que los actores no enfrentan problemas de información. Para los neoclásicos no existen diferencias entre el mapa cognitivo con el que se guían los actores en su toma de decisiones y la realidad. Bajo tales supuestos, es posible predecir los comportamientos de los otros actores, solamente conociendo su función de utilidad (</w:t>
      </w:r>
      <w:proofErr w:type="spellStart"/>
      <w:r w:rsidRPr="00D470F4">
        <w:rPr>
          <w:rFonts w:ascii="Times New Roman" w:hAnsi="Times New Roman" w:cs="Times New Roman"/>
          <w:color w:val="231F20"/>
          <w:spacing w:val="-4"/>
          <w:sz w:val="24"/>
          <w:szCs w:val="24"/>
          <w:lang w:val="es"/>
        </w:rPr>
        <w:t>Simon</w:t>
      </w:r>
      <w:proofErr w:type="spellEnd"/>
      <w:r w:rsidRPr="00D470F4">
        <w:rPr>
          <w:rFonts w:ascii="Times New Roman" w:hAnsi="Times New Roman" w:cs="Times New Roman"/>
          <w:color w:val="231F20"/>
          <w:spacing w:val="-4"/>
          <w:sz w:val="24"/>
          <w:szCs w:val="24"/>
          <w:lang w:val="es"/>
        </w:rPr>
        <w:t xml:space="preserve">, 1986). Sin embargo, los </w:t>
      </w:r>
      <w:proofErr w:type="spellStart"/>
      <w:r w:rsidRPr="00D470F4">
        <w:rPr>
          <w:rFonts w:ascii="Times New Roman" w:hAnsi="Times New Roman" w:cs="Times New Roman"/>
          <w:color w:val="231F20"/>
          <w:spacing w:val="-4"/>
          <w:sz w:val="24"/>
          <w:szCs w:val="24"/>
          <w:lang w:val="es"/>
        </w:rPr>
        <w:t>neo-institucionalistas</w:t>
      </w:r>
      <w:proofErr w:type="spellEnd"/>
      <w:r w:rsidRPr="00D470F4">
        <w:rPr>
          <w:rFonts w:ascii="Times New Roman" w:hAnsi="Times New Roman" w:cs="Times New Roman"/>
          <w:color w:val="231F20"/>
          <w:spacing w:val="-4"/>
          <w:sz w:val="24"/>
          <w:szCs w:val="24"/>
          <w:lang w:val="es"/>
        </w:rPr>
        <w:t xml:space="preserve"> enfatizan que los actores no solamente experimentan problemas de información, en tanto ésta no se distribuye de manera uniforme, sino que además señalan que solucionarlos no es gratuito. </w:t>
      </w:r>
    </w:p>
    <w:p w14:paraId="3610E7E0" w14:textId="77777777" w:rsidR="003717B5" w:rsidRPr="00D470F4" w:rsidRDefault="003717B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 Por otro lado, los </w:t>
      </w:r>
      <w:proofErr w:type="spellStart"/>
      <w:r w:rsidRPr="00D470F4">
        <w:rPr>
          <w:rFonts w:ascii="Times New Roman" w:hAnsi="Times New Roman" w:cs="Times New Roman"/>
          <w:color w:val="231F20"/>
          <w:spacing w:val="-4"/>
          <w:sz w:val="24"/>
          <w:szCs w:val="24"/>
          <w:lang w:val="es"/>
        </w:rPr>
        <w:t>neo-institucionalistas</w:t>
      </w:r>
      <w:proofErr w:type="spellEnd"/>
      <w:r w:rsidRPr="00D470F4">
        <w:rPr>
          <w:rFonts w:ascii="Times New Roman" w:hAnsi="Times New Roman" w:cs="Times New Roman"/>
          <w:color w:val="231F20"/>
          <w:spacing w:val="-4"/>
          <w:sz w:val="24"/>
          <w:szCs w:val="24"/>
          <w:lang w:val="es"/>
        </w:rPr>
        <w:t xml:space="preserve"> ponen en el centro de su análisis, los costos de las transacciones que según Arrow equivalen a los costos de funcionamiento del sistema económico (1974). Para Friedman, los costos de transacción son equiparables al concepto físico de fricción (North, 1993). En particular, el carácter </w:t>
      </w:r>
      <w:proofErr w:type="spellStart"/>
      <w:r w:rsidRPr="00D470F4">
        <w:rPr>
          <w:rFonts w:ascii="Times New Roman" w:hAnsi="Times New Roman" w:cs="Times New Roman"/>
          <w:color w:val="231F20"/>
          <w:spacing w:val="-4"/>
          <w:sz w:val="24"/>
          <w:szCs w:val="24"/>
          <w:lang w:val="es"/>
        </w:rPr>
        <w:t>inter-temporal</w:t>
      </w:r>
      <w:proofErr w:type="spellEnd"/>
      <w:r w:rsidRPr="00D470F4">
        <w:rPr>
          <w:rFonts w:ascii="Times New Roman" w:hAnsi="Times New Roman" w:cs="Times New Roman"/>
          <w:color w:val="231F20"/>
          <w:spacing w:val="-4"/>
          <w:sz w:val="24"/>
          <w:szCs w:val="24"/>
          <w:lang w:val="es"/>
        </w:rPr>
        <w:t xml:space="preserve"> de las transacciones introduce incertidumbres que los actores por si mismos no son capaces de procesar (Williamson, 1985). Tanto los problemas de información como los costos de transacción hacen necesaria la emergencia de normas que regulen los intercambios para una mayor eficiencia. En particular, se entiende </w:t>
      </w:r>
      <w:proofErr w:type="gramStart"/>
      <w:r w:rsidRPr="00D470F4">
        <w:rPr>
          <w:rFonts w:ascii="Times New Roman" w:hAnsi="Times New Roman" w:cs="Times New Roman"/>
          <w:color w:val="231F20"/>
          <w:spacing w:val="-4"/>
          <w:sz w:val="24"/>
          <w:szCs w:val="24"/>
          <w:lang w:val="es"/>
        </w:rPr>
        <w:t>que  “</w:t>
      </w:r>
      <w:proofErr w:type="gramEnd"/>
      <w:r w:rsidRPr="00D470F4">
        <w:rPr>
          <w:rFonts w:ascii="Times New Roman" w:hAnsi="Times New Roman" w:cs="Times New Roman"/>
          <w:color w:val="231F20"/>
          <w:spacing w:val="-4"/>
          <w:sz w:val="24"/>
          <w:szCs w:val="24"/>
          <w:lang w:val="es"/>
        </w:rPr>
        <w:t xml:space="preserve">la complejidad y lo incompleto de la información </w:t>
      </w:r>
      <w:r w:rsidRPr="00D470F4">
        <w:rPr>
          <w:rFonts w:ascii="Times New Roman" w:hAnsi="Times New Roman" w:cs="Times New Roman"/>
          <w:color w:val="231F20"/>
          <w:spacing w:val="-4"/>
          <w:sz w:val="24"/>
          <w:szCs w:val="24"/>
          <w:lang w:val="es"/>
        </w:rPr>
        <w:lastRenderedPageBreak/>
        <w:t xml:space="preserve">que poseemos, y los esfuerzos </w:t>
      </w:r>
      <w:proofErr w:type="spellStart"/>
      <w:r w:rsidRPr="00D470F4">
        <w:rPr>
          <w:rFonts w:ascii="Times New Roman" w:hAnsi="Times New Roman" w:cs="Times New Roman"/>
          <w:color w:val="231F20"/>
          <w:spacing w:val="-4"/>
          <w:sz w:val="24"/>
          <w:szCs w:val="24"/>
          <w:lang w:val="es"/>
        </w:rPr>
        <w:t>tentaleantes</w:t>
      </w:r>
      <w:proofErr w:type="spellEnd"/>
      <w:r w:rsidRPr="00D470F4">
        <w:rPr>
          <w:rFonts w:ascii="Times New Roman" w:hAnsi="Times New Roman" w:cs="Times New Roman"/>
          <w:color w:val="231F20"/>
          <w:spacing w:val="-4"/>
          <w:sz w:val="24"/>
          <w:szCs w:val="24"/>
          <w:lang w:val="es"/>
        </w:rPr>
        <w:t xml:space="preserve"> que hacemos por descifrarla, hacen necesario el desarrollo de patrones regulares de interacción humana para hacer frente a esas complejidades”. (Romero, 1999; 13)</w:t>
      </w:r>
    </w:p>
    <w:p w14:paraId="419C4A9A" w14:textId="77777777" w:rsidR="003717B5" w:rsidRPr="00D470F4" w:rsidRDefault="003717B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Las instituciones, vienen así, a cumplir el rol de permitir la coordinación entre los sujetos (</w:t>
      </w:r>
      <w:proofErr w:type="spellStart"/>
      <w:r w:rsidRPr="00D470F4">
        <w:rPr>
          <w:rFonts w:ascii="Times New Roman" w:hAnsi="Times New Roman" w:cs="Times New Roman"/>
          <w:color w:val="231F20"/>
          <w:spacing w:val="-4"/>
          <w:sz w:val="24"/>
          <w:szCs w:val="24"/>
          <w:lang w:val="es"/>
        </w:rPr>
        <w:t>DiMaggio</w:t>
      </w:r>
      <w:proofErr w:type="spellEnd"/>
      <w:r w:rsidRPr="00D470F4">
        <w:rPr>
          <w:rFonts w:ascii="Times New Roman" w:hAnsi="Times New Roman" w:cs="Times New Roman"/>
          <w:color w:val="231F20"/>
          <w:spacing w:val="-4"/>
          <w:sz w:val="24"/>
          <w:szCs w:val="24"/>
          <w:lang w:val="es"/>
        </w:rPr>
        <w:t xml:space="preserve"> and Powell, 1991). Los </w:t>
      </w:r>
      <w:proofErr w:type="spellStart"/>
      <w:r w:rsidRPr="00D470F4">
        <w:rPr>
          <w:rFonts w:ascii="Times New Roman" w:hAnsi="Times New Roman" w:cs="Times New Roman"/>
          <w:color w:val="231F20"/>
          <w:spacing w:val="-4"/>
          <w:sz w:val="24"/>
          <w:szCs w:val="24"/>
          <w:lang w:val="es"/>
        </w:rPr>
        <w:t>neo-institucionalistas</w:t>
      </w:r>
      <w:proofErr w:type="spellEnd"/>
      <w:r w:rsidRPr="00D470F4">
        <w:rPr>
          <w:rFonts w:ascii="Times New Roman" w:hAnsi="Times New Roman" w:cs="Times New Roman"/>
          <w:color w:val="231F20"/>
          <w:spacing w:val="-4"/>
          <w:sz w:val="24"/>
          <w:szCs w:val="24"/>
          <w:lang w:val="es"/>
        </w:rPr>
        <w:t xml:space="preserve"> entienden que las mismas brindan soluciones relativamente eficientes a los problemas de la acción colectiva, pues las rutinas institucionales existen sobre todo para reducir los costos entre individuos y grupos con el objetivo de aumentar su eficiencia (Romero, 1999).</w:t>
      </w:r>
    </w:p>
    <w:p w14:paraId="23E6C1B3" w14:textId="77777777" w:rsidR="003717B5" w:rsidRPr="00D470F4" w:rsidRDefault="003717B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Otra característica distintiva del enfoque </w:t>
      </w:r>
      <w:proofErr w:type="spellStart"/>
      <w:r w:rsidRPr="00D470F4">
        <w:rPr>
          <w:rFonts w:ascii="Times New Roman" w:hAnsi="Times New Roman" w:cs="Times New Roman"/>
          <w:color w:val="231F20"/>
          <w:spacing w:val="-4"/>
          <w:sz w:val="24"/>
          <w:szCs w:val="24"/>
          <w:lang w:val="es"/>
        </w:rPr>
        <w:t>neo-institucional</w:t>
      </w:r>
      <w:proofErr w:type="spellEnd"/>
      <w:r w:rsidRPr="00D470F4">
        <w:rPr>
          <w:rFonts w:ascii="Times New Roman" w:hAnsi="Times New Roman" w:cs="Times New Roman"/>
          <w:color w:val="231F20"/>
          <w:spacing w:val="-4"/>
          <w:sz w:val="24"/>
          <w:szCs w:val="24"/>
          <w:lang w:val="es"/>
        </w:rPr>
        <w:t xml:space="preserve"> es la afirmación de la autonomía de las instituciones (</w:t>
      </w:r>
      <w:proofErr w:type="spellStart"/>
      <w:r w:rsidRPr="00D470F4">
        <w:rPr>
          <w:rFonts w:ascii="Times New Roman" w:hAnsi="Times New Roman" w:cs="Times New Roman"/>
          <w:color w:val="231F20"/>
          <w:spacing w:val="-4"/>
          <w:sz w:val="24"/>
          <w:szCs w:val="24"/>
          <w:lang w:val="es"/>
        </w:rPr>
        <w:t>Przeworski</w:t>
      </w:r>
      <w:proofErr w:type="spellEnd"/>
      <w:r w:rsidRPr="00D470F4">
        <w:rPr>
          <w:rFonts w:ascii="Times New Roman" w:hAnsi="Times New Roman" w:cs="Times New Roman"/>
          <w:color w:val="231F20"/>
          <w:spacing w:val="-4"/>
          <w:sz w:val="24"/>
          <w:szCs w:val="24"/>
          <w:lang w:val="es"/>
        </w:rPr>
        <w:t xml:space="preserve">, 2007) frente a enfoques que pretenden reducirlas ya sea a un epifenómeno de las relaciones sociales y productivas o un subproducto de las interacciones individuales (Acuña y </w:t>
      </w:r>
      <w:proofErr w:type="spellStart"/>
      <w:r w:rsidRPr="00D470F4">
        <w:rPr>
          <w:rFonts w:ascii="Times New Roman" w:hAnsi="Times New Roman" w:cs="Times New Roman"/>
          <w:color w:val="231F20"/>
          <w:spacing w:val="-4"/>
          <w:sz w:val="24"/>
          <w:szCs w:val="24"/>
          <w:lang w:val="es"/>
        </w:rPr>
        <w:t>Chudnovsky</w:t>
      </w:r>
      <w:proofErr w:type="spellEnd"/>
      <w:r w:rsidRPr="00D470F4">
        <w:rPr>
          <w:rFonts w:ascii="Times New Roman" w:hAnsi="Times New Roman" w:cs="Times New Roman"/>
          <w:color w:val="231F20"/>
          <w:spacing w:val="-4"/>
          <w:sz w:val="24"/>
          <w:szCs w:val="24"/>
          <w:lang w:val="es"/>
        </w:rPr>
        <w:t xml:space="preserve">, 2013). Para March y Olsen: </w:t>
      </w:r>
    </w:p>
    <w:p w14:paraId="66A1BC01" w14:textId="77777777" w:rsidR="003717B5" w:rsidRPr="00D470F4" w:rsidRDefault="003717B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El reclamo de autonomía es necesario para establecer que las instituciones políticas son más que simples espejos de las fuerzas sociales. Las observaciones empíricas parecen indicar que los procesos internos de las instituciones políticas, aunque posiblemente desencadenados por eventos externos, afectan el flujo de la historia. (1984; 739)</w:t>
      </w:r>
    </w:p>
    <w:p w14:paraId="65B6533E" w14:textId="77777777" w:rsidR="003717B5" w:rsidRPr="00D470F4" w:rsidRDefault="003717B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Como se observa, en esta tradición las definiciones de instituciones resaltan su estabilidad y su inercia al cambio. Por ejemplo, según Powell (1991, 197), “las cosas institucionalizadas tienden a ser relativamente inertes, es decir, resisten los esfuerzos de cambio”. En el análisis histórico institucional, se entiende por coyunturas críticas a los eventos desencadenantes que ponen en marcha procesos de cambio institucional o político. Si una característica distintiva de las normas y las instituciones es, justamente, su continuidad y resistencia al cambio, el problema del cambio institucional es una de las grandes cuestiones del análisis histórico. En particular, las instituciones del sistema energético presentan una importante resistencia al cambio. Como hemos indicado anteriormente, las inversiones en este sector son costosas y </w:t>
      </w:r>
      <w:r w:rsidRPr="00D470F4">
        <w:rPr>
          <w:rFonts w:ascii="Times New Roman" w:hAnsi="Times New Roman" w:cs="Times New Roman"/>
          <w:color w:val="231F20"/>
          <w:spacing w:val="-4"/>
          <w:sz w:val="24"/>
          <w:szCs w:val="24"/>
          <w:lang w:val="es"/>
        </w:rPr>
        <w:lastRenderedPageBreak/>
        <w:t xml:space="preserve">sus tiempos de amortización son largos. </w:t>
      </w:r>
    </w:p>
    <w:p w14:paraId="1EA46C68" w14:textId="77777777" w:rsidR="003717B5" w:rsidRPr="00D470F4" w:rsidRDefault="003717B5" w:rsidP="00132D23">
      <w:pPr>
        <w:pStyle w:val="Textoindependiente"/>
        <w:spacing w:before="33" w:line="480" w:lineRule="auto"/>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Una forma particularmente prometedora de explicar el cambio institucional es la de apelar sobre las “coyunturas críticas”, a menudo entendidas como períodos de contingencia durante los cuales se levantan o alivian las restricciones habituales sobre la acción (</w:t>
      </w:r>
      <w:proofErr w:type="spellStart"/>
      <w:r w:rsidRPr="00D470F4">
        <w:rPr>
          <w:rFonts w:ascii="Times New Roman" w:hAnsi="Times New Roman" w:cs="Times New Roman"/>
          <w:color w:val="231F20"/>
          <w:spacing w:val="-4"/>
          <w:sz w:val="24"/>
          <w:szCs w:val="24"/>
          <w:lang w:val="es"/>
        </w:rPr>
        <w:t>Capoccia</w:t>
      </w:r>
      <w:proofErr w:type="spellEnd"/>
      <w:r w:rsidRPr="00D470F4">
        <w:rPr>
          <w:rFonts w:ascii="Times New Roman" w:hAnsi="Times New Roman" w:cs="Times New Roman"/>
          <w:color w:val="231F20"/>
          <w:spacing w:val="-4"/>
          <w:sz w:val="24"/>
          <w:szCs w:val="24"/>
          <w:lang w:val="es"/>
        </w:rPr>
        <w:t xml:space="preserve"> y </w:t>
      </w:r>
      <w:proofErr w:type="spellStart"/>
      <w:r w:rsidRPr="00D470F4">
        <w:rPr>
          <w:rFonts w:ascii="Times New Roman" w:hAnsi="Times New Roman" w:cs="Times New Roman"/>
          <w:color w:val="231F20"/>
          <w:spacing w:val="-4"/>
          <w:sz w:val="24"/>
          <w:szCs w:val="24"/>
          <w:lang w:val="es"/>
        </w:rPr>
        <w:t>Kelemen</w:t>
      </w:r>
      <w:proofErr w:type="spellEnd"/>
      <w:r w:rsidRPr="00D470F4">
        <w:rPr>
          <w:rFonts w:ascii="Times New Roman" w:hAnsi="Times New Roman" w:cs="Times New Roman"/>
          <w:color w:val="231F20"/>
          <w:spacing w:val="-4"/>
          <w:sz w:val="24"/>
          <w:szCs w:val="24"/>
          <w:lang w:val="es"/>
        </w:rPr>
        <w:t xml:space="preserve"> 2007). Un ejemplo, especialmente esclarecedor puede ser el de la Revolución Francesa. Las posibilidades abiertas en 1789 por la propia dinámica de la crisis revolucionaria tuvieron un peso significativo en la finalización del feudalismo en Europa y dieron forma a las instituciones políticas modernas. Estas explicaciones del cambio, naturalmente, están vinculadas a argumentos sobre el peso relativo de la agencia frente a la estructura distintas ocasiones. Por largos períodos de tiempo, los costos de romper con el </w:t>
      </w:r>
      <w:proofErr w:type="spellStart"/>
      <w:r w:rsidRPr="00D470F4">
        <w:rPr>
          <w:rFonts w:ascii="Times New Roman" w:hAnsi="Times New Roman" w:cs="Times New Roman"/>
          <w:color w:val="231F20"/>
          <w:spacing w:val="-4"/>
          <w:sz w:val="24"/>
          <w:szCs w:val="24"/>
          <w:lang w:val="es"/>
        </w:rPr>
        <w:t>status</w:t>
      </w:r>
      <w:proofErr w:type="spellEnd"/>
      <w:r w:rsidRPr="00D470F4">
        <w:rPr>
          <w:rFonts w:ascii="Times New Roman" w:hAnsi="Times New Roman" w:cs="Times New Roman"/>
          <w:color w:val="231F20"/>
          <w:spacing w:val="-4"/>
          <w:sz w:val="24"/>
          <w:szCs w:val="24"/>
          <w:lang w:val="es"/>
        </w:rPr>
        <w:t xml:space="preserve"> quo parecen demasiado grandes y la capacidad de agencia de los actores, poco significativa, mientras que en otro esta se incrementa. (</w:t>
      </w:r>
      <w:proofErr w:type="spellStart"/>
      <w:r w:rsidRPr="00D470F4">
        <w:rPr>
          <w:rFonts w:ascii="Times New Roman" w:hAnsi="Times New Roman" w:cs="Times New Roman"/>
          <w:color w:val="231F20"/>
          <w:spacing w:val="-4"/>
          <w:sz w:val="24"/>
          <w:szCs w:val="24"/>
          <w:lang w:val="es"/>
        </w:rPr>
        <w:t>Katznelson</w:t>
      </w:r>
      <w:proofErr w:type="spellEnd"/>
      <w:r w:rsidRPr="00D470F4">
        <w:rPr>
          <w:rFonts w:ascii="Times New Roman" w:hAnsi="Times New Roman" w:cs="Times New Roman"/>
          <w:color w:val="231F20"/>
          <w:spacing w:val="-4"/>
          <w:sz w:val="24"/>
          <w:szCs w:val="24"/>
          <w:lang w:val="es"/>
        </w:rPr>
        <w:t xml:space="preserve"> 2003).</w:t>
      </w:r>
    </w:p>
    <w:p w14:paraId="24DFA76D" w14:textId="77777777" w:rsidR="003717B5" w:rsidRPr="00D470F4" w:rsidRDefault="003717B5" w:rsidP="00132D23">
      <w:pPr>
        <w:pStyle w:val="Textoindependiente"/>
        <w:spacing w:before="33" w:line="480" w:lineRule="auto"/>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En el análisis de un sistema socio técnico con un comportamiento altamente inercial, recurrir a explicaciones de tipo </w:t>
      </w:r>
      <w:proofErr w:type="spellStart"/>
      <w:r w:rsidRPr="00D470F4">
        <w:rPr>
          <w:rFonts w:ascii="Times New Roman" w:hAnsi="Times New Roman" w:cs="Times New Roman"/>
          <w:color w:val="231F20"/>
          <w:spacing w:val="-4"/>
          <w:sz w:val="24"/>
          <w:szCs w:val="24"/>
          <w:lang w:val="es"/>
        </w:rPr>
        <w:t>path</w:t>
      </w:r>
      <w:proofErr w:type="spellEnd"/>
      <w:r w:rsidRPr="00D470F4">
        <w:rPr>
          <w:rFonts w:ascii="Times New Roman" w:hAnsi="Times New Roman" w:cs="Times New Roman"/>
          <w:color w:val="231F20"/>
          <w:spacing w:val="-4"/>
          <w:sz w:val="24"/>
          <w:szCs w:val="24"/>
          <w:lang w:val="es"/>
        </w:rPr>
        <w:t xml:space="preserve"> </w:t>
      </w:r>
      <w:proofErr w:type="spellStart"/>
      <w:r w:rsidRPr="00D470F4">
        <w:rPr>
          <w:rFonts w:ascii="Times New Roman" w:hAnsi="Times New Roman" w:cs="Times New Roman"/>
          <w:color w:val="231F20"/>
          <w:spacing w:val="-4"/>
          <w:sz w:val="24"/>
          <w:szCs w:val="24"/>
          <w:lang w:val="es"/>
        </w:rPr>
        <w:t>dependent</w:t>
      </w:r>
      <w:proofErr w:type="spellEnd"/>
      <w:r w:rsidRPr="00D470F4">
        <w:rPr>
          <w:rFonts w:ascii="Times New Roman" w:hAnsi="Times New Roman" w:cs="Times New Roman"/>
          <w:color w:val="231F20"/>
          <w:spacing w:val="-4"/>
          <w:sz w:val="24"/>
          <w:szCs w:val="24"/>
          <w:lang w:val="es"/>
        </w:rPr>
        <w:t xml:space="preserve"> puede resultar especialmente prometedor. De acuerdo a Mahoney (2001) el </w:t>
      </w:r>
      <w:proofErr w:type="spellStart"/>
      <w:r w:rsidRPr="00D470F4">
        <w:rPr>
          <w:rFonts w:ascii="Times New Roman" w:hAnsi="Times New Roman" w:cs="Times New Roman"/>
          <w:color w:val="231F20"/>
          <w:spacing w:val="-4"/>
          <w:sz w:val="24"/>
          <w:szCs w:val="24"/>
          <w:lang w:val="es"/>
        </w:rPr>
        <w:t>path</w:t>
      </w:r>
      <w:proofErr w:type="spellEnd"/>
      <w:r w:rsidRPr="00D470F4">
        <w:rPr>
          <w:rFonts w:ascii="Times New Roman" w:hAnsi="Times New Roman" w:cs="Times New Roman"/>
          <w:color w:val="231F20"/>
          <w:spacing w:val="-4"/>
          <w:sz w:val="24"/>
          <w:szCs w:val="24"/>
          <w:lang w:val="es"/>
        </w:rPr>
        <w:t xml:space="preserve"> </w:t>
      </w:r>
      <w:proofErr w:type="spellStart"/>
      <w:r w:rsidRPr="00D470F4">
        <w:rPr>
          <w:rFonts w:ascii="Times New Roman" w:hAnsi="Times New Roman" w:cs="Times New Roman"/>
          <w:color w:val="231F20"/>
          <w:spacing w:val="-4"/>
          <w:sz w:val="24"/>
          <w:szCs w:val="24"/>
          <w:lang w:val="es"/>
        </w:rPr>
        <w:t>dependent</w:t>
      </w:r>
      <w:proofErr w:type="spellEnd"/>
      <w:r w:rsidRPr="00D470F4">
        <w:rPr>
          <w:rFonts w:ascii="Times New Roman" w:hAnsi="Times New Roman" w:cs="Times New Roman"/>
          <w:color w:val="231F20"/>
          <w:spacing w:val="-4"/>
          <w:sz w:val="24"/>
          <w:szCs w:val="24"/>
          <w:lang w:val="es"/>
        </w:rPr>
        <w:t xml:space="preserve"> implica mucho más que afirmar que la historia importa: se refiere a un tipo específico de explicación que se desarrolla a través de una serie de etapas lógicamente secuenciales. Las condiciones históricas antecedentes definen una gama de opciones disponibles para los actores durante un punto clave. Este punto clave, que se puede llamar "coyuntura crítica", se caracteriza por la selección de una opción particular entre dos o más alternativas. Las coyunturas críticas representan momentos de relativa indeterminación estructural, donde las opciones abiertas a los actores permiten una mayor injerencia de sus decisiones. La selección realizada durante este tipo de coyunturas conduce a la creación de patrones institucionales o estructurales que perduran en el tiempo (</w:t>
      </w:r>
      <w:proofErr w:type="spellStart"/>
      <w:r w:rsidRPr="00D470F4">
        <w:rPr>
          <w:rFonts w:ascii="Times New Roman" w:hAnsi="Times New Roman" w:cs="Times New Roman"/>
          <w:color w:val="231F20"/>
          <w:spacing w:val="-4"/>
          <w:sz w:val="24"/>
          <w:szCs w:val="24"/>
          <w:lang w:val="es"/>
        </w:rPr>
        <w:t>Capoccia</w:t>
      </w:r>
      <w:proofErr w:type="spellEnd"/>
      <w:r w:rsidRPr="00D470F4">
        <w:rPr>
          <w:rFonts w:ascii="Times New Roman" w:hAnsi="Times New Roman" w:cs="Times New Roman"/>
          <w:color w:val="231F20"/>
          <w:spacing w:val="-4"/>
          <w:sz w:val="24"/>
          <w:szCs w:val="24"/>
          <w:lang w:val="es"/>
        </w:rPr>
        <w:t xml:space="preserve">, 2015). A su vez, esta persistencia desencadena una secuencia de respuestas en la cual los actores responden a los arreglos establecidos a través de un conjunto de respuestas y </w:t>
      </w:r>
      <w:proofErr w:type="spellStart"/>
      <w:r w:rsidRPr="00D470F4">
        <w:rPr>
          <w:rFonts w:ascii="Times New Roman" w:hAnsi="Times New Roman" w:cs="Times New Roman"/>
          <w:color w:val="231F20"/>
          <w:spacing w:val="-4"/>
          <w:sz w:val="24"/>
          <w:szCs w:val="24"/>
          <w:lang w:val="es"/>
        </w:rPr>
        <w:t>contra-respuestas</w:t>
      </w:r>
      <w:proofErr w:type="spellEnd"/>
      <w:r w:rsidRPr="00D470F4">
        <w:rPr>
          <w:rFonts w:ascii="Times New Roman" w:hAnsi="Times New Roman" w:cs="Times New Roman"/>
          <w:color w:val="231F20"/>
          <w:spacing w:val="-4"/>
          <w:sz w:val="24"/>
          <w:szCs w:val="24"/>
          <w:lang w:val="es"/>
        </w:rPr>
        <w:t xml:space="preserve"> </w:t>
      </w:r>
      <w:r w:rsidRPr="00D470F4">
        <w:rPr>
          <w:rFonts w:ascii="Times New Roman" w:hAnsi="Times New Roman" w:cs="Times New Roman"/>
          <w:color w:val="231F20"/>
          <w:spacing w:val="-4"/>
          <w:sz w:val="24"/>
          <w:szCs w:val="24"/>
          <w:lang w:val="es"/>
        </w:rPr>
        <w:lastRenderedPageBreak/>
        <w:t>predecibles. Estas reacciones luego canalizan el desarrollo hasta el punto de un resultado final, que representa una resolución de los conflictos que marcan las secuencias reactivas (Mahoney, 2001).</w:t>
      </w:r>
    </w:p>
    <w:p w14:paraId="3326CBAD" w14:textId="77777777" w:rsidR="003717B5" w:rsidRPr="00D470F4" w:rsidRDefault="003717B5" w:rsidP="00132D23">
      <w:pPr>
        <w:pStyle w:val="Textoindependiente"/>
        <w:spacing w:before="33" w:line="480" w:lineRule="auto"/>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Según señala Gregory </w:t>
      </w:r>
      <w:proofErr w:type="spellStart"/>
      <w:r w:rsidRPr="00D470F4">
        <w:rPr>
          <w:rFonts w:ascii="Times New Roman" w:hAnsi="Times New Roman" w:cs="Times New Roman"/>
          <w:color w:val="231F20"/>
          <w:spacing w:val="-4"/>
          <w:sz w:val="24"/>
          <w:szCs w:val="24"/>
          <w:lang w:val="es"/>
        </w:rPr>
        <w:t>Unruh</w:t>
      </w:r>
      <w:proofErr w:type="spellEnd"/>
      <w:r w:rsidRPr="00D470F4">
        <w:rPr>
          <w:rFonts w:ascii="Times New Roman" w:hAnsi="Times New Roman" w:cs="Times New Roman"/>
          <w:color w:val="231F20"/>
          <w:spacing w:val="-4"/>
          <w:sz w:val="24"/>
          <w:szCs w:val="24"/>
          <w:lang w:val="es"/>
        </w:rPr>
        <w:t xml:space="preserve">, la generación de energía, su distribución </w:t>
      </w:r>
      <w:proofErr w:type="gramStart"/>
      <w:r w:rsidRPr="00D470F4">
        <w:rPr>
          <w:rFonts w:ascii="Times New Roman" w:hAnsi="Times New Roman" w:cs="Times New Roman"/>
          <w:color w:val="231F20"/>
          <w:spacing w:val="-4"/>
          <w:sz w:val="24"/>
          <w:szCs w:val="24"/>
          <w:lang w:val="es"/>
        </w:rPr>
        <w:t>y  uso</w:t>
      </w:r>
      <w:proofErr w:type="gramEnd"/>
      <w:r w:rsidRPr="00D470F4">
        <w:rPr>
          <w:rFonts w:ascii="Times New Roman" w:hAnsi="Times New Roman" w:cs="Times New Roman"/>
          <w:color w:val="231F20"/>
          <w:spacing w:val="-4"/>
          <w:sz w:val="24"/>
          <w:szCs w:val="24"/>
          <w:lang w:val="es"/>
        </w:rPr>
        <w:t xml:space="preserve"> final, no  pueden ser entendidos como un conjunto de artefactos tecnológicos discretos, sino como “sistemas complejos de tecnologías integrados en un poderoso contexto social de condicionamiento de instituciones públicas y privadas” (</w:t>
      </w:r>
      <w:proofErr w:type="spellStart"/>
      <w:r w:rsidRPr="00D470F4">
        <w:rPr>
          <w:rFonts w:ascii="Times New Roman" w:hAnsi="Times New Roman" w:cs="Times New Roman"/>
          <w:color w:val="231F20"/>
          <w:spacing w:val="-4"/>
          <w:sz w:val="24"/>
          <w:szCs w:val="24"/>
          <w:lang w:val="es"/>
        </w:rPr>
        <w:t>Unruh</w:t>
      </w:r>
      <w:proofErr w:type="spellEnd"/>
      <w:r w:rsidRPr="00D470F4">
        <w:rPr>
          <w:rFonts w:ascii="Times New Roman" w:hAnsi="Times New Roman" w:cs="Times New Roman"/>
          <w:color w:val="231F20"/>
          <w:spacing w:val="-4"/>
          <w:sz w:val="24"/>
          <w:szCs w:val="24"/>
          <w:lang w:val="es"/>
        </w:rPr>
        <w:t xml:space="preserve">, 2000: 2). Estos sistemas se desarrollan a través de un proceso </w:t>
      </w:r>
      <w:proofErr w:type="spellStart"/>
      <w:r w:rsidRPr="00D470F4">
        <w:rPr>
          <w:rFonts w:ascii="Times New Roman" w:hAnsi="Times New Roman" w:cs="Times New Roman"/>
          <w:color w:val="231F20"/>
          <w:spacing w:val="-4"/>
          <w:sz w:val="24"/>
          <w:szCs w:val="24"/>
          <w:lang w:val="es"/>
        </w:rPr>
        <w:t>co-evolutivo</w:t>
      </w:r>
      <w:proofErr w:type="spellEnd"/>
      <w:r w:rsidRPr="00D470F4">
        <w:rPr>
          <w:rFonts w:ascii="Times New Roman" w:hAnsi="Times New Roman" w:cs="Times New Roman"/>
          <w:color w:val="231F20"/>
          <w:spacing w:val="-4"/>
          <w:sz w:val="24"/>
          <w:szCs w:val="24"/>
          <w:lang w:val="es"/>
        </w:rPr>
        <w:t xml:space="preserve"> que implica retroalimentación positiva entre la infraestructura tecnológica y las organizaciones e instituciones que las crean, utilizan y emplean. Una vez establecidos, estos sistemas manifiestan un comportamiento inercial, son difíciles de desplazar, privilegian las innovaciones en el interior del mismo y bloquean tecnologías alternativas que puedan amenazar su estabilidad (</w:t>
      </w:r>
      <w:proofErr w:type="spellStart"/>
      <w:r w:rsidRPr="00D470F4">
        <w:rPr>
          <w:rFonts w:ascii="Times New Roman" w:hAnsi="Times New Roman" w:cs="Times New Roman"/>
          <w:color w:val="231F20"/>
          <w:spacing w:val="-4"/>
          <w:sz w:val="24"/>
          <w:szCs w:val="24"/>
          <w:lang w:val="es"/>
        </w:rPr>
        <w:t>Huberty</w:t>
      </w:r>
      <w:proofErr w:type="spellEnd"/>
      <w:r w:rsidRPr="00D470F4">
        <w:rPr>
          <w:rFonts w:ascii="Times New Roman" w:hAnsi="Times New Roman" w:cs="Times New Roman"/>
          <w:color w:val="231F20"/>
          <w:spacing w:val="-4"/>
          <w:sz w:val="24"/>
          <w:szCs w:val="24"/>
          <w:lang w:val="es"/>
        </w:rPr>
        <w:t>, 2013). En particular, tanto las crisis de suministro como los shocks de precios pueden ser entendidos como coyunturas críticas en la que se realza la importancia de las decisiones de los actores.</w:t>
      </w:r>
    </w:p>
    <w:p w14:paraId="726085D5" w14:textId="77777777" w:rsidR="003717B5" w:rsidRPr="00D470F4" w:rsidRDefault="003717B5" w:rsidP="00132D23">
      <w:pPr>
        <w:pStyle w:val="Textoindependiente"/>
        <w:spacing w:before="33" w:line="480" w:lineRule="auto"/>
        <w:rPr>
          <w:rFonts w:ascii="Times New Roman" w:hAnsi="Times New Roman" w:cs="Times New Roman"/>
          <w:b/>
          <w:color w:val="231F20"/>
          <w:spacing w:val="-4"/>
          <w:sz w:val="24"/>
          <w:szCs w:val="24"/>
          <w:lang w:val="es"/>
        </w:rPr>
      </w:pPr>
    </w:p>
    <w:p w14:paraId="7BFB4259" w14:textId="77777777" w:rsidR="003717B5" w:rsidRPr="00D470F4" w:rsidRDefault="003717B5" w:rsidP="00132D23">
      <w:pPr>
        <w:pStyle w:val="Textoindependiente"/>
        <w:spacing w:before="33" w:line="480" w:lineRule="auto"/>
        <w:rPr>
          <w:rFonts w:ascii="Times New Roman" w:hAnsi="Times New Roman" w:cs="Times New Roman"/>
          <w:b/>
          <w:color w:val="231F20"/>
          <w:spacing w:val="-4"/>
          <w:sz w:val="24"/>
          <w:szCs w:val="24"/>
          <w:lang w:val="es"/>
        </w:rPr>
      </w:pPr>
      <w:r w:rsidRPr="00D470F4">
        <w:rPr>
          <w:rFonts w:ascii="Times New Roman" w:hAnsi="Times New Roman" w:cs="Times New Roman"/>
          <w:b/>
          <w:color w:val="231F20"/>
          <w:spacing w:val="-4"/>
          <w:sz w:val="24"/>
          <w:szCs w:val="24"/>
          <w:lang w:val="es"/>
        </w:rPr>
        <w:t xml:space="preserve">Neoliberalismo </w:t>
      </w:r>
    </w:p>
    <w:p w14:paraId="712D47D7" w14:textId="77777777" w:rsidR="003717B5" w:rsidRPr="00D470F4" w:rsidRDefault="003717B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Una propuesta fundamental de esta investigación es que tanto en la configuración del sistema eléctrico como en las políticas puntuales de promoción de ERNC, el rol de las ideas políticas y los modelos de desarrollo jugaron un rol fundamental. En este sentido la reconfiguración de los sistemas eléctricos en Chile y Argentina, durante la década de 1980 y 1990, solo es plenamente comprensible dentro del marco mucho más amplio del triunfo global de las ideas neoliberales. En este capítulo, nos interesa indagar conceptualmente que se entiende por neoliberalismo.</w:t>
      </w:r>
    </w:p>
    <w:p w14:paraId="7129F884" w14:textId="77777777" w:rsidR="003717B5" w:rsidRPr="00D470F4" w:rsidRDefault="003717B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En primer lugar, el neoliberalismo presenta una confianza extraordinaria en los mecanismos de mercado (esto es, la libre interacción entre oferta y demanda) en lo que respecta a la </w:t>
      </w:r>
      <w:r w:rsidRPr="00D470F4">
        <w:rPr>
          <w:rFonts w:ascii="Times New Roman" w:hAnsi="Times New Roman" w:cs="Times New Roman"/>
          <w:color w:val="231F20"/>
          <w:spacing w:val="-4"/>
          <w:sz w:val="24"/>
          <w:szCs w:val="24"/>
          <w:lang w:val="es"/>
        </w:rPr>
        <w:lastRenderedPageBreak/>
        <w:t xml:space="preserve">mayor eficiencia en la asignación de recursos. Por el contrario, la intervención del gobierno se considera indeseable ya que desafía esta lógica y va en contra de la eficiencia y la libertad. Friedrich Hayek, por ejemplo, señalaba que una sociedad basada en el mercado promoverá la libertad personal. Según Barry Smart (2002, p. 95), esta sociedad logra la coherencia no por diseño, sino a través del mercado y sus procedimientos económicos, al intercambiar productos y servicios por otros. En términos de eficiencia y equidad, el orden general generado por el mercado se considera superior a cualquier tipo de estructura social construida o planificada. Según Polanyi (2001, p. 60), este sistema indica que "en lugar de que las interacciones sociales se basen en la economía, están incrustadas en las relaciones económicas". </w:t>
      </w:r>
    </w:p>
    <w:p w14:paraId="722FD211" w14:textId="77777777" w:rsidR="003717B5" w:rsidRPr="00D470F4" w:rsidRDefault="003717B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Si nos valemos de una perspectiva histórica, dejando de lado sus justificaciones ideológicas, resulta evidente que el libre mercado que su </w:t>
      </w:r>
      <w:proofErr w:type="spellStart"/>
      <w:r w:rsidRPr="00D470F4">
        <w:rPr>
          <w:rFonts w:ascii="Times New Roman" w:hAnsi="Times New Roman" w:cs="Times New Roman"/>
          <w:color w:val="231F20"/>
          <w:spacing w:val="-4"/>
          <w:sz w:val="24"/>
          <w:szCs w:val="24"/>
          <w:lang w:val="es"/>
        </w:rPr>
        <w:t>constitunción</w:t>
      </w:r>
      <w:proofErr w:type="spellEnd"/>
      <w:r w:rsidRPr="00D470F4">
        <w:rPr>
          <w:rFonts w:ascii="Times New Roman" w:hAnsi="Times New Roman" w:cs="Times New Roman"/>
          <w:color w:val="231F20"/>
          <w:spacing w:val="-4"/>
          <w:sz w:val="24"/>
          <w:szCs w:val="24"/>
          <w:lang w:val="es"/>
        </w:rPr>
        <w:t xml:space="preserve"> estuvo lejos de la “generación espontánea” que sus defensores le adjudican. En efecto, la creación de un sistema de libre mercado fue un hecho político de primera magnitud, que a menudo implico más regulación no menos. En efecto, como el caso chileno lo demuestra paradigmáticamente, a menudo la imposición de un modelo de libre mercado implicó no sólo la redefinición de las funciones del Estado, sino además la apelación a la violencia estatal para evitar las manifestaciones populares en su contra. Según Karl Polanyi, "el desarrollo de los mercados nacionales no fue en modo alguno el resultado de la liberalización gradual y espontánea del ámbito económico de la autoridad política". (Polanyi 2001, p. 258) El mercado fue el resultado de la participación del gobierno deliberada ya veces violenta, que impuso la estructura del mercado a la sociedad para objetivos no económicos. (2001, pág. 258). </w:t>
      </w:r>
    </w:p>
    <w:p w14:paraId="2F9AC898" w14:textId="77777777" w:rsidR="003717B5" w:rsidRPr="00D470F4" w:rsidRDefault="003717B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Probablemente la mejor manera de comprender el neoliberalismo, es identificarlo con tres aspectos interconectados. En efecto el neoliberalismo puede ser entendido como una ideología, un método de gobierno y un conjunto específico de políticas concretas que </w:t>
      </w:r>
      <w:r w:rsidRPr="00D470F4">
        <w:rPr>
          <w:rFonts w:ascii="Times New Roman" w:hAnsi="Times New Roman" w:cs="Times New Roman"/>
          <w:color w:val="231F20"/>
          <w:spacing w:val="-4"/>
          <w:sz w:val="24"/>
          <w:szCs w:val="24"/>
          <w:lang w:val="es"/>
        </w:rPr>
        <w:lastRenderedPageBreak/>
        <w:t xml:space="preserve">tuvieron su primera manifestación en Chile durante la dictadura de Pinochet y alimentar la </w:t>
      </w:r>
      <w:proofErr w:type="spellStart"/>
      <w:r w:rsidRPr="00D470F4">
        <w:rPr>
          <w:rFonts w:ascii="Times New Roman" w:hAnsi="Times New Roman" w:cs="Times New Roman"/>
          <w:color w:val="231F20"/>
          <w:spacing w:val="-4"/>
          <w:sz w:val="24"/>
          <w:szCs w:val="24"/>
          <w:lang w:val="es"/>
        </w:rPr>
        <w:t>contra-revolución</w:t>
      </w:r>
      <w:proofErr w:type="spellEnd"/>
      <w:r w:rsidRPr="00D470F4">
        <w:rPr>
          <w:rFonts w:ascii="Times New Roman" w:hAnsi="Times New Roman" w:cs="Times New Roman"/>
          <w:color w:val="231F20"/>
          <w:spacing w:val="-4"/>
          <w:sz w:val="24"/>
          <w:szCs w:val="24"/>
          <w:lang w:val="es"/>
        </w:rPr>
        <w:t xml:space="preserve"> conservadora encabezada por Margaret Thatcher en Inglaterra y Ronald Reagan en Estados Unidos, a partir de la década de 1970.</w:t>
      </w:r>
    </w:p>
    <w:p w14:paraId="600E30C8" w14:textId="77777777" w:rsidR="003717B5" w:rsidRPr="00D470F4" w:rsidRDefault="003717B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Como ideología, el neoliberalismo defiende la preeminencia exclusiva de los individuos sobre el conjunto social. Según Thatcher “la sociedad no existe. Hay individuos, hombres y mujeres y hay familias”. Estos individuos, que no están constreñidos por vínculos sociales, además manifiestan un comportamiento racional, maximizando utilidades, de acuerdo a principios de consumo, orientados por el mercado. Para el neoliberalismo, la producción y el intercambio material se posicionan en el centro de la experiencia humana.</w:t>
      </w:r>
    </w:p>
    <w:p w14:paraId="1B724006" w14:textId="77777777" w:rsidR="003717B5" w:rsidRPr="00D470F4" w:rsidRDefault="003717B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En segundo lugar, otra característica importante del neoliberalismo está vinculada a lo que Michel Foucault denominó "</w:t>
      </w:r>
      <w:proofErr w:type="spellStart"/>
      <w:r w:rsidRPr="00D470F4">
        <w:rPr>
          <w:rFonts w:ascii="Times New Roman" w:hAnsi="Times New Roman" w:cs="Times New Roman"/>
          <w:color w:val="231F20"/>
          <w:spacing w:val="-4"/>
          <w:sz w:val="24"/>
          <w:szCs w:val="24"/>
          <w:lang w:val="es"/>
        </w:rPr>
        <w:t>gubernamentalidad</w:t>
      </w:r>
      <w:proofErr w:type="spellEnd"/>
      <w:r w:rsidRPr="00D470F4">
        <w:rPr>
          <w:rFonts w:ascii="Times New Roman" w:hAnsi="Times New Roman" w:cs="Times New Roman"/>
          <w:color w:val="231F20"/>
          <w:spacing w:val="-4"/>
          <w:sz w:val="24"/>
          <w:szCs w:val="24"/>
          <w:lang w:val="es"/>
        </w:rPr>
        <w:t xml:space="preserve">": esto es, los estilos de gobernar según en ciertas premisas, lógicas y relaciones de poder. Una </w:t>
      </w:r>
      <w:proofErr w:type="spellStart"/>
      <w:r w:rsidRPr="00D470F4">
        <w:rPr>
          <w:rFonts w:ascii="Times New Roman" w:hAnsi="Times New Roman" w:cs="Times New Roman"/>
          <w:color w:val="231F20"/>
          <w:spacing w:val="-4"/>
          <w:sz w:val="24"/>
          <w:szCs w:val="24"/>
          <w:lang w:val="es"/>
        </w:rPr>
        <w:t>gubernamentalidad</w:t>
      </w:r>
      <w:proofErr w:type="spellEnd"/>
      <w:r w:rsidRPr="00D470F4">
        <w:rPr>
          <w:rFonts w:ascii="Times New Roman" w:hAnsi="Times New Roman" w:cs="Times New Roman"/>
          <w:color w:val="231F20"/>
          <w:spacing w:val="-4"/>
          <w:sz w:val="24"/>
          <w:szCs w:val="24"/>
          <w:lang w:val="es"/>
        </w:rPr>
        <w:t xml:space="preserve"> neoliberal se basa en ideales empresariales como la competencia, el interés propio y la descentralización. Elogia la autonomía individual y la descentralización de la autoridad gubernamental a grupos localizados más pequeños. Esto puede llevar a ciertas experiencias paradójicas o sorprendentes, como fue el crecimiento de la autonomía indígena durante la hegemonía neoliberal en Bolivia, durante la década de 1990.</w:t>
      </w:r>
    </w:p>
    <w:p w14:paraId="090EF814" w14:textId="77777777" w:rsidR="003717B5" w:rsidRPr="00D470F4" w:rsidRDefault="003717B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Los modos neoliberales de gobernanza fomentan la transformación de mentalidades burocráticas en identidades empresariales, en las que los empleados del gobierno ya no se ven a sí mismos como servidores públicos y administradores de un "bien público" cualitativamente definido, sino como actores interesados en sí mismos responsables ante el mercado y contribuyendo a el éxito financiero de las 'empresas' estatales reducidas.</w:t>
      </w:r>
    </w:p>
    <w:p w14:paraId="1E4FDF33" w14:textId="77777777" w:rsidR="003717B5" w:rsidRPr="00D470F4" w:rsidRDefault="003717B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En tercer lugar, el neoliberalismo puede ser entendido como un conjunto específico de políticas marcadas por la idea de que la asignación de recursos es mucho más eficiente mediante los mecanismos de mercado, que a través de la acción estatal. Esto conlleva una </w:t>
      </w:r>
      <w:r w:rsidRPr="00D470F4">
        <w:rPr>
          <w:rFonts w:ascii="Times New Roman" w:hAnsi="Times New Roman" w:cs="Times New Roman"/>
          <w:color w:val="231F20"/>
          <w:spacing w:val="-4"/>
          <w:sz w:val="24"/>
          <w:szCs w:val="24"/>
          <w:lang w:val="es"/>
        </w:rPr>
        <w:lastRenderedPageBreak/>
        <w:t>dura crítica al rol desempeñado por los estados nacionales durante la posguerra y una dura crítica a las ideas económicas keynesianas.</w:t>
      </w:r>
    </w:p>
    <w:p w14:paraId="79326963" w14:textId="77777777" w:rsidR="003717B5" w:rsidRPr="00D470F4" w:rsidRDefault="003717B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Este conjunto de políticas implica el recorte masivo de impuestos, especialmente a los sectores de más altos ingresos, bajo el supuesto que esta reducción impositiva se traducirá en mayores índices de inversión y por tanto de crecimiento económico, el recorte del gasto estatal para hacer viable está reducción impositiva, especialmente en materia de gasto social, el énfasis en el control de la inflación a través de políticas monetarias, la liberalización de la economía, para permitir la competencia y la “destrucción creativa”, en términos </w:t>
      </w:r>
      <w:proofErr w:type="spellStart"/>
      <w:r w:rsidRPr="00D470F4">
        <w:rPr>
          <w:rFonts w:ascii="Times New Roman" w:hAnsi="Times New Roman" w:cs="Times New Roman"/>
          <w:color w:val="231F20"/>
          <w:spacing w:val="-4"/>
          <w:sz w:val="24"/>
          <w:szCs w:val="24"/>
          <w:lang w:val="es"/>
        </w:rPr>
        <w:t>schumpeterianos</w:t>
      </w:r>
      <w:proofErr w:type="spellEnd"/>
      <w:r w:rsidRPr="00D470F4">
        <w:rPr>
          <w:rFonts w:ascii="Times New Roman" w:hAnsi="Times New Roman" w:cs="Times New Roman"/>
          <w:color w:val="231F20"/>
          <w:spacing w:val="-4"/>
          <w:sz w:val="24"/>
          <w:szCs w:val="24"/>
          <w:lang w:val="es"/>
        </w:rPr>
        <w:t xml:space="preserve">. Asimismo, los neoliberales se oponen a la intervención estatal para garantizar el pleno empleo, bajo el supuesto que la libre interacción entre la oferta y la demanda laboral, sin sueldos regulados, permite por </w:t>
      </w:r>
      <w:proofErr w:type="spellStart"/>
      <w:r w:rsidRPr="00D470F4">
        <w:rPr>
          <w:rFonts w:ascii="Times New Roman" w:hAnsi="Times New Roman" w:cs="Times New Roman"/>
          <w:color w:val="231F20"/>
          <w:spacing w:val="-4"/>
          <w:sz w:val="24"/>
          <w:szCs w:val="24"/>
          <w:lang w:val="es"/>
        </w:rPr>
        <w:t>si</w:t>
      </w:r>
      <w:proofErr w:type="spellEnd"/>
      <w:r w:rsidRPr="00D470F4">
        <w:rPr>
          <w:rFonts w:ascii="Times New Roman" w:hAnsi="Times New Roman" w:cs="Times New Roman"/>
          <w:color w:val="231F20"/>
          <w:spacing w:val="-4"/>
          <w:sz w:val="24"/>
          <w:szCs w:val="24"/>
          <w:lang w:val="es"/>
        </w:rPr>
        <w:t xml:space="preserve"> misma la consecución de trabajo para todos. </w:t>
      </w:r>
    </w:p>
    <w:p w14:paraId="1E01EE35" w14:textId="77777777" w:rsidR="003717B5" w:rsidRPr="00D470F4" w:rsidRDefault="003717B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Las ideas neoliberales parten de este modo del supuesto de que la desigualdad económica no es por si misma negativa. Como se dijo anteriormente, garantizar plenos derechos de propiedad podría fomentar el ahorro y la inversión, estimulando el crecimiento económico. Esto es lo que, popularmente, se conoce como “teoría del derrame”. </w:t>
      </w:r>
    </w:p>
    <w:p w14:paraId="4B1C28D1" w14:textId="77777777" w:rsidR="003717B5" w:rsidRPr="00D470F4" w:rsidRDefault="003717B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En términos ideológicos, el neoliberalismo se nutre del liberalismo clásico, pero profundiza sus críticas al rol del Estado en el desarrollo económico. Tras la crisis inducida por el aumento de los precios del </w:t>
      </w:r>
      <w:proofErr w:type="spellStart"/>
      <w:r w:rsidRPr="00D470F4">
        <w:rPr>
          <w:rFonts w:ascii="Times New Roman" w:hAnsi="Times New Roman" w:cs="Times New Roman"/>
          <w:color w:val="231F20"/>
          <w:spacing w:val="-4"/>
          <w:sz w:val="24"/>
          <w:szCs w:val="24"/>
          <w:lang w:val="es"/>
        </w:rPr>
        <w:t>pétroleo</w:t>
      </w:r>
      <w:proofErr w:type="spellEnd"/>
      <w:r w:rsidRPr="00D470F4">
        <w:rPr>
          <w:rFonts w:ascii="Times New Roman" w:hAnsi="Times New Roman" w:cs="Times New Roman"/>
          <w:color w:val="231F20"/>
          <w:spacing w:val="-4"/>
          <w:sz w:val="24"/>
          <w:szCs w:val="24"/>
          <w:lang w:val="es"/>
        </w:rPr>
        <w:t xml:space="preserve"> en la década de 1970, el neoliberalismo, que tenía hasta entonces una larga tradición en las aulas y en pequeños grupos de interés, empezó a ser considerado como una alternativa al presunto fracaso del keynesianismo. </w:t>
      </w:r>
    </w:p>
    <w:p w14:paraId="1256B14C" w14:textId="77777777" w:rsidR="003717B5" w:rsidRPr="00D470F4" w:rsidRDefault="003717B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En particular, los economistas de la escuela de Chicago, con Milton Friedman a la cabeza, argumentaron </w:t>
      </w:r>
      <w:proofErr w:type="gramStart"/>
      <w:r w:rsidRPr="00D470F4">
        <w:rPr>
          <w:rFonts w:ascii="Times New Roman" w:hAnsi="Times New Roman" w:cs="Times New Roman"/>
          <w:color w:val="231F20"/>
          <w:spacing w:val="-4"/>
          <w:sz w:val="24"/>
          <w:szCs w:val="24"/>
          <w:lang w:val="es"/>
        </w:rPr>
        <w:t>que</w:t>
      </w:r>
      <w:proofErr w:type="gramEnd"/>
      <w:r w:rsidRPr="00D470F4">
        <w:rPr>
          <w:rFonts w:ascii="Times New Roman" w:hAnsi="Times New Roman" w:cs="Times New Roman"/>
          <w:color w:val="231F20"/>
          <w:spacing w:val="-4"/>
          <w:sz w:val="24"/>
          <w:szCs w:val="24"/>
          <w:lang w:val="es"/>
        </w:rPr>
        <w:t xml:space="preserve"> en la base de la recesión y la crisis económico, se encontraba la expansión estatal bajo el modelo del Estado de Bienestar. Según argumentaban, a pesar de sus buenas intenciones, las decisiones burocráticas de los políticos eran menos eficientes que los </w:t>
      </w:r>
      <w:r w:rsidRPr="00D470F4">
        <w:rPr>
          <w:rFonts w:ascii="Times New Roman" w:hAnsi="Times New Roman" w:cs="Times New Roman"/>
          <w:color w:val="231F20"/>
          <w:spacing w:val="-4"/>
          <w:sz w:val="24"/>
          <w:szCs w:val="24"/>
          <w:lang w:val="es"/>
        </w:rPr>
        <w:lastRenderedPageBreak/>
        <w:t xml:space="preserve">mecanismos de mercado en la asignación de recursos. </w:t>
      </w:r>
    </w:p>
    <w:p w14:paraId="22DC5C25" w14:textId="77777777" w:rsidR="003717B5" w:rsidRPr="00D470F4" w:rsidRDefault="003717B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Asimismo, en la argumentación neoliberal, la propia inercia burocrática presionaba para su expansión, haciendo aumentar el gasto público, que sólo se sostenía con impuestos crecientes (lo cual ralentiza el desarrollo económico) o con mayor emisión monetaria que generaba inflación </w:t>
      </w:r>
      <w:r w:rsidRPr="00D470F4">
        <w:rPr>
          <w:rFonts w:ascii="Times New Roman" w:hAnsi="Times New Roman" w:cs="Times New Roman"/>
          <w:sz w:val="24"/>
          <w:szCs w:val="24"/>
          <w:lang w:val="es"/>
        </w:rPr>
        <w:t>(Payne y Phillips, 2010)</w:t>
      </w:r>
      <w:r w:rsidRPr="00D470F4">
        <w:rPr>
          <w:rFonts w:ascii="Times New Roman" w:hAnsi="Times New Roman" w:cs="Times New Roman"/>
          <w:color w:val="231F20"/>
          <w:spacing w:val="-4"/>
          <w:sz w:val="24"/>
          <w:szCs w:val="24"/>
          <w:lang w:val="es"/>
        </w:rPr>
        <w:t xml:space="preserve">. </w:t>
      </w:r>
    </w:p>
    <w:p w14:paraId="7AC7BF5F" w14:textId="77777777" w:rsidR="003717B5" w:rsidRPr="00D470F4" w:rsidRDefault="003717B5" w:rsidP="00132D23">
      <w:pPr>
        <w:pStyle w:val="Textoindependiente"/>
        <w:spacing w:before="33" w:line="480" w:lineRule="auto"/>
        <w:rPr>
          <w:rFonts w:ascii="Times New Roman" w:hAnsi="Times New Roman" w:cs="Times New Roman"/>
          <w:sz w:val="24"/>
          <w:szCs w:val="24"/>
        </w:rPr>
      </w:pPr>
      <w:r w:rsidRPr="00D470F4">
        <w:rPr>
          <w:rFonts w:ascii="Times New Roman" w:hAnsi="Times New Roman" w:cs="Times New Roman"/>
          <w:color w:val="231F20"/>
          <w:spacing w:val="-4"/>
          <w:sz w:val="24"/>
          <w:szCs w:val="24"/>
          <w:lang w:val="es"/>
        </w:rPr>
        <w:t>De este modo, el neoliberalismo aboga por la reducción de la injerencia estatal en las decisiones económicas, favoreciendo el establecimiento de mercados libres</w:t>
      </w:r>
      <w:r w:rsidRPr="00D470F4">
        <w:rPr>
          <w:rFonts w:ascii="Times New Roman" w:hAnsi="Times New Roman" w:cs="Times New Roman"/>
          <w:sz w:val="24"/>
          <w:szCs w:val="24"/>
          <w:lang w:val="es"/>
        </w:rPr>
        <w:t>. Según, David Harvey:</w:t>
      </w:r>
    </w:p>
    <w:p w14:paraId="5C0587BC" w14:textId="77777777" w:rsidR="003717B5" w:rsidRPr="00D470F4" w:rsidRDefault="003717B5" w:rsidP="00132D23">
      <w:pPr>
        <w:pStyle w:val="Textoindependiente"/>
        <w:spacing w:before="33" w:line="480" w:lineRule="auto"/>
        <w:ind w:left="708"/>
        <w:rPr>
          <w:rFonts w:ascii="Times New Roman" w:hAnsi="Times New Roman" w:cs="Times New Roman"/>
          <w:i/>
          <w:color w:val="231F20"/>
          <w:spacing w:val="-4"/>
          <w:sz w:val="24"/>
          <w:szCs w:val="24"/>
          <w:lang w:val="es"/>
        </w:rPr>
      </w:pPr>
      <w:r w:rsidRPr="00D470F4">
        <w:rPr>
          <w:rFonts w:ascii="Times New Roman" w:hAnsi="Times New Roman" w:cs="Times New Roman"/>
          <w:i/>
          <w:color w:val="231F20"/>
          <w:spacing w:val="-4"/>
          <w:sz w:val="24"/>
          <w:szCs w:val="24"/>
          <w:lang w:val="es"/>
        </w:rPr>
        <w:t xml:space="preserve">El neoliberalismo es una teoría de las prácticas económicas políticas que propone que el bienestar humano puede avanzar mejor permitiendo las libertades y habilidades empresariales individuales dentro de un marco institucional caracterizado por fuertes derechos de propiedad privada, mercados libres y libre comercio (Harvey, 2007: 2). </w:t>
      </w:r>
    </w:p>
    <w:p w14:paraId="5B352A9C" w14:textId="77777777" w:rsidR="003717B5" w:rsidRPr="00D470F4" w:rsidRDefault="003717B5" w:rsidP="00132D23">
      <w:pPr>
        <w:pStyle w:val="Textoindependiente"/>
        <w:spacing w:before="33" w:line="480" w:lineRule="auto"/>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Naturalmente, esta visión idealizada de las relaciones privadas y el espíritu empresarial implicaba una crítica al modelo keynesiano de participación estatal, activismo sindical y negociaciones colectivas (Gamble, 2001) </w:t>
      </w:r>
      <w:proofErr w:type="spellStart"/>
      <w:r w:rsidRPr="00D470F4">
        <w:rPr>
          <w:rFonts w:ascii="Times New Roman" w:hAnsi="Times New Roman" w:cs="Times New Roman"/>
          <w:color w:val="231F20"/>
          <w:spacing w:val="-4"/>
          <w:sz w:val="24"/>
          <w:szCs w:val="24"/>
          <w:lang w:val="es"/>
        </w:rPr>
        <w:t>Asimsmo</w:t>
      </w:r>
      <w:proofErr w:type="spellEnd"/>
      <w:r w:rsidRPr="00D470F4">
        <w:rPr>
          <w:rFonts w:ascii="Times New Roman" w:hAnsi="Times New Roman" w:cs="Times New Roman"/>
          <w:color w:val="231F20"/>
          <w:spacing w:val="-4"/>
          <w:sz w:val="24"/>
          <w:szCs w:val="24"/>
          <w:lang w:val="es"/>
        </w:rPr>
        <w:t>, el modelo de industrialización por sustitución de importaciones basado  en controles de precios, subsidios a empresas estratégicas y  protección estatal,  fueron vistos con como causas de ineficiencia, especialmente en cuanto podían estar sujetos a la corrupción y la búsqueda de rentas, mediante  la promoción de industrias no competitivas (Payne y Phillips, 2010:86-92).</w:t>
      </w:r>
    </w:p>
    <w:p w14:paraId="21B0916B" w14:textId="77777777" w:rsidR="003717B5" w:rsidRPr="00D470F4" w:rsidRDefault="003717B5" w:rsidP="00132D23">
      <w:pPr>
        <w:pStyle w:val="Textoindependiente"/>
        <w:spacing w:before="33" w:line="480" w:lineRule="auto"/>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Por otra parte, la teoría neoliberal del desarrollo no se ocupa exclusivamente de la reforma interna. Se trato, del mismo modo, de un proyecto político integral de globalización del capital (Gill, 1995) El neoliberalismo priorizó el capital monetario por encima del capital productivo y pretendía brindar mayor movilidad al capital financiero, deslocalizándolo de lugares fijos (Gamble, 2001). Este objetivo se intentó formalizar a través del creciente poder </w:t>
      </w:r>
      <w:r w:rsidRPr="00D470F4">
        <w:rPr>
          <w:rFonts w:ascii="Times New Roman" w:hAnsi="Times New Roman" w:cs="Times New Roman"/>
          <w:color w:val="231F20"/>
          <w:spacing w:val="-4"/>
          <w:sz w:val="24"/>
          <w:szCs w:val="24"/>
          <w:lang w:val="es"/>
        </w:rPr>
        <w:lastRenderedPageBreak/>
        <w:t xml:space="preserve">de organizaciones globales como el Fondo Monetario Internacional (FMI) y la Organización Internacional de Comercio (OMC) en las finanzas mundiales y </w:t>
      </w:r>
      <w:proofErr w:type="gramStart"/>
      <w:r w:rsidRPr="00D470F4">
        <w:rPr>
          <w:rFonts w:ascii="Times New Roman" w:hAnsi="Times New Roman" w:cs="Times New Roman"/>
          <w:color w:val="231F20"/>
          <w:spacing w:val="-4"/>
          <w:sz w:val="24"/>
          <w:szCs w:val="24"/>
          <w:lang w:val="es"/>
        </w:rPr>
        <w:t>las asuntos comerciales</w:t>
      </w:r>
      <w:proofErr w:type="gramEnd"/>
      <w:r w:rsidRPr="00D470F4">
        <w:rPr>
          <w:rFonts w:ascii="Times New Roman" w:hAnsi="Times New Roman" w:cs="Times New Roman"/>
          <w:color w:val="231F20"/>
          <w:spacing w:val="-4"/>
          <w:sz w:val="24"/>
          <w:szCs w:val="24"/>
          <w:lang w:val="es"/>
        </w:rPr>
        <w:t xml:space="preserve"> (Gamble, 2001: 131-133; Harvey, 2007: 27-30).</w:t>
      </w:r>
    </w:p>
    <w:p w14:paraId="0DC77B2F" w14:textId="77777777" w:rsidR="003717B5" w:rsidRPr="00D470F4" w:rsidRDefault="003717B5" w:rsidP="00132D23">
      <w:pPr>
        <w:pStyle w:val="Textoindependiente"/>
        <w:spacing w:before="33" w:line="480" w:lineRule="auto"/>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En la conceptualización neoliberal, los mercados son percibidos como completamente imparciales y racionales. los neoliberales argumentan que para lograr una mayor movilidad del capital se necesita apuntalar la integración económica global, despolitizando la toma de decisiones en materia de decisiones económicas (Phillips, 2004: 61-64). Esto requiere la formación de un ambiente propicio para la competencia y la empresa privada a través de medidas de desregulación, impuestos más bajos y un estricto control monetario.</w:t>
      </w:r>
    </w:p>
    <w:p w14:paraId="38CD6E3A" w14:textId="77777777" w:rsidR="003717B5" w:rsidRPr="00D470F4" w:rsidRDefault="003717B5" w:rsidP="00132D23">
      <w:pPr>
        <w:pStyle w:val="Textoindependiente"/>
        <w:spacing w:before="33" w:line="480" w:lineRule="auto"/>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En este sentido, el neoliberalismo promovía el comercio libre basado en las tesis ricardianas de las ventajas comparativas para el intercambio tecnológico y la diversificación de las exportaciones (Gamble, 2001: 131-132; Payne y Phillips, 2010: 93-95). De este modo, dejaba de lado las críticas estructuralistas respecto al flujo de los capitales y la desigualdad estructural de los términos del intercambio.</w:t>
      </w:r>
    </w:p>
    <w:p w14:paraId="3C0A6ABB" w14:textId="77777777" w:rsidR="003717B5" w:rsidRPr="00D470F4" w:rsidRDefault="003717B5" w:rsidP="00132D23">
      <w:pPr>
        <w:pStyle w:val="Textoindependiente"/>
        <w:spacing w:before="33" w:line="480" w:lineRule="auto"/>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 Estos conceptos se representaron colectivamente en el Consenso de Williamson, que incluía el mantenimiento de la disciplina fiscal, tipos de interés reales positivos para evitar la salida de capitales, realineación del gasto público, reforma fiscal, tipos de cambio competitivos, liberalización de la IED, privatización, desregulación y liberalización del comercio (Payne y Phillips, 2010). (</w:t>
      </w:r>
      <w:proofErr w:type="spellStart"/>
      <w:r w:rsidRPr="00D470F4">
        <w:rPr>
          <w:rFonts w:ascii="Times New Roman" w:hAnsi="Times New Roman" w:cs="Times New Roman"/>
          <w:color w:val="231F20"/>
          <w:spacing w:val="-4"/>
          <w:sz w:val="24"/>
          <w:szCs w:val="24"/>
          <w:lang w:val="es"/>
        </w:rPr>
        <w:t>Callaghy</w:t>
      </w:r>
      <w:proofErr w:type="spellEnd"/>
      <w:r w:rsidRPr="00D470F4">
        <w:rPr>
          <w:rFonts w:ascii="Times New Roman" w:hAnsi="Times New Roman" w:cs="Times New Roman"/>
          <w:color w:val="231F20"/>
          <w:spacing w:val="-4"/>
          <w:sz w:val="24"/>
          <w:szCs w:val="24"/>
          <w:lang w:val="es"/>
        </w:rPr>
        <w:t>, 1993: 161).</w:t>
      </w:r>
    </w:p>
    <w:p w14:paraId="76AD6298" w14:textId="77777777" w:rsidR="003717B5" w:rsidRPr="00D470F4" w:rsidRDefault="003717B5" w:rsidP="00132D23">
      <w:pPr>
        <w:pStyle w:val="Textoindependiente"/>
        <w:spacing w:before="33" w:line="480" w:lineRule="auto"/>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Las políticas de privatización, liberalización y desregulación no solo se convirtieron en objetos de reestructuración de la deuda, sino que también se expandieron como requisitos previos importantes para la movilidad del capital y el libre comercio (Panizza, 2009; Phillips, 2004). Si bien las IFI contribuyeron a la expansión de la agenda neoliberal en la región, los cambios no fueron del todo impuestos desde afuera. La desregulación y la integración comercial fueron vistas como ventajas por la élite política, que vio las fallas del modelo ISI </w:t>
      </w:r>
      <w:r w:rsidRPr="00D470F4">
        <w:rPr>
          <w:rFonts w:ascii="Times New Roman" w:hAnsi="Times New Roman" w:cs="Times New Roman"/>
          <w:color w:val="231F20"/>
          <w:spacing w:val="-4"/>
          <w:sz w:val="24"/>
          <w:szCs w:val="24"/>
          <w:lang w:val="es"/>
        </w:rPr>
        <w:lastRenderedPageBreak/>
        <w:t xml:space="preserve">como inherentes. Después de esto, los tecnócratas en los departamentos universitarios de economía, los ministerios gubernamentales, los bancos y las organizaciones internacionales promueven los ideales neoliberales (Green, 1995; </w:t>
      </w:r>
      <w:proofErr w:type="spellStart"/>
      <w:r w:rsidRPr="00D470F4">
        <w:rPr>
          <w:rFonts w:ascii="Times New Roman" w:hAnsi="Times New Roman" w:cs="Times New Roman"/>
          <w:color w:val="231F20"/>
          <w:spacing w:val="-4"/>
          <w:sz w:val="24"/>
          <w:szCs w:val="24"/>
          <w:lang w:val="es"/>
        </w:rPr>
        <w:t>Stallings</w:t>
      </w:r>
      <w:proofErr w:type="spellEnd"/>
      <w:r w:rsidRPr="00D470F4">
        <w:rPr>
          <w:rFonts w:ascii="Times New Roman" w:hAnsi="Times New Roman" w:cs="Times New Roman"/>
          <w:color w:val="231F20"/>
          <w:spacing w:val="-4"/>
          <w:sz w:val="24"/>
          <w:szCs w:val="24"/>
          <w:lang w:val="es"/>
        </w:rPr>
        <w:t xml:space="preserve"> y </w:t>
      </w:r>
      <w:proofErr w:type="spellStart"/>
      <w:r w:rsidRPr="00D470F4">
        <w:rPr>
          <w:rFonts w:ascii="Times New Roman" w:hAnsi="Times New Roman" w:cs="Times New Roman"/>
          <w:color w:val="231F20"/>
          <w:spacing w:val="-4"/>
          <w:sz w:val="24"/>
          <w:szCs w:val="24"/>
          <w:lang w:val="es"/>
        </w:rPr>
        <w:t>Peres</w:t>
      </w:r>
      <w:proofErr w:type="spellEnd"/>
      <w:r w:rsidRPr="00D470F4">
        <w:rPr>
          <w:rFonts w:ascii="Times New Roman" w:hAnsi="Times New Roman" w:cs="Times New Roman"/>
          <w:color w:val="231F20"/>
          <w:spacing w:val="-4"/>
          <w:sz w:val="24"/>
          <w:szCs w:val="24"/>
          <w:lang w:val="es"/>
        </w:rPr>
        <w:t>, 2000: 38). Además, para un área que necesitaba transferencia de capital y tecnología, el neoliberalismo era distinto de su contraparte del mundo rico. El neoliberalismo requirió la demolición radical de las instituciones estatales anteriores y el establecimiento de mercados libres como el mecanismo principal para obtener acceso al capital móvil y liberalizar el comercio (</w:t>
      </w:r>
      <w:proofErr w:type="spellStart"/>
      <w:r w:rsidRPr="00D470F4">
        <w:rPr>
          <w:rFonts w:ascii="Times New Roman" w:hAnsi="Times New Roman" w:cs="Times New Roman"/>
          <w:color w:val="231F20"/>
          <w:spacing w:val="-4"/>
          <w:sz w:val="24"/>
          <w:szCs w:val="24"/>
          <w:lang w:val="es"/>
        </w:rPr>
        <w:t>Nam</w:t>
      </w:r>
      <w:proofErr w:type="spellEnd"/>
      <w:r w:rsidRPr="00D470F4">
        <w:rPr>
          <w:rFonts w:ascii="Times New Roman" w:hAnsi="Times New Roman" w:cs="Times New Roman"/>
          <w:color w:val="231F20"/>
          <w:spacing w:val="-4"/>
          <w:sz w:val="24"/>
          <w:szCs w:val="24"/>
          <w:lang w:val="es"/>
        </w:rPr>
        <w:t>, 2000).</w:t>
      </w:r>
    </w:p>
    <w:p w14:paraId="74AC592D" w14:textId="77777777" w:rsidR="003717B5" w:rsidRPr="00D470F4" w:rsidRDefault="003717B5" w:rsidP="00132D23">
      <w:pPr>
        <w:pStyle w:val="Textoindependiente"/>
        <w:spacing w:before="33" w:line="480" w:lineRule="auto"/>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A partir de la década de 1970, Argentina, Chile, Colombia y Uruguay fueron reformadores. A mediados de la década de 1980, comenzaron grandes cambios y el resto del mundo comenzó a ponerse al día (</w:t>
      </w:r>
      <w:proofErr w:type="spellStart"/>
      <w:r w:rsidRPr="00D470F4">
        <w:rPr>
          <w:rFonts w:ascii="Times New Roman" w:hAnsi="Times New Roman" w:cs="Times New Roman"/>
          <w:color w:val="231F20"/>
          <w:spacing w:val="-4"/>
          <w:sz w:val="24"/>
          <w:szCs w:val="24"/>
          <w:lang w:val="es"/>
        </w:rPr>
        <w:t>Stallings</w:t>
      </w:r>
      <w:proofErr w:type="spellEnd"/>
      <w:r w:rsidRPr="00D470F4">
        <w:rPr>
          <w:rFonts w:ascii="Times New Roman" w:hAnsi="Times New Roman" w:cs="Times New Roman"/>
          <w:color w:val="231F20"/>
          <w:spacing w:val="-4"/>
          <w:sz w:val="24"/>
          <w:szCs w:val="24"/>
          <w:lang w:val="es"/>
        </w:rPr>
        <w:t xml:space="preserve"> y </w:t>
      </w:r>
      <w:proofErr w:type="spellStart"/>
      <w:r w:rsidRPr="00D470F4">
        <w:rPr>
          <w:rFonts w:ascii="Times New Roman" w:hAnsi="Times New Roman" w:cs="Times New Roman"/>
          <w:color w:val="231F20"/>
          <w:spacing w:val="-4"/>
          <w:sz w:val="24"/>
          <w:szCs w:val="24"/>
          <w:lang w:val="es"/>
        </w:rPr>
        <w:t>Peres</w:t>
      </w:r>
      <w:proofErr w:type="spellEnd"/>
      <w:r w:rsidRPr="00D470F4">
        <w:rPr>
          <w:rFonts w:ascii="Times New Roman" w:hAnsi="Times New Roman" w:cs="Times New Roman"/>
          <w:color w:val="231F20"/>
          <w:spacing w:val="-4"/>
          <w:sz w:val="24"/>
          <w:szCs w:val="24"/>
          <w:lang w:val="es"/>
        </w:rPr>
        <w:t>, 2000). A principios de 1985, las élites políticas recurrieron a una combinación de remedios convencionales y heterodoxos para la crisis, incluidos congelamientos de salarios, precios y tipos de cambio, así como medidas más ortodoxas, como recortes en infraestructura, educación y salud. Con la excepción de México (1988), el Plan Austral en Argentina (1985), el Plan Cruzado en Brasil (1986) y el Plan Inti en Perú (1985) tuvieron un éxito desigual, ya que la inflación aumentó y los déficits se volvieron incontrolables. En el ámbito del comercio, la agenda neoliberal ganó amplia aceptación, abriendo así sectores hasta entonces protegidos a la competencia extranjera.</w:t>
      </w:r>
    </w:p>
    <w:p w14:paraId="2E3413D9" w14:textId="77777777" w:rsidR="003E6D2A" w:rsidRPr="00D470F4" w:rsidRDefault="003E6D2A" w:rsidP="00132D23">
      <w:pPr>
        <w:pStyle w:val="Textoindependiente"/>
        <w:spacing w:before="33" w:line="480" w:lineRule="auto"/>
        <w:rPr>
          <w:rFonts w:ascii="Times New Roman" w:hAnsi="Times New Roman" w:cs="Times New Roman"/>
          <w:b/>
          <w:color w:val="231F20"/>
          <w:spacing w:val="-4"/>
          <w:sz w:val="24"/>
          <w:szCs w:val="24"/>
          <w:lang w:val="es"/>
        </w:rPr>
      </w:pPr>
    </w:p>
    <w:p w14:paraId="09E1DDDB" w14:textId="279F8813" w:rsidR="003717B5" w:rsidRPr="00D470F4" w:rsidRDefault="003717B5" w:rsidP="00132D23">
      <w:pPr>
        <w:pStyle w:val="Textoindependiente"/>
        <w:spacing w:before="33" w:line="480" w:lineRule="auto"/>
        <w:rPr>
          <w:rFonts w:ascii="Times New Roman" w:hAnsi="Times New Roman" w:cs="Times New Roman"/>
          <w:b/>
          <w:color w:val="231F20"/>
          <w:spacing w:val="-4"/>
          <w:sz w:val="24"/>
          <w:szCs w:val="24"/>
          <w:lang w:val="es"/>
        </w:rPr>
      </w:pPr>
      <w:r w:rsidRPr="00D470F4">
        <w:rPr>
          <w:rFonts w:ascii="Times New Roman" w:hAnsi="Times New Roman" w:cs="Times New Roman"/>
          <w:b/>
          <w:color w:val="231F20"/>
          <w:spacing w:val="-4"/>
          <w:sz w:val="24"/>
          <w:szCs w:val="24"/>
          <w:lang w:val="es"/>
        </w:rPr>
        <w:t xml:space="preserve"> Neoliberalismo en Argentina y Chile</w:t>
      </w:r>
    </w:p>
    <w:p w14:paraId="3908D514" w14:textId="5C98244C" w:rsidR="003717B5" w:rsidRPr="00D470F4" w:rsidRDefault="003E6D2A" w:rsidP="00132D23">
      <w:pPr>
        <w:pStyle w:val="Textoindependiente"/>
        <w:spacing w:before="33" w:line="480" w:lineRule="auto"/>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L</w:t>
      </w:r>
      <w:r w:rsidR="003717B5" w:rsidRPr="00D470F4">
        <w:rPr>
          <w:rFonts w:ascii="Times New Roman" w:hAnsi="Times New Roman" w:cs="Times New Roman"/>
          <w:color w:val="231F20"/>
          <w:spacing w:val="-4"/>
          <w:sz w:val="24"/>
          <w:szCs w:val="24"/>
          <w:lang w:val="es"/>
        </w:rPr>
        <w:t>a creación del Consenso de Washington tanto en Argentina como en Chile estuvo precedida por amplios ataques académicos a la política económica latinoamericana. Las visiones económicas de desarrollo que dominaron la región en las décadas de 1950 y 1960, como las de Ra</w:t>
      </w:r>
      <w:r w:rsidRPr="00D470F4">
        <w:rPr>
          <w:rFonts w:ascii="Times New Roman" w:hAnsi="Times New Roman" w:cs="Times New Roman"/>
          <w:color w:val="231F20"/>
          <w:spacing w:val="-4"/>
          <w:sz w:val="24"/>
          <w:szCs w:val="24"/>
          <w:lang w:val="es"/>
        </w:rPr>
        <w:t>ú</w:t>
      </w:r>
      <w:r w:rsidR="003717B5" w:rsidRPr="00D470F4">
        <w:rPr>
          <w:rFonts w:ascii="Times New Roman" w:hAnsi="Times New Roman" w:cs="Times New Roman"/>
          <w:color w:val="231F20"/>
          <w:spacing w:val="-4"/>
          <w:sz w:val="24"/>
          <w:szCs w:val="24"/>
          <w:lang w:val="es"/>
        </w:rPr>
        <w:t xml:space="preserve">l </w:t>
      </w:r>
      <w:proofErr w:type="spellStart"/>
      <w:r w:rsidR="003717B5" w:rsidRPr="00D470F4">
        <w:rPr>
          <w:rFonts w:ascii="Times New Roman" w:hAnsi="Times New Roman" w:cs="Times New Roman"/>
          <w:color w:val="231F20"/>
          <w:spacing w:val="-4"/>
          <w:sz w:val="24"/>
          <w:szCs w:val="24"/>
          <w:lang w:val="es"/>
        </w:rPr>
        <w:t>Prebisch</w:t>
      </w:r>
      <w:proofErr w:type="spellEnd"/>
      <w:r w:rsidR="003717B5" w:rsidRPr="00D470F4">
        <w:rPr>
          <w:rFonts w:ascii="Times New Roman" w:hAnsi="Times New Roman" w:cs="Times New Roman"/>
          <w:color w:val="231F20"/>
          <w:spacing w:val="-4"/>
          <w:sz w:val="24"/>
          <w:szCs w:val="24"/>
          <w:lang w:val="es"/>
        </w:rPr>
        <w:t xml:space="preserve">, sostenían que el crecimiento económico de la región dependía de la industrialización nacional protegida por altos aranceles y comercio restringido, en oposición a la exportación de recursos naturales. Los precios de los bienes naturales en el mercado </w:t>
      </w:r>
      <w:r w:rsidR="003717B5" w:rsidRPr="00D470F4">
        <w:rPr>
          <w:rFonts w:ascii="Times New Roman" w:hAnsi="Times New Roman" w:cs="Times New Roman"/>
          <w:color w:val="231F20"/>
          <w:spacing w:val="-4"/>
          <w:sz w:val="24"/>
          <w:szCs w:val="24"/>
          <w:lang w:val="es"/>
        </w:rPr>
        <w:lastRenderedPageBreak/>
        <w:t>mundial estaban controlados por grandes empresas europeas y norteamericanas. Los políticos preocupados por el desarrollo económico tradujeron estos conceptos a la política económica defendiendo la nacionalización de industrias esenciales, como la minería y el transporte. Si bien las empresas privadas apoyaron los objetivos de crecimiento económico liderados por el estado, recibieron subsidios públicos para construir fábricas y contratar trabajadores. Además, el gobierno impuso estrictas restricciones en los precios de los alimentos y otros artículos de primera necesidad. El cumplimiento exitoso de estos objetivos económicos requería un gobierno altamente centralizado e intervencionista comprometido con la soberanía nacional y algunos programas esenciales de bienestar, incluidos los servicios sociales y la educación pública. Australia y Chile</w:t>
      </w:r>
    </w:p>
    <w:p w14:paraId="54CAD865" w14:textId="77777777" w:rsidR="003E6D2A" w:rsidRPr="00D470F4" w:rsidRDefault="003717B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Ya en la década de 1950, los miembros de la Escuela de Economía de Chicago estaban ansiosos por condenar las estrategias macroeconómicas keynesianas de las democracias occidentales en los países latinoamericanos. Milton Friedman y Arnold </w:t>
      </w:r>
      <w:proofErr w:type="spellStart"/>
      <w:r w:rsidRPr="00D470F4">
        <w:rPr>
          <w:rFonts w:ascii="Times New Roman" w:hAnsi="Times New Roman" w:cs="Times New Roman"/>
          <w:color w:val="231F20"/>
          <w:spacing w:val="-4"/>
          <w:sz w:val="24"/>
          <w:szCs w:val="24"/>
          <w:lang w:val="es"/>
        </w:rPr>
        <w:t>Harberger</w:t>
      </w:r>
      <w:proofErr w:type="spellEnd"/>
      <w:r w:rsidRPr="00D470F4">
        <w:rPr>
          <w:rFonts w:ascii="Times New Roman" w:hAnsi="Times New Roman" w:cs="Times New Roman"/>
          <w:color w:val="231F20"/>
          <w:spacing w:val="-4"/>
          <w:sz w:val="24"/>
          <w:szCs w:val="24"/>
          <w:lang w:val="es"/>
        </w:rPr>
        <w:t>, acérrimos opositores de su modelo desarrollista, consiguieron la ayuda de la Universidad de Chicago, el Departamento de Estado de los Estados Unidos, varias grandes corporaciones estadounidenses y la Fundación Ford</w:t>
      </w:r>
      <w:r w:rsidR="003E6D2A" w:rsidRPr="00D470F4">
        <w:rPr>
          <w:rFonts w:ascii="Times New Roman" w:hAnsi="Times New Roman" w:cs="Times New Roman"/>
          <w:color w:val="231F20"/>
          <w:spacing w:val="-4"/>
          <w:sz w:val="24"/>
          <w:szCs w:val="24"/>
          <w:lang w:val="es"/>
        </w:rPr>
        <w:t xml:space="preserve">. </w:t>
      </w:r>
    </w:p>
    <w:p w14:paraId="016CD8AB" w14:textId="56DF6FA4" w:rsidR="003717B5" w:rsidRPr="00D470F4" w:rsidRDefault="003717B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Cientos de estudiantes chilenos de economía aprendieron los principios del libre mercado en la Universidad de Chicago y la Universidad Católica de Santiago como parte del llamado "Proyecto Chile". Los lugareños se referían a estos alumnos como "los Chicago Boys". Durante la década de 1960, proliferaron rápidamente programas comparables en toda la región, y sus alumnos ascendieron a posiciones académicas y políticas prominentes en países como Argentina, Uruguay y Brasil.</w:t>
      </w:r>
    </w:p>
    <w:p w14:paraId="47C0BCD6" w14:textId="77777777" w:rsidR="003717B5" w:rsidRPr="00D470F4" w:rsidRDefault="003717B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El general Augusto Pinochet llevó a cabo un golpe respaldado por la CIA el 11 de septiembre de 1973, que derrocó al presidente democráticamente elegido de Chile, Salvador Allende, un ferviente admirador de la escuela desarrollista. El nuevo hombre fuerte de Chile </w:t>
      </w:r>
      <w:r w:rsidRPr="00D470F4">
        <w:rPr>
          <w:rFonts w:ascii="Times New Roman" w:hAnsi="Times New Roman" w:cs="Times New Roman"/>
          <w:color w:val="231F20"/>
          <w:spacing w:val="-4"/>
          <w:sz w:val="24"/>
          <w:szCs w:val="24"/>
          <w:lang w:val="es"/>
        </w:rPr>
        <w:lastRenderedPageBreak/>
        <w:t>recibió un plan económico de 500 páginas de un grupo de "Chicago Boys" locales inmediatamente después del golpe militar. Este documento, también conocido como "El Ladrillo", abogó por una rápida desregulación y privatización, así como severos recortes en el gasto social, la abolición de aranceles y la eliminación de controles de precios, aparentemente para combatir la inflación fuera del control de Chile.</w:t>
      </w:r>
    </w:p>
    <w:p w14:paraId="481937BB" w14:textId="77777777" w:rsidR="003717B5" w:rsidRPr="00D470F4" w:rsidRDefault="003717B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Después de aceptar una parte importante de esta agenda, Pinochet implementó rápidamente estos cambios neoliberales y tomó medidas enérgicas contra sus oponentes políticos. Friedman y Hayek afirmaron que a estos tratamientos de choque neoliberales se les debería dar "una oportunidad justa", ya que creían que su rápida adopción devolvería a Chile a la democracia, la libertad y niveles de prosperidad sin precedentes. No obstante, Pinochet retuvo amplios poderes dictatoriales durante las siguientes dos décadas, que se definieron por la desaparición sistemática de disidentes políticos, la tortura y otras violaciones de los derechos humanos.</w:t>
      </w:r>
    </w:p>
    <w:p w14:paraId="5D45401A" w14:textId="04DC712A" w:rsidR="003717B5" w:rsidRPr="00D470F4" w:rsidRDefault="003717B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Durante su gobierno autoritario, la economía de Chile se estabilizó en términos de inflación y tasa de crecimiento del PIB, pero las clases media y pobre perdieron terreno a medida que aumentaba la inequidad económica. La expansión del neoliberalismo fue espectacular. El 10% más rico de la población fue el que más ganó con las medidas neoliberales, ya que sus ganancias prácticamente se duplicaron bajo la administración de Pinochet. Chile se encuentra entre las 15 naciones con mayor grado de desigualdad.</w:t>
      </w:r>
    </w:p>
    <w:p w14:paraId="44B91337" w14:textId="77777777" w:rsidR="003717B5" w:rsidRPr="00D470F4" w:rsidRDefault="003717B5" w:rsidP="00132D23">
      <w:pPr>
        <w:spacing w:line="480" w:lineRule="auto"/>
        <w:rPr>
          <w:rFonts w:ascii="Times New Roman" w:hAnsi="Times New Roman" w:cs="Times New Roman"/>
          <w:sz w:val="24"/>
          <w:szCs w:val="24"/>
        </w:rPr>
      </w:pPr>
      <w:r w:rsidRPr="00D470F4">
        <w:rPr>
          <w:rFonts w:ascii="Times New Roman" w:hAnsi="Times New Roman" w:cs="Times New Roman"/>
          <w:b/>
          <w:sz w:val="24"/>
          <w:szCs w:val="24"/>
        </w:rPr>
        <w:t>Estrategia de Investigación</w:t>
      </w:r>
    </w:p>
    <w:p w14:paraId="0B2302CB" w14:textId="77777777" w:rsidR="003717B5" w:rsidRPr="00D470F4" w:rsidRDefault="003717B5" w:rsidP="00132D23">
      <w:pPr>
        <w:spacing w:line="480" w:lineRule="auto"/>
        <w:jc w:val="both"/>
        <w:rPr>
          <w:rFonts w:ascii="Times New Roman" w:hAnsi="Times New Roman" w:cs="Times New Roman"/>
          <w:sz w:val="24"/>
          <w:szCs w:val="24"/>
          <w:lang w:val="es"/>
        </w:rPr>
      </w:pPr>
      <w:r w:rsidRPr="00D470F4">
        <w:rPr>
          <w:rFonts w:ascii="Times New Roman" w:hAnsi="Times New Roman" w:cs="Times New Roman"/>
          <w:sz w:val="24"/>
          <w:szCs w:val="24"/>
          <w:lang w:val="es"/>
        </w:rPr>
        <w:t xml:space="preserve">Si bien en las ciencias sociales, existe un amplio consenso en cuanto a las ideas importan e influyen en los resultados políticos, no hay claridad metodológica sobre cómo se pueden rastrear empíricamente (Mahoney, 2008). En efecto, puede resultar difícil a simple vista observar el efecto que las ideas pueden tener sobre distintos factores. Una larga tradición en ciencias sociales, ha tendido a identificar su carácter científico con la asignación de </w:t>
      </w:r>
      <w:r w:rsidRPr="00D470F4">
        <w:rPr>
          <w:rFonts w:ascii="Times New Roman" w:hAnsi="Times New Roman" w:cs="Times New Roman"/>
          <w:sz w:val="24"/>
          <w:szCs w:val="24"/>
          <w:lang w:val="es"/>
        </w:rPr>
        <w:lastRenderedPageBreak/>
        <w:t xml:space="preserve">factores estrictamente materiales a las consecuencias sociales. Sin embargo, tanto en el discurso cotidiano como en el periodístico, se asume que las ideas importan. Pero establecer que las ideas importan implica intentar demostrar que las mismas tienen una influencia por </w:t>
      </w:r>
      <w:proofErr w:type="spellStart"/>
      <w:r w:rsidRPr="00D470F4">
        <w:rPr>
          <w:rFonts w:ascii="Times New Roman" w:hAnsi="Times New Roman" w:cs="Times New Roman"/>
          <w:sz w:val="24"/>
          <w:szCs w:val="24"/>
          <w:lang w:val="es"/>
        </w:rPr>
        <w:t>si</w:t>
      </w:r>
      <w:proofErr w:type="spellEnd"/>
      <w:r w:rsidRPr="00D470F4">
        <w:rPr>
          <w:rFonts w:ascii="Times New Roman" w:hAnsi="Times New Roman" w:cs="Times New Roman"/>
          <w:sz w:val="24"/>
          <w:szCs w:val="24"/>
          <w:lang w:val="es"/>
        </w:rPr>
        <w:t xml:space="preserve"> mismas, y no son simplemente el eco de cambios en otros aspectos del contexto y demostrar, que, si bien esta influencia no está completamente separada de otras condiciones, si son autónomas en sus efectos.</w:t>
      </w:r>
    </w:p>
    <w:p w14:paraId="592EE91B" w14:textId="77777777" w:rsidR="003717B5" w:rsidRPr="00D470F4" w:rsidRDefault="003717B5"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lang w:val="es"/>
        </w:rPr>
        <w:t>Con el fin de abordar estas preocupaciones metodológicas, este apartado describe las técnicas de investigación utilizadas para esta tesis. En este sentido, se considera que el rastreo de procesos representa el enfoque más apropiado para analizar el efecto de las ideas en momentos críticos en el tiempo y para separar la influencia de las ideas de la influencia de otros factores (Jacobs, 2015). En la segunda sección del capítulo, se describe la selección de los casos de estudio, se proporciona una justificación para la periodización seleccionada y se describen las estrategias de recopilación de datos y evaluación de fuentes.</w:t>
      </w:r>
    </w:p>
    <w:p w14:paraId="77B195F5" w14:textId="77777777" w:rsidR="003717B5" w:rsidRPr="00D470F4" w:rsidRDefault="003717B5" w:rsidP="00132D23">
      <w:pPr>
        <w:spacing w:line="480" w:lineRule="auto"/>
        <w:rPr>
          <w:rFonts w:ascii="Times New Roman" w:hAnsi="Times New Roman" w:cs="Times New Roman"/>
          <w:b/>
          <w:sz w:val="24"/>
          <w:szCs w:val="24"/>
        </w:rPr>
      </w:pPr>
      <w:r w:rsidRPr="00D470F4">
        <w:rPr>
          <w:rFonts w:ascii="Times New Roman" w:hAnsi="Times New Roman" w:cs="Times New Roman"/>
          <w:b/>
          <w:sz w:val="24"/>
          <w:szCs w:val="24"/>
          <w:lang w:val="es"/>
        </w:rPr>
        <w:t>Técnicas empíricas para rastrear el efecto de los conceptos en los procesos</w:t>
      </w:r>
    </w:p>
    <w:p w14:paraId="72D2E072" w14:textId="77777777" w:rsidR="003717B5" w:rsidRPr="00D470F4" w:rsidRDefault="003717B5"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lang w:val="es"/>
        </w:rPr>
        <w:t xml:space="preserve">No existe una definición universalmente aceptada de la técnica de rastreo de procesos. Esta metodología está presente en múltiples disciplinas de estudio, incluyendo la historia y las ciencias políticas. Tal vez debido a su origen multidisciplinario, este sigue siendo un método polémico con poco consenso sobre su definición, que a menudo depende del campo disciplinario en el que se aplica y de los antecedentes disciplinarios y epistemológicos del investigador (Bennett y </w:t>
      </w:r>
      <w:proofErr w:type="spellStart"/>
      <w:r w:rsidRPr="00D470F4">
        <w:rPr>
          <w:rFonts w:ascii="Times New Roman" w:hAnsi="Times New Roman" w:cs="Times New Roman"/>
          <w:sz w:val="24"/>
          <w:szCs w:val="24"/>
          <w:lang w:val="es"/>
        </w:rPr>
        <w:t>Checkel</w:t>
      </w:r>
      <w:proofErr w:type="spellEnd"/>
      <w:r w:rsidRPr="00D470F4">
        <w:rPr>
          <w:rFonts w:ascii="Times New Roman" w:hAnsi="Times New Roman" w:cs="Times New Roman"/>
          <w:sz w:val="24"/>
          <w:szCs w:val="24"/>
          <w:lang w:val="es"/>
        </w:rPr>
        <w:t xml:space="preserve">, 2015). Por ejemplo, para Bates (1998) este concepto se refiere a integrar la metodología de la teoría de juegos con la argumentación histórica. Para </w:t>
      </w:r>
      <w:proofErr w:type="spellStart"/>
      <w:r w:rsidRPr="00D470F4">
        <w:rPr>
          <w:rFonts w:ascii="Times New Roman" w:hAnsi="Times New Roman" w:cs="Times New Roman"/>
          <w:sz w:val="24"/>
          <w:szCs w:val="24"/>
          <w:lang w:val="es"/>
        </w:rPr>
        <w:t>Collier</w:t>
      </w:r>
      <w:proofErr w:type="spellEnd"/>
      <w:r w:rsidRPr="00D470F4">
        <w:rPr>
          <w:rFonts w:ascii="Times New Roman" w:hAnsi="Times New Roman" w:cs="Times New Roman"/>
          <w:sz w:val="24"/>
          <w:szCs w:val="24"/>
          <w:lang w:val="es"/>
        </w:rPr>
        <w:t xml:space="preserve">, en cambio, se trata de contrastar hipótesis </w:t>
      </w:r>
      <w:r w:rsidRPr="00D470F4">
        <w:rPr>
          <w:rFonts w:ascii="Times New Roman" w:hAnsi="Times New Roman" w:cs="Times New Roman"/>
          <w:sz w:val="24"/>
          <w:szCs w:val="24"/>
          <w:lang w:val="es"/>
        </w:rPr>
        <w:lastRenderedPageBreak/>
        <w:t>fundamentadas teóricamente con la evidencia empírica a lo largo de un período histórico (</w:t>
      </w:r>
      <w:proofErr w:type="spellStart"/>
      <w:r w:rsidRPr="00D470F4">
        <w:rPr>
          <w:rFonts w:ascii="Times New Roman" w:hAnsi="Times New Roman" w:cs="Times New Roman"/>
          <w:sz w:val="24"/>
          <w:szCs w:val="24"/>
          <w:lang w:val="es"/>
        </w:rPr>
        <w:t>Collier</w:t>
      </w:r>
      <w:proofErr w:type="spellEnd"/>
      <w:r w:rsidRPr="00D470F4">
        <w:rPr>
          <w:rFonts w:ascii="Times New Roman" w:hAnsi="Times New Roman" w:cs="Times New Roman"/>
          <w:sz w:val="24"/>
          <w:szCs w:val="24"/>
          <w:lang w:val="es"/>
        </w:rPr>
        <w:t xml:space="preserve"> y otros, 2004)</w:t>
      </w:r>
    </w:p>
    <w:p w14:paraId="1EF96CC7" w14:textId="77777777" w:rsidR="003717B5" w:rsidRPr="00D470F4" w:rsidRDefault="003717B5"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lang w:val="es"/>
        </w:rPr>
        <w:t xml:space="preserve">Sin embargo, limitar el rastreo del proceso a un estudio del proceso temporal sería de poca utilidad para actualizar nuestra comprensión de los muchos componentes que contribuyen al cambio de políticas. Van </w:t>
      </w:r>
      <w:proofErr w:type="spellStart"/>
      <w:r w:rsidRPr="00D470F4">
        <w:rPr>
          <w:rFonts w:ascii="Times New Roman" w:hAnsi="Times New Roman" w:cs="Times New Roman"/>
          <w:sz w:val="24"/>
          <w:szCs w:val="24"/>
          <w:lang w:val="es"/>
        </w:rPr>
        <w:t>Evera</w:t>
      </w:r>
      <w:proofErr w:type="spellEnd"/>
      <w:r w:rsidRPr="00D470F4">
        <w:rPr>
          <w:rFonts w:ascii="Times New Roman" w:hAnsi="Times New Roman" w:cs="Times New Roman"/>
          <w:sz w:val="24"/>
          <w:szCs w:val="24"/>
          <w:lang w:val="es"/>
        </w:rPr>
        <w:t xml:space="preserve"> ofrece una explicación más completa del rastreo de procesos.  En su definición este método implica una estrategia de investigación donde se establece el vínculo que une la variable independiente -la causa- con la variable dependiente -el efecto- a través de evidencia observable en cada paso (Van </w:t>
      </w:r>
      <w:proofErr w:type="spellStart"/>
      <w:r w:rsidRPr="00D470F4">
        <w:rPr>
          <w:rFonts w:ascii="Times New Roman" w:hAnsi="Times New Roman" w:cs="Times New Roman"/>
          <w:sz w:val="24"/>
          <w:szCs w:val="24"/>
          <w:lang w:val="es"/>
        </w:rPr>
        <w:t>Evera</w:t>
      </w:r>
      <w:proofErr w:type="spellEnd"/>
      <w:r w:rsidRPr="00D470F4">
        <w:rPr>
          <w:rFonts w:ascii="Times New Roman" w:hAnsi="Times New Roman" w:cs="Times New Roman"/>
          <w:sz w:val="24"/>
          <w:szCs w:val="24"/>
          <w:lang w:val="es"/>
        </w:rPr>
        <w:t xml:space="preserve">, 1997). Esta definición establece que el rastreo de procesos es más que una técnica narrativa, y se trata de vincula una condición y un </w:t>
      </w:r>
      <w:proofErr w:type="gramStart"/>
      <w:r w:rsidRPr="00D470F4">
        <w:rPr>
          <w:rFonts w:ascii="Times New Roman" w:hAnsi="Times New Roman" w:cs="Times New Roman"/>
          <w:sz w:val="24"/>
          <w:szCs w:val="24"/>
          <w:lang w:val="es"/>
        </w:rPr>
        <w:t>resultado,  al</w:t>
      </w:r>
      <w:proofErr w:type="gramEnd"/>
      <w:r w:rsidRPr="00D470F4">
        <w:rPr>
          <w:rFonts w:ascii="Times New Roman" w:hAnsi="Times New Roman" w:cs="Times New Roman"/>
          <w:sz w:val="24"/>
          <w:szCs w:val="24"/>
          <w:lang w:val="es"/>
        </w:rPr>
        <w:t xml:space="preserve"> proporcionar una teorización clara del mecanismo causal subyacente a un efecto causal  (Brady y </w:t>
      </w:r>
      <w:proofErr w:type="spellStart"/>
      <w:r w:rsidRPr="00D470F4">
        <w:rPr>
          <w:rFonts w:ascii="Times New Roman" w:hAnsi="Times New Roman" w:cs="Times New Roman"/>
          <w:sz w:val="24"/>
          <w:szCs w:val="24"/>
          <w:lang w:val="es"/>
        </w:rPr>
        <w:t>Collier</w:t>
      </w:r>
      <w:proofErr w:type="spellEnd"/>
      <w:r w:rsidRPr="00D470F4">
        <w:rPr>
          <w:rFonts w:ascii="Times New Roman" w:hAnsi="Times New Roman" w:cs="Times New Roman"/>
          <w:sz w:val="24"/>
          <w:szCs w:val="24"/>
          <w:lang w:val="es"/>
        </w:rPr>
        <w:t>, 2010</w:t>
      </w:r>
      <w:r w:rsidRPr="00D470F4">
        <w:rPr>
          <w:rFonts w:ascii="Times New Roman" w:hAnsi="Times New Roman" w:cs="Times New Roman"/>
          <w:sz w:val="24"/>
          <w:szCs w:val="24"/>
        </w:rPr>
        <w:t xml:space="preserve">). Como argumentan, Bennett y </w:t>
      </w:r>
      <w:proofErr w:type="spellStart"/>
      <w:r w:rsidRPr="00D470F4">
        <w:rPr>
          <w:rFonts w:ascii="Times New Roman" w:hAnsi="Times New Roman" w:cs="Times New Roman"/>
          <w:sz w:val="24"/>
          <w:szCs w:val="24"/>
        </w:rPr>
        <w:t>Checkel</w:t>
      </w:r>
      <w:proofErr w:type="spellEnd"/>
      <w:r w:rsidRPr="00D470F4">
        <w:rPr>
          <w:rFonts w:ascii="Times New Roman" w:hAnsi="Times New Roman" w:cs="Times New Roman"/>
          <w:sz w:val="24"/>
          <w:szCs w:val="24"/>
        </w:rPr>
        <w:t xml:space="preserve">, el rastreo de proceso puede ser definido como “el análisis de la evidencia de procesos, secuencias y conjeturas de eventos dentro de un caso con el objetivo de desarrollar o testear hipótesis sobre mecanismos causales que pueden explicar el caso” (Bennett y </w:t>
      </w:r>
      <w:proofErr w:type="spellStart"/>
      <w:r w:rsidRPr="00D470F4">
        <w:rPr>
          <w:rFonts w:ascii="Times New Roman" w:hAnsi="Times New Roman" w:cs="Times New Roman"/>
          <w:sz w:val="24"/>
          <w:szCs w:val="24"/>
        </w:rPr>
        <w:t>Checkel</w:t>
      </w:r>
      <w:proofErr w:type="spellEnd"/>
      <w:r w:rsidRPr="00D470F4">
        <w:rPr>
          <w:rFonts w:ascii="Times New Roman" w:hAnsi="Times New Roman" w:cs="Times New Roman"/>
          <w:sz w:val="24"/>
          <w:szCs w:val="24"/>
        </w:rPr>
        <w:t>, 2015: 7)</w:t>
      </w:r>
      <w:r w:rsidRPr="00D470F4">
        <w:rPr>
          <w:rFonts w:ascii="Times New Roman" w:hAnsi="Times New Roman" w:cs="Times New Roman"/>
          <w:sz w:val="24"/>
          <w:szCs w:val="24"/>
          <w:lang w:val="es"/>
        </w:rPr>
        <w:t>.</w:t>
      </w:r>
    </w:p>
    <w:p w14:paraId="61CECF67" w14:textId="77777777" w:rsidR="003717B5" w:rsidRPr="00D470F4" w:rsidRDefault="003717B5" w:rsidP="00132D23">
      <w:pPr>
        <w:spacing w:line="480" w:lineRule="auto"/>
        <w:jc w:val="both"/>
        <w:rPr>
          <w:rFonts w:ascii="Times New Roman" w:hAnsi="Times New Roman" w:cs="Times New Roman"/>
          <w:sz w:val="24"/>
          <w:szCs w:val="24"/>
          <w:lang w:val="es"/>
        </w:rPr>
      </w:pPr>
      <w:r w:rsidRPr="00D470F4">
        <w:rPr>
          <w:rFonts w:ascii="Times New Roman" w:hAnsi="Times New Roman" w:cs="Times New Roman"/>
          <w:sz w:val="24"/>
          <w:szCs w:val="24"/>
          <w:lang w:val="es"/>
        </w:rPr>
        <w:t xml:space="preserve">El enfoque propuesto por Bennett y </w:t>
      </w:r>
      <w:proofErr w:type="spellStart"/>
      <w:r w:rsidRPr="00D470F4">
        <w:rPr>
          <w:rFonts w:ascii="Times New Roman" w:hAnsi="Times New Roman" w:cs="Times New Roman"/>
          <w:sz w:val="24"/>
          <w:szCs w:val="24"/>
          <w:lang w:val="es"/>
        </w:rPr>
        <w:t>Checkel</w:t>
      </w:r>
      <w:proofErr w:type="spellEnd"/>
      <w:r w:rsidRPr="00D470F4">
        <w:rPr>
          <w:rFonts w:ascii="Times New Roman" w:hAnsi="Times New Roman" w:cs="Times New Roman"/>
          <w:sz w:val="24"/>
          <w:szCs w:val="24"/>
          <w:lang w:val="es"/>
        </w:rPr>
        <w:t xml:space="preserve"> es particularmente apropiado en el contexto de esta tesis porque enfatiza la contribución del rastreo de procesos en la explicación de cómo ocurrió algo al vincular una condición y un resultado a través de una serie de mecanismos causales, al tiempo que enfatiza la importancia de la evidencia observable. Un </w:t>
      </w:r>
      <w:proofErr w:type="spellStart"/>
      <w:r w:rsidRPr="00D470F4">
        <w:rPr>
          <w:rFonts w:ascii="Times New Roman" w:hAnsi="Times New Roman" w:cs="Times New Roman"/>
          <w:sz w:val="24"/>
          <w:szCs w:val="24"/>
          <w:lang w:val="es"/>
        </w:rPr>
        <w:t>mecansimo</w:t>
      </w:r>
      <w:proofErr w:type="spellEnd"/>
      <w:r w:rsidRPr="00D470F4">
        <w:rPr>
          <w:rFonts w:ascii="Times New Roman" w:hAnsi="Times New Roman" w:cs="Times New Roman"/>
          <w:sz w:val="24"/>
          <w:szCs w:val="24"/>
          <w:lang w:val="es"/>
        </w:rPr>
        <w:t xml:space="preserve"> se basa en la idea de causas como “factores que producen efectos” (Hall, 2004</w:t>
      </w:r>
      <w:proofErr w:type="gramStart"/>
      <w:r w:rsidRPr="00D470F4">
        <w:rPr>
          <w:rFonts w:ascii="Times New Roman" w:hAnsi="Times New Roman" w:cs="Times New Roman"/>
          <w:sz w:val="24"/>
          <w:szCs w:val="24"/>
          <w:lang w:val="es"/>
        </w:rPr>
        <w:t>),  donde</w:t>
      </w:r>
      <w:proofErr w:type="gramEnd"/>
      <w:r w:rsidRPr="00D470F4">
        <w:rPr>
          <w:rFonts w:ascii="Times New Roman" w:hAnsi="Times New Roman" w:cs="Times New Roman"/>
          <w:sz w:val="24"/>
          <w:szCs w:val="24"/>
          <w:lang w:val="es"/>
        </w:rPr>
        <w:t xml:space="preserve"> las fuerzas causales son transmitidas a </w:t>
      </w:r>
      <w:proofErr w:type="spellStart"/>
      <w:r w:rsidRPr="00D470F4">
        <w:rPr>
          <w:rFonts w:ascii="Times New Roman" w:hAnsi="Times New Roman" w:cs="Times New Roman"/>
          <w:sz w:val="24"/>
          <w:szCs w:val="24"/>
          <w:lang w:val="es"/>
        </w:rPr>
        <w:t>traves</w:t>
      </w:r>
      <w:proofErr w:type="spellEnd"/>
      <w:r w:rsidRPr="00D470F4">
        <w:rPr>
          <w:rFonts w:ascii="Times New Roman" w:hAnsi="Times New Roman" w:cs="Times New Roman"/>
          <w:sz w:val="24"/>
          <w:szCs w:val="24"/>
          <w:lang w:val="es"/>
        </w:rPr>
        <w:t xml:space="preserve"> de una serie de partes de un mecanismo para producir un resultado (Bunge, 1997).</w:t>
      </w:r>
    </w:p>
    <w:p w14:paraId="55F79CB3" w14:textId="77777777" w:rsidR="003717B5" w:rsidRPr="00D470F4" w:rsidRDefault="003717B5" w:rsidP="00132D23">
      <w:pPr>
        <w:spacing w:line="480" w:lineRule="auto"/>
        <w:jc w:val="both"/>
        <w:rPr>
          <w:rFonts w:ascii="Times New Roman" w:hAnsi="Times New Roman" w:cs="Times New Roman"/>
          <w:sz w:val="24"/>
          <w:szCs w:val="24"/>
          <w:lang w:val="es"/>
        </w:rPr>
      </w:pPr>
      <w:r w:rsidRPr="00D470F4">
        <w:rPr>
          <w:rFonts w:ascii="Times New Roman" w:hAnsi="Times New Roman" w:cs="Times New Roman"/>
          <w:sz w:val="24"/>
          <w:szCs w:val="24"/>
          <w:lang w:val="es"/>
        </w:rPr>
        <w:t xml:space="preserve">Más aún, dar cuenta de las causas de un resultado específico se relaciona con el rastreo de procesos en el sentido de la construcción de teoría, esto es contrastando la literatura </w:t>
      </w:r>
      <w:r w:rsidRPr="00D470F4">
        <w:rPr>
          <w:rFonts w:ascii="Times New Roman" w:hAnsi="Times New Roman" w:cs="Times New Roman"/>
          <w:sz w:val="24"/>
          <w:szCs w:val="24"/>
          <w:lang w:val="es"/>
        </w:rPr>
        <w:lastRenderedPageBreak/>
        <w:t xml:space="preserve">teórica con la evidencia empírica, con el objeto de identificar los mecanismos causales </w:t>
      </w:r>
      <w:r w:rsidRPr="00D470F4">
        <w:rPr>
          <w:rFonts w:ascii="Times New Roman" w:hAnsi="Times New Roman" w:cs="Times New Roman"/>
          <w:sz w:val="24"/>
          <w:szCs w:val="24"/>
        </w:rPr>
        <w:t>(</w:t>
      </w:r>
      <w:proofErr w:type="spellStart"/>
      <w:r w:rsidRPr="00D470F4">
        <w:rPr>
          <w:rFonts w:ascii="Times New Roman" w:hAnsi="Times New Roman" w:cs="Times New Roman"/>
          <w:sz w:val="24"/>
          <w:szCs w:val="24"/>
        </w:rPr>
        <w:t>Swedberg</w:t>
      </w:r>
      <w:proofErr w:type="spellEnd"/>
      <w:r w:rsidRPr="00D470F4">
        <w:rPr>
          <w:rFonts w:ascii="Times New Roman" w:hAnsi="Times New Roman" w:cs="Times New Roman"/>
          <w:sz w:val="24"/>
          <w:szCs w:val="24"/>
        </w:rPr>
        <w:t>,</w:t>
      </w:r>
      <w:r w:rsidRPr="00D470F4">
        <w:rPr>
          <w:rFonts w:ascii="Times New Roman" w:hAnsi="Times New Roman" w:cs="Times New Roman"/>
          <w:spacing w:val="-1"/>
          <w:sz w:val="24"/>
          <w:szCs w:val="24"/>
        </w:rPr>
        <w:t xml:space="preserve"> </w:t>
      </w:r>
      <w:r w:rsidRPr="00D470F4">
        <w:rPr>
          <w:rFonts w:ascii="Times New Roman" w:hAnsi="Times New Roman" w:cs="Times New Roman"/>
          <w:sz w:val="24"/>
          <w:szCs w:val="24"/>
        </w:rPr>
        <w:t>2012)</w:t>
      </w:r>
      <w:r w:rsidRPr="00D470F4">
        <w:rPr>
          <w:rFonts w:ascii="Times New Roman" w:hAnsi="Times New Roman" w:cs="Times New Roman"/>
          <w:sz w:val="24"/>
          <w:szCs w:val="24"/>
          <w:lang w:val="es"/>
        </w:rPr>
        <w:t>.</w:t>
      </w:r>
    </w:p>
    <w:p w14:paraId="174369A7" w14:textId="77777777" w:rsidR="003717B5" w:rsidRPr="00D470F4" w:rsidRDefault="003717B5" w:rsidP="00132D23">
      <w:pPr>
        <w:spacing w:line="480" w:lineRule="auto"/>
        <w:jc w:val="both"/>
        <w:rPr>
          <w:rFonts w:ascii="Times New Roman" w:hAnsi="Times New Roman" w:cs="Times New Roman"/>
          <w:sz w:val="24"/>
          <w:szCs w:val="24"/>
          <w:lang w:val="es"/>
        </w:rPr>
      </w:pPr>
      <w:r w:rsidRPr="00D470F4">
        <w:rPr>
          <w:rFonts w:ascii="Times New Roman" w:hAnsi="Times New Roman" w:cs="Times New Roman"/>
          <w:sz w:val="24"/>
          <w:szCs w:val="24"/>
          <w:lang w:val="es"/>
        </w:rPr>
        <w:t xml:space="preserve">En todos estos aspectos, el rastreo de procesos puede ayudar a identificar la emergencia y el desarrollo de una política pública, en este caso referidas a las políticas de promoción de energías renovables para alta tensión, examinando la cadena de eventos y reconstruyendo cuestiones tales como quienes fueron los actores relevantes, como se formaron sus creencias y preferencias, como eligieron qué caminos seguir y como estas elecciones se agregaron para producir un efecto determinado </w:t>
      </w:r>
      <w:r w:rsidRPr="00D470F4">
        <w:rPr>
          <w:rFonts w:ascii="Times New Roman" w:hAnsi="Times New Roman" w:cs="Times New Roman"/>
          <w:sz w:val="24"/>
          <w:szCs w:val="24"/>
        </w:rPr>
        <w:t>(</w:t>
      </w:r>
      <w:proofErr w:type="spellStart"/>
      <w:r w:rsidRPr="00D470F4">
        <w:rPr>
          <w:rFonts w:ascii="Times New Roman" w:hAnsi="Times New Roman" w:cs="Times New Roman"/>
          <w:sz w:val="24"/>
          <w:szCs w:val="24"/>
        </w:rPr>
        <w:t>Schimmelfennig</w:t>
      </w:r>
      <w:proofErr w:type="spellEnd"/>
      <w:r w:rsidRPr="00D470F4">
        <w:rPr>
          <w:rFonts w:ascii="Times New Roman" w:hAnsi="Times New Roman" w:cs="Times New Roman"/>
          <w:sz w:val="24"/>
          <w:szCs w:val="24"/>
        </w:rPr>
        <w:t>, 2015)</w:t>
      </w:r>
      <w:r w:rsidRPr="00D470F4">
        <w:rPr>
          <w:rFonts w:ascii="Times New Roman" w:hAnsi="Times New Roman" w:cs="Times New Roman"/>
          <w:sz w:val="24"/>
          <w:szCs w:val="24"/>
          <w:lang w:val="es"/>
        </w:rPr>
        <w:t xml:space="preserve">. </w:t>
      </w:r>
    </w:p>
    <w:p w14:paraId="1038F15B" w14:textId="77777777" w:rsidR="003717B5" w:rsidRPr="00D470F4" w:rsidRDefault="003717B5" w:rsidP="00132D23">
      <w:pPr>
        <w:spacing w:line="480" w:lineRule="auto"/>
        <w:jc w:val="both"/>
        <w:rPr>
          <w:rFonts w:ascii="Times New Roman" w:hAnsi="Times New Roman" w:cs="Times New Roman"/>
          <w:sz w:val="24"/>
          <w:szCs w:val="24"/>
          <w:lang w:val="es"/>
        </w:rPr>
      </w:pPr>
      <w:r w:rsidRPr="00D470F4">
        <w:rPr>
          <w:rFonts w:ascii="Times New Roman" w:hAnsi="Times New Roman" w:cs="Times New Roman"/>
          <w:sz w:val="24"/>
          <w:szCs w:val="24"/>
          <w:lang w:val="es"/>
        </w:rPr>
        <w:t xml:space="preserve">En otras palabras, a través del rastreo de procesos es posible evaluar en qué medida la evidencia empírica confirma o rechaza los supuestos de la teoría. Estos supuestos se basan en la teorización existente, los estudios empíricos y otras formas de conocimientos, como el </w:t>
      </w:r>
      <w:proofErr w:type="spellStart"/>
      <w:r w:rsidRPr="00D470F4">
        <w:rPr>
          <w:rFonts w:ascii="Times New Roman" w:hAnsi="Times New Roman" w:cs="Times New Roman"/>
          <w:sz w:val="24"/>
          <w:szCs w:val="24"/>
          <w:lang w:val="es"/>
        </w:rPr>
        <w:t>periodísitico</w:t>
      </w:r>
      <w:proofErr w:type="spellEnd"/>
      <w:r w:rsidRPr="00D470F4">
        <w:rPr>
          <w:rFonts w:ascii="Times New Roman" w:hAnsi="Times New Roman" w:cs="Times New Roman"/>
          <w:sz w:val="24"/>
          <w:szCs w:val="24"/>
          <w:lang w:val="es"/>
        </w:rPr>
        <w:t xml:space="preserve">, y son previas a la </w:t>
      </w:r>
      <w:proofErr w:type="spellStart"/>
      <w:r w:rsidRPr="00D470F4">
        <w:rPr>
          <w:rFonts w:ascii="Times New Roman" w:hAnsi="Times New Roman" w:cs="Times New Roman"/>
          <w:sz w:val="24"/>
          <w:szCs w:val="24"/>
          <w:lang w:val="es"/>
        </w:rPr>
        <w:t>investiación</w:t>
      </w:r>
      <w:proofErr w:type="spellEnd"/>
      <w:r w:rsidRPr="00D470F4">
        <w:rPr>
          <w:rFonts w:ascii="Times New Roman" w:hAnsi="Times New Roman" w:cs="Times New Roman"/>
          <w:sz w:val="24"/>
          <w:szCs w:val="24"/>
          <w:lang w:val="es"/>
        </w:rPr>
        <w:t xml:space="preserve"> empírica como tal (</w:t>
      </w:r>
      <w:proofErr w:type="spellStart"/>
      <w:r w:rsidRPr="00D470F4">
        <w:rPr>
          <w:rFonts w:ascii="Times New Roman" w:hAnsi="Times New Roman" w:cs="Times New Roman"/>
          <w:sz w:val="24"/>
          <w:szCs w:val="24"/>
          <w:lang w:val="es"/>
        </w:rPr>
        <w:t>Collier</w:t>
      </w:r>
      <w:proofErr w:type="spellEnd"/>
      <w:r w:rsidRPr="00D470F4">
        <w:rPr>
          <w:rFonts w:ascii="Times New Roman" w:hAnsi="Times New Roman" w:cs="Times New Roman"/>
          <w:sz w:val="24"/>
          <w:szCs w:val="24"/>
          <w:lang w:val="es"/>
        </w:rPr>
        <w:t>, 2011).</w:t>
      </w:r>
    </w:p>
    <w:p w14:paraId="738FE0AF" w14:textId="77777777" w:rsidR="003717B5" w:rsidRPr="00D470F4" w:rsidRDefault="003717B5"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 xml:space="preserve">Para rastrear los procesos de los mecanismos ideacionales, esto es la importancia de las ideas, nos valdremos de tres estrategias empíricas recomendadas por la literatura metodológica (Parsons, 2016). En primer lugar, el análisis cualitativo e intensivo de las declaraciones de los actores involucrados.  Con el objeto de reconstruir los procesos de ideación de las políticas de promoción de ERNC y su puesta en práctica se llevaron adelante entrevistas en profundidad a participantes de las mismas, se analizaron documentaciones producidas por éstos y se reconstruyó el proceso a través del análisis de los medios de comunicación (periódicos nacionales y provinciales en versión impresa y/o electrónica, periódicos digitales especializados en la cuestión energética) y se analizaron entrevistas realizadas para distintos medios. </w:t>
      </w:r>
    </w:p>
    <w:p w14:paraId="71AB955A" w14:textId="3DBEF8C2" w:rsidR="003717B5" w:rsidRPr="00D470F4" w:rsidRDefault="003717B5"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 xml:space="preserve">Por otra parte, se ha participado en distintos seminarios, workshops y encuentros de energías renovables y en una diversidad de actividades organizadas por distintas </w:t>
      </w:r>
      <w:r w:rsidRPr="00D470F4">
        <w:rPr>
          <w:rFonts w:ascii="Times New Roman" w:hAnsi="Times New Roman" w:cs="Times New Roman"/>
          <w:sz w:val="24"/>
          <w:szCs w:val="24"/>
        </w:rPr>
        <w:lastRenderedPageBreak/>
        <w:t xml:space="preserve">organizaciones interesadas en la problemática (tanto de manera presencial como virtual). Por su parte, se utilizó una combinación de herramientas para comprender la toma de posición de los actores políticos. Dichas herramientas incluyeron: la realización de entrevistas a funcionarios de los poderes ejecutivos y legislativos del nivel nacional y provincial y local que hayan impulsado o participado de debates en torno a modificaciones en las legislaciones energéticas y el análisis de las versiones taquigráficas de las sesiones en las cuales se hayan tratado las citadas leyes provinciales y los documentos estatales de índole referido a la temática energética, en particular referidas a energías </w:t>
      </w:r>
      <w:r w:rsidR="00AE1F6F" w:rsidRPr="00D470F4">
        <w:rPr>
          <w:rFonts w:ascii="Times New Roman" w:hAnsi="Times New Roman" w:cs="Times New Roman"/>
          <w:sz w:val="24"/>
          <w:szCs w:val="24"/>
        </w:rPr>
        <w:t>renovables</w:t>
      </w:r>
      <w:r w:rsidRPr="00D470F4">
        <w:rPr>
          <w:rFonts w:ascii="Times New Roman" w:hAnsi="Times New Roman" w:cs="Times New Roman"/>
          <w:sz w:val="24"/>
          <w:szCs w:val="24"/>
        </w:rPr>
        <w:t>.</w:t>
      </w:r>
    </w:p>
    <w:p w14:paraId="5E8DA098" w14:textId="17EDFCE7" w:rsidR="003717B5" w:rsidRPr="00D470F4" w:rsidRDefault="003717B5"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 xml:space="preserve">Entre marzo de 2016 y </w:t>
      </w:r>
      <w:proofErr w:type="spellStart"/>
      <w:r w:rsidRPr="00D470F4">
        <w:rPr>
          <w:rFonts w:ascii="Times New Roman" w:hAnsi="Times New Roman" w:cs="Times New Roman"/>
          <w:sz w:val="24"/>
          <w:szCs w:val="24"/>
        </w:rPr>
        <w:t>y</w:t>
      </w:r>
      <w:proofErr w:type="spellEnd"/>
      <w:r w:rsidRPr="00D470F4">
        <w:rPr>
          <w:rFonts w:ascii="Times New Roman" w:hAnsi="Times New Roman" w:cs="Times New Roman"/>
          <w:sz w:val="24"/>
          <w:szCs w:val="24"/>
        </w:rPr>
        <w:t xml:space="preserve"> septiembre de 2022, se llevaron a cabo más de una decena de viajes a distintos puntos de Argentina y Chile, y se realizaron 93 entrevistas </w:t>
      </w:r>
      <w:r w:rsidR="00AE1F6F" w:rsidRPr="00D470F4">
        <w:rPr>
          <w:rFonts w:ascii="Times New Roman" w:hAnsi="Times New Roman" w:cs="Times New Roman"/>
          <w:sz w:val="24"/>
          <w:szCs w:val="24"/>
        </w:rPr>
        <w:t>semiestructuradas</w:t>
      </w:r>
      <w:r w:rsidRPr="00D470F4">
        <w:rPr>
          <w:rFonts w:ascii="Times New Roman" w:hAnsi="Times New Roman" w:cs="Times New Roman"/>
          <w:sz w:val="24"/>
          <w:szCs w:val="24"/>
        </w:rPr>
        <w:t>, a actores claves de los procesos, incluyendo políticos, funcionarios de rango medio, académicos (particularmente de los organismos científicos y las Universidades</w:t>
      </w:r>
      <w:proofErr w:type="gramStart"/>
      <w:r w:rsidRPr="00D470F4">
        <w:rPr>
          <w:rFonts w:ascii="Times New Roman" w:hAnsi="Times New Roman" w:cs="Times New Roman"/>
          <w:sz w:val="24"/>
          <w:szCs w:val="24"/>
        </w:rPr>
        <w:t>),  actores</w:t>
      </w:r>
      <w:proofErr w:type="gramEnd"/>
      <w:r w:rsidRPr="00D470F4">
        <w:rPr>
          <w:rFonts w:ascii="Times New Roman" w:hAnsi="Times New Roman" w:cs="Times New Roman"/>
          <w:sz w:val="24"/>
          <w:szCs w:val="24"/>
        </w:rPr>
        <w:t xml:space="preserve"> gremiales y miembros de ONG. </w:t>
      </w:r>
    </w:p>
    <w:p w14:paraId="7A56CDA4" w14:textId="23F21B3D" w:rsidR="003717B5" w:rsidRPr="00D470F4" w:rsidRDefault="003717B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Otra estrategia metodológica que se siguió fue la de expandir el espectro temporal del análisis, con el objeto de diferenciar las causas materiales de las ideacionales. Se </w:t>
      </w:r>
      <w:r w:rsidR="003E6D2A" w:rsidRPr="00D470F4">
        <w:rPr>
          <w:rFonts w:ascii="Times New Roman" w:hAnsi="Times New Roman" w:cs="Times New Roman"/>
          <w:color w:val="231F20"/>
          <w:spacing w:val="-4"/>
          <w:sz w:val="24"/>
          <w:szCs w:val="24"/>
          <w:lang w:val="es"/>
        </w:rPr>
        <w:t>entiende</w:t>
      </w:r>
      <w:r w:rsidRPr="00D470F4">
        <w:rPr>
          <w:rFonts w:ascii="Times New Roman" w:hAnsi="Times New Roman" w:cs="Times New Roman"/>
          <w:color w:val="231F20"/>
          <w:spacing w:val="-4"/>
          <w:sz w:val="24"/>
          <w:szCs w:val="24"/>
          <w:lang w:val="es"/>
        </w:rPr>
        <w:t xml:space="preserve"> que las causas ideacionales, y los conjuntos de creencias, son más resistentes al cambio, por lo que deberíamos encontrar una estabilidad relativa, incluso cuando las circunstancias materiales se modifican. De este modo, al expandir el horizonte temporal, incluso unas décadas previas a la problemática esencial de </w:t>
      </w:r>
      <w:r w:rsidR="003E6D2A" w:rsidRPr="00D470F4">
        <w:rPr>
          <w:rFonts w:ascii="Times New Roman" w:hAnsi="Times New Roman" w:cs="Times New Roman"/>
          <w:color w:val="231F20"/>
          <w:spacing w:val="-4"/>
          <w:sz w:val="24"/>
          <w:szCs w:val="24"/>
          <w:lang w:val="es"/>
        </w:rPr>
        <w:t>interés</w:t>
      </w:r>
      <w:r w:rsidRPr="00D470F4">
        <w:rPr>
          <w:rFonts w:ascii="Times New Roman" w:hAnsi="Times New Roman" w:cs="Times New Roman"/>
          <w:color w:val="231F20"/>
          <w:spacing w:val="-4"/>
          <w:sz w:val="24"/>
          <w:szCs w:val="24"/>
          <w:lang w:val="es"/>
        </w:rPr>
        <w:t xml:space="preserve"> para el investigador, permite examinar la influencia de las ideas sobre una determinada causa, por encima de los cambios en las condiciones materiales. En este caso particular, incluso cuando la mayor inversión en programas de energías </w:t>
      </w:r>
      <w:r w:rsidR="003E6D2A" w:rsidRPr="00D470F4">
        <w:rPr>
          <w:rFonts w:ascii="Times New Roman" w:hAnsi="Times New Roman" w:cs="Times New Roman"/>
          <w:color w:val="231F20"/>
          <w:spacing w:val="-4"/>
          <w:sz w:val="24"/>
          <w:szCs w:val="24"/>
          <w:lang w:val="es"/>
        </w:rPr>
        <w:t>renovables</w:t>
      </w:r>
      <w:r w:rsidRPr="00D470F4">
        <w:rPr>
          <w:rFonts w:ascii="Times New Roman" w:hAnsi="Times New Roman" w:cs="Times New Roman"/>
          <w:color w:val="231F20"/>
          <w:spacing w:val="-4"/>
          <w:sz w:val="24"/>
          <w:szCs w:val="24"/>
          <w:lang w:val="es"/>
        </w:rPr>
        <w:t xml:space="preserve"> para alta tensión, se verificó recién a partir de 2015, rastrear los origines de la política energética a la coyuntura crítica de la reforma neoliberal, cuando esta hegemonía ideológica marco un cambio sustancial en las reglas de juego del </w:t>
      </w:r>
      <w:r w:rsidRPr="00D470F4">
        <w:rPr>
          <w:rFonts w:ascii="Times New Roman" w:hAnsi="Times New Roman" w:cs="Times New Roman"/>
          <w:color w:val="231F20"/>
          <w:spacing w:val="-4"/>
          <w:sz w:val="24"/>
          <w:szCs w:val="24"/>
          <w:lang w:val="es"/>
        </w:rPr>
        <w:lastRenderedPageBreak/>
        <w:t>mercado eléctrico e impuso constreñimientos materiales significativos a las políticas de promoción de ERNC.</w:t>
      </w:r>
    </w:p>
    <w:p w14:paraId="6F1C1864" w14:textId="6A267370" w:rsidR="003717B5" w:rsidRPr="00D470F4" w:rsidRDefault="003717B5" w:rsidP="00132D23">
      <w:pPr>
        <w:pStyle w:val="Textoindependiente"/>
        <w:spacing w:before="33" w:line="480" w:lineRule="auto"/>
        <w:ind w:left="116"/>
        <w:rPr>
          <w:rFonts w:ascii="Times New Roman" w:hAnsi="Times New Roman" w:cs="Times New Roman"/>
          <w:color w:val="231F20"/>
          <w:spacing w:val="-4"/>
          <w:sz w:val="24"/>
          <w:szCs w:val="24"/>
          <w:lang w:val="es"/>
        </w:rPr>
      </w:pPr>
      <w:r w:rsidRPr="00D470F4">
        <w:rPr>
          <w:rFonts w:ascii="Times New Roman" w:hAnsi="Times New Roman" w:cs="Times New Roman"/>
          <w:color w:val="231F20"/>
          <w:spacing w:val="-4"/>
          <w:sz w:val="24"/>
          <w:szCs w:val="24"/>
          <w:lang w:val="es"/>
        </w:rPr>
        <w:t xml:space="preserve">Otra estrategia metodológica utilizada apunta a rastrear la difusión ideacional a través de la identificación de los </w:t>
      </w:r>
      <w:r w:rsidR="00AE1F6F" w:rsidRPr="00D470F4">
        <w:rPr>
          <w:rFonts w:ascii="Times New Roman" w:hAnsi="Times New Roman" w:cs="Times New Roman"/>
          <w:color w:val="231F20"/>
          <w:spacing w:val="-4"/>
          <w:sz w:val="24"/>
          <w:szCs w:val="24"/>
          <w:lang w:val="es"/>
        </w:rPr>
        <w:t>orígenes</w:t>
      </w:r>
      <w:r w:rsidRPr="00D470F4">
        <w:rPr>
          <w:rFonts w:ascii="Times New Roman" w:hAnsi="Times New Roman" w:cs="Times New Roman"/>
          <w:color w:val="231F20"/>
          <w:spacing w:val="-4"/>
          <w:sz w:val="24"/>
          <w:szCs w:val="24"/>
          <w:lang w:val="es"/>
        </w:rPr>
        <w:t xml:space="preserve"> de las ideas y de los portadores de las mismas, es decir, agentes no solo que no solo implementan las </w:t>
      </w:r>
      <w:proofErr w:type="gramStart"/>
      <w:r w:rsidRPr="00D470F4">
        <w:rPr>
          <w:rFonts w:ascii="Times New Roman" w:hAnsi="Times New Roman" w:cs="Times New Roman"/>
          <w:color w:val="231F20"/>
          <w:spacing w:val="-4"/>
          <w:sz w:val="24"/>
          <w:szCs w:val="24"/>
          <w:lang w:val="es"/>
        </w:rPr>
        <w:t>ideas</w:t>
      </w:r>
      <w:proofErr w:type="gramEnd"/>
      <w:r w:rsidRPr="00D470F4">
        <w:rPr>
          <w:rFonts w:ascii="Times New Roman" w:hAnsi="Times New Roman" w:cs="Times New Roman"/>
          <w:color w:val="231F20"/>
          <w:spacing w:val="-4"/>
          <w:sz w:val="24"/>
          <w:szCs w:val="24"/>
          <w:lang w:val="es"/>
        </w:rPr>
        <w:t xml:space="preserve"> sino que las construyen y reconstruyen (Thatcher y Schmidt, 2013: 22; Jacobs, 2015). En cuanto a la identificación de los orígenes ideacionales, Jacobs sugiere que debemos encontrar evidencia de que las fuentes de una idea son al mismo tiempo, externa y </w:t>
      </w:r>
      <w:r w:rsidR="00AE1F6F" w:rsidRPr="00D470F4">
        <w:rPr>
          <w:rFonts w:ascii="Times New Roman" w:hAnsi="Times New Roman" w:cs="Times New Roman"/>
          <w:color w:val="231F20"/>
          <w:spacing w:val="-4"/>
          <w:sz w:val="24"/>
          <w:szCs w:val="24"/>
          <w:lang w:val="es"/>
        </w:rPr>
        <w:t>antecedentes</w:t>
      </w:r>
      <w:r w:rsidRPr="00D470F4">
        <w:rPr>
          <w:rFonts w:ascii="Times New Roman" w:hAnsi="Times New Roman" w:cs="Times New Roman"/>
          <w:color w:val="231F20"/>
          <w:spacing w:val="-4"/>
          <w:sz w:val="24"/>
          <w:szCs w:val="24"/>
          <w:lang w:val="es"/>
        </w:rPr>
        <w:t xml:space="preserve"> a las de</w:t>
      </w:r>
      <w:r w:rsidR="00AE1F6F" w:rsidRPr="00D470F4">
        <w:rPr>
          <w:rFonts w:ascii="Times New Roman" w:hAnsi="Times New Roman" w:cs="Times New Roman"/>
          <w:color w:val="231F20"/>
          <w:spacing w:val="-4"/>
          <w:sz w:val="24"/>
          <w:szCs w:val="24"/>
          <w:lang w:val="es"/>
        </w:rPr>
        <w:t>cisi</w:t>
      </w:r>
      <w:r w:rsidRPr="00D470F4">
        <w:rPr>
          <w:rFonts w:ascii="Times New Roman" w:hAnsi="Times New Roman" w:cs="Times New Roman"/>
          <w:color w:val="231F20"/>
          <w:spacing w:val="-4"/>
          <w:sz w:val="24"/>
          <w:szCs w:val="24"/>
          <w:lang w:val="es"/>
        </w:rPr>
        <w:t xml:space="preserve">ones que están siendo explicadas” (Jacobs, 2015: 65). En la práctica, esta </w:t>
      </w:r>
      <w:r w:rsidR="00AE1F6F" w:rsidRPr="00D470F4">
        <w:rPr>
          <w:rFonts w:ascii="Times New Roman" w:hAnsi="Times New Roman" w:cs="Times New Roman"/>
          <w:color w:val="231F20"/>
          <w:spacing w:val="-4"/>
          <w:sz w:val="24"/>
          <w:szCs w:val="24"/>
          <w:lang w:val="es"/>
        </w:rPr>
        <w:t>estratégica</w:t>
      </w:r>
      <w:r w:rsidRPr="00D470F4">
        <w:rPr>
          <w:rFonts w:ascii="Times New Roman" w:hAnsi="Times New Roman" w:cs="Times New Roman"/>
          <w:color w:val="231F20"/>
          <w:spacing w:val="-4"/>
          <w:sz w:val="24"/>
          <w:szCs w:val="24"/>
          <w:lang w:val="es"/>
        </w:rPr>
        <w:t xml:space="preserve"> implica encontrar evidencia no sólo de que los actores han estado expuestos a las ideas, sino que las mismas han sido “lo suficientemente </w:t>
      </w:r>
      <w:r w:rsidR="00AE1F6F" w:rsidRPr="00D470F4">
        <w:rPr>
          <w:rFonts w:ascii="Times New Roman" w:hAnsi="Times New Roman" w:cs="Times New Roman"/>
          <w:color w:val="231F20"/>
          <w:spacing w:val="-4"/>
          <w:sz w:val="24"/>
          <w:szCs w:val="24"/>
          <w:lang w:val="es"/>
        </w:rPr>
        <w:t>creíbles</w:t>
      </w:r>
      <w:r w:rsidRPr="00D470F4">
        <w:rPr>
          <w:rFonts w:ascii="Times New Roman" w:hAnsi="Times New Roman" w:cs="Times New Roman"/>
          <w:color w:val="231F20"/>
          <w:spacing w:val="-4"/>
          <w:sz w:val="24"/>
          <w:szCs w:val="24"/>
          <w:lang w:val="es"/>
        </w:rPr>
        <w:t xml:space="preserve"> para influir en el ambiente” (Jacobs, 2015: 66).</w:t>
      </w:r>
    </w:p>
    <w:p w14:paraId="23E0B26F" w14:textId="77777777" w:rsidR="003717B5" w:rsidRPr="00D470F4" w:rsidRDefault="003717B5" w:rsidP="00132D23">
      <w:pPr>
        <w:pStyle w:val="Textoindependiente"/>
        <w:spacing w:before="33" w:line="480" w:lineRule="auto"/>
        <w:ind w:left="116"/>
        <w:rPr>
          <w:rFonts w:ascii="Times New Roman" w:hAnsi="Times New Roman" w:cs="Times New Roman"/>
          <w:color w:val="231F20"/>
          <w:spacing w:val="-4"/>
          <w:sz w:val="24"/>
          <w:szCs w:val="24"/>
          <w:lang w:val="es"/>
        </w:rPr>
      </w:pPr>
    </w:p>
    <w:p w14:paraId="54A0A69E" w14:textId="77777777" w:rsidR="003717B5" w:rsidRPr="00D470F4" w:rsidRDefault="003717B5" w:rsidP="00132D23">
      <w:pPr>
        <w:tabs>
          <w:tab w:val="left" w:pos="142"/>
        </w:tabs>
        <w:autoSpaceDE w:val="0"/>
        <w:autoSpaceDN w:val="0"/>
        <w:adjustRightInd w:val="0"/>
        <w:spacing w:after="0" w:line="480" w:lineRule="auto"/>
        <w:jc w:val="both"/>
        <w:rPr>
          <w:rFonts w:ascii="Times New Roman" w:hAnsi="Times New Roman" w:cs="Times New Roman"/>
          <w:b/>
          <w:sz w:val="24"/>
          <w:szCs w:val="24"/>
        </w:rPr>
      </w:pPr>
      <w:r w:rsidRPr="00D470F4">
        <w:rPr>
          <w:rFonts w:ascii="Times New Roman" w:hAnsi="Times New Roman" w:cs="Times New Roman"/>
          <w:b/>
          <w:sz w:val="24"/>
          <w:szCs w:val="24"/>
        </w:rPr>
        <w:t>Selección de casos</w:t>
      </w:r>
    </w:p>
    <w:p w14:paraId="43336C35" w14:textId="77777777" w:rsidR="003717B5" w:rsidRPr="00D470F4" w:rsidRDefault="003717B5" w:rsidP="00132D23">
      <w:pPr>
        <w:pBdr>
          <w:bottom w:val="single" w:sz="6" w:space="1" w:color="auto"/>
        </w:pBdr>
        <w:tabs>
          <w:tab w:val="left" w:pos="142"/>
        </w:tabs>
        <w:spacing w:after="0" w:line="480" w:lineRule="auto"/>
        <w:jc w:val="center"/>
        <w:rPr>
          <w:rFonts w:ascii="Times New Roman" w:eastAsia="Times New Roman" w:hAnsi="Times New Roman" w:cs="Times New Roman"/>
          <w:vanish/>
          <w:sz w:val="24"/>
          <w:szCs w:val="24"/>
          <w:lang w:eastAsia="es-AR"/>
        </w:rPr>
      </w:pPr>
      <w:r w:rsidRPr="00D470F4">
        <w:rPr>
          <w:rFonts w:ascii="Times New Roman" w:eastAsia="Times New Roman" w:hAnsi="Times New Roman" w:cs="Times New Roman"/>
          <w:vanish/>
          <w:sz w:val="24"/>
          <w:szCs w:val="24"/>
          <w:lang w:eastAsia="es-AR"/>
        </w:rPr>
        <w:t>Principio del formulario</w:t>
      </w:r>
    </w:p>
    <w:p w14:paraId="26CB0D8A" w14:textId="77777777" w:rsidR="003717B5" w:rsidRPr="00D470F4" w:rsidRDefault="003717B5" w:rsidP="00132D23">
      <w:pPr>
        <w:tabs>
          <w:tab w:val="left" w:pos="142"/>
          <w:tab w:val="left" w:pos="2145"/>
        </w:tabs>
        <w:autoSpaceDE w:val="0"/>
        <w:autoSpaceDN w:val="0"/>
        <w:adjustRightInd w:val="0"/>
        <w:spacing w:after="0" w:line="480" w:lineRule="auto"/>
        <w:jc w:val="both"/>
        <w:rPr>
          <w:rFonts w:ascii="Times New Roman" w:hAnsi="Times New Roman" w:cs="Times New Roman"/>
          <w:sz w:val="24"/>
          <w:szCs w:val="24"/>
        </w:rPr>
      </w:pPr>
      <w:r w:rsidRPr="00D470F4">
        <w:rPr>
          <w:rFonts w:ascii="Times New Roman" w:hAnsi="Times New Roman" w:cs="Times New Roman"/>
          <w:sz w:val="24"/>
          <w:szCs w:val="24"/>
        </w:rPr>
        <w:t xml:space="preserve">Esta investigación se inscribe en la larga tradición de Análisis Histórico Comparativo en tanto busca ofrecer una explicación históricamente anclada de un resultado con una importancia normativa sustancial, a partir de la comparación sistemática y contextualizada de casos contrastantes (Mahoney y </w:t>
      </w:r>
      <w:proofErr w:type="spellStart"/>
      <w:r w:rsidRPr="00D470F4">
        <w:rPr>
          <w:rFonts w:ascii="Times New Roman" w:hAnsi="Times New Roman" w:cs="Times New Roman"/>
          <w:sz w:val="24"/>
          <w:szCs w:val="24"/>
        </w:rPr>
        <w:t>Rueschemeyer</w:t>
      </w:r>
      <w:proofErr w:type="spellEnd"/>
      <w:r w:rsidRPr="00D470F4">
        <w:rPr>
          <w:rFonts w:ascii="Times New Roman" w:hAnsi="Times New Roman" w:cs="Times New Roman"/>
          <w:sz w:val="24"/>
          <w:szCs w:val="24"/>
        </w:rPr>
        <w:t xml:space="preserve">, 2003). En la tradición de Sartori se entiende que la comparación implica la existencia de características comunes que hacen homogéneos a los casos seleccionados. Esta homogeneidad no existe, sin embargo, </w:t>
      </w:r>
      <w:r w:rsidRPr="00D470F4">
        <w:rPr>
          <w:rFonts w:ascii="Times New Roman" w:hAnsi="Times New Roman" w:cs="Times New Roman"/>
          <w:i/>
          <w:sz w:val="24"/>
          <w:szCs w:val="24"/>
        </w:rPr>
        <w:t>in natura</w:t>
      </w:r>
      <w:r w:rsidRPr="00D470F4">
        <w:rPr>
          <w:rFonts w:ascii="Times New Roman" w:hAnsi="Times New Roman" w:cs="Times New Roman"/>
          <w:sz w:val="24"/>
          <w:szCs w:val="24"/>
        </w:rPr>
        <w:t xml:space="preserve"> si no que es una construcción de la lógica clasificatoria que se introduce, es decir de los criterios de clasificación establecidos (Sartori, 1996).</w:t>
      </w:r>
    </w:p>
    <w:p w14:paraId="56D32A44" w14:textId="170444B1" w:rsidR="003717B5" w:rsidRPr="00D470F4" w:rsidRDefault="003717B5" w:rsidP="00132D23">
      <w:pPr>
        <w:tabs>
          <w:tab w:val="left" w:pos="142"/>
          <w:tab w:val="left" w:pos="2145"/>
        </w:tabs>
        <w:autoSpaceDE w:val="0"/>
        <w:autoSpaceDN w:val="0"/>
        <w:adjustRightInd w:val="0"/>
        <w:spacing w:after="0" w:line="480" w:lineRule="auto"/>
        <w:jc w:val="both"/>
        <w:rPr>
          <w:rFonts w:ascii="Times New Roman" w:hAnsi="Times New Roman" w:cs="Times New Roman"/>
          <w:sz w:val="24"/>
          <w:szCs w:val="24"/>
        </w:rPr>
      </w:pPr>
      <w:r w:rsidRPr="00D470F4">
        <w:rPr>
          <w:rFonts w:ascii="Times New Roman" w:hAnsi="Times New Roman" w:cs="Times New Roman"/>
          <w:sz w:val="24"/>
          <w:szCs w:val="24"/>
        </w:rPr>
        <w:t>Con el objetivo de ganar capacidad analítica, esta tesis propone valerse del método de la diferencia (Mill, 1843), también conocido como el de los casos más similares (</w:t>
      </w:r>
      <w:proofErr w:type="spellStart"/>
      <w:r w:rsidRPr="00D470F4">
        <w:rPr>
          <w:rFonts w:ascii="Times New Roman" w:hAnsi="Times New Roman" w:cs="Times New Roman"/>
          <w:sz w:val="24"/>
          <w:szCs w:val="24"/>
        </w:rPr>
        <w:t>Pzeworski</w:t>
      </w:r>
      <w:proofErr w:type="spellEnd"/>
      <w:r w:rsidRPr="00D470F4">
        <w:rPr>
          <w:rFonts w:ascii="Times New Roman" w:hAnsi="Times New Roman" w:cs="Times New Roman"/>
          <w:sz w:val="24"/>
          <w:szCs w:val="24"/>
        </w:rPr>
        <w:t xml:space="preserve"> y </w:t>
      </w:r>
      <w:proofErr w:type="spellStart"/>
      <w:r w:rsidRPr="00D470F4">
        <w:rPr>
          <w:rFonts w:ascii="Times New Roman" w:hAnsi="Times New Roman" w:cs="Times New Roman"/>
          <w:sz w:val="24"/>
          <w:szCs w:val="24"/>
        </w:rPr>
        <w:t>Teune</w:t>
      </w:r>
      <w:proofErr w:type="spellEnd"/>
      <w:r w:rsidRPr="00D470F4">
        <w:rPr>
          <w:rFonts w:ascii="Times New Roman" w:hAnsi="Times New Roman" w:cs="Times New Roman"/>
          <w:sz w:val="24"/>
          <w:szCs w:val="24"/>
        </w:rPr>
        <w:t xml:space="preserve">, 1970). Argentina y </w:t>
      </w:r>
      <w:r w:rsidR="00AE1F6F" w:rsidRPr="00D470F4">
        <w:rPr>
          <w:rFonts w:ascii="Times New Roman" w:hAnsi="Times New Roman" w:cs="Times New Roman"/>
          <w:sz w:val="24"/>
          <w:szCs w:val="24"/>
        </w:rPr>
        <w:t>Chile</w:t>
      </w:r>
      <w:r w:rsidRPr="00D470F4">
        <w:rPr>
          <w:rFonts w:ascii="Times New Roman" w:hAnsi="Times New Roman" w:cs="Times New Roman"/>
          <w:sz w:val="24"/>
          <w:szCs w:val="24"/>
        </w:rPr>
        <w:t xml:space="preserve"> presentan múltiples similitudes en los variables normalmente relacionadas con la difusión de energías renovables. Ambos presentan una </w:t>
      </w:r>
      <w:r w:rsidRPr="00D470F4">
        <w:rPr>
          <w:rFonts w:ascii="Times New Roman" w:hAnsi="Times New Roman" w:cs="Times New Roman"/>
          <w:sz w:val="24"/>
          <w:szCs w:val="24"/>
        </w:rPr>
        <w:lastRenderedPageBreak/>
        <w:t xml:space="preserve">importante dotación de recursos naturales que les permitiría cubrir un porcentaje muy alto de su matriz energética a través de fuentes renovables (CAER, 2016). Del mismo modo, ambos cuentan con un alto porcentaje de su población por debajo de la línea de </w:t>
      </w:r>
      <w:proofErr w:type="gramStart"/>
      <w:r w:rsidRPr="00D470F4">
        <w:rPr>
          <w:rFonts w:ascii="Times New Roman" w:hAnsi="Times New Roman" w:cs="Times New Roman"/>
          <w:sz w:val="24"/>
          <w:szCs w:val="24"/>
        </w:rPr>
        <w:t xml:space="preserve">pobreza </w:t>
      </w:r>
      <w:r w:rsidR="003D31E4" w:rsidRPr="00D470F4">
        <w:rPr>
          <w:rFonts w:ascii="Times New Roman" w:hAnsi="Times New Roman" w:cs="Times New Roman"/>
          <w:sz w:val="24"/>
          <w:szCs w:val="24"/>
        </w:rPr>
        <w:t xml:space="preserve"> e</w:t>
      </w:r>
      <w:proofErr w:type="gramEnd"/>
      <w:r w:rsidR="003D31E4" w:rsidRPr="00D470F4">
        <w:rPr>
          <w:rFonts w:ascii="Times New Roman" w:hAnsi="Times New Roman" w:cs="Times New Roman"/>
          <w:sz w:val="24"/>
          <w:szCs w:val="24"/>
        </w:rPr>
        <w:t xml:space="preserve"> importantes indicadores de desigualdad económica y social </w:t>
      </w:r>
      <w:r w:rsidRPr="00D470F4">
        <w:rPr>
          <w:rFonts w:ascii="Times New Roman" w:hAnsi="Times New Roman" w:cs="Times New Roman"/>
          <w:sz w:val="24"/>
          <w:szCs w:val="24"/>
        </w:rPr>
        <w:t xml:space="preserve">(CEPAL, 2017), lo cual dificulta la difusión de valores </w:t>
      </w:r>
      <w:proofErr w:type="spellStart"/>
      <w:r w:rsidRPr="00D470F4">
        <w:rPr>
          <w:rFonts w:ascii="Times New Roman" w:hAnsi="Times New Roman" w:cs="Times New Roman"/>
          <w:sz w:val="24"/>
          <w:szCs w:val="24"/>
        </w:rPr>
        <w:t>post-materialistas</w:t>
      </w:r>
      <w:proofErr w:type="spellEnd"/>
      <w:r w:rsidRPr="00D470F4">
        <w:rPr>
          <w:rFonts w:ascii="Times New Roman" w:hAnsi="Times New Roman" w:cs="Times New Roman"/>
          <w:sz w:val="24"/>
          <w:szCs w:val="24"/>
        </w:rPr>
        <w:t xml:space="preserve"> (como suele describirse la preocupación por el medio-ambiente). Por otro lado</w:t>
      </w:r>
      <w:r w:rsidR="003D31E4" w:rsidRPr="00D470F4">
        <w:rPr>
          <w:rFonts w:ascii="Times New Roman" w:hAnsi="Times New Roman" w:cs="Times New Roman"/>
          <w:sz w:val="24"/>
          <w:szCs w:val="24"/>
        </w:rPr>
        <w:t>, aunque ambos países cuentan con importantes organizaciones ambientalistas y ciudadanas, no cuentan con partidos “verdes” con representación electoral y los que existen</w:t>
      </w:r>
      <w:r w:rsidRPr="00D470F4">
        <w:rPr>
          <w:rFonts w:ascii="Times New Roman" w:hAnsi="Times New Roman" w:cs="Times New Roman"/>
          <w:sz w:val="24"/>
          <w:szCs w:val="24"/>
        </w:rPr>
        <w:t xml:space="preserve"> está</w:t>
      </w:r>
      <w:r w:rsidR="003D31E4" w:rsidRPr="00D470F4">
        <w:rPr>
          <w:rFonts w:ascii="Times New Roman" w:hAnsi="Times New Roman" w:cs="Times New Roman"/>
          <w:sz w:val="24"/>
          <w:szCs w:val="24"/>
        </w:rPr>
        <w:t>n</w:t>
      </w:r>
      <w:r w:rsidRPr="00D470F4">
        <w:rPr>
          <w:rFonts w:ascii="Times New Roman" w:hAnsi="Times New Roman" w:cs="Times New Roman"/>
          <w:sz w:val="24"/>
          <w:szCs w:val="24"/>
        </w:rPr>
        <w:t xml:space="preserve"> lejos de alcanzar la popularidad y eficacia que tiene</w:t>
      </w:r>
      <w:r w:rsidR="003D31E4" w:rsidRPr="00D470F4">
        <w:rPr>
          <w:rFonts w:ascii="Times New Roman" w:hAnsi="Times New Roman" w:cs="Times New Roman"/>
          <w:sz w:val="24"/>
          <w:szCs w:val="24"/>
        </w:rPr>
        <w:t>n</w:t>
      </w:r>
      <w:r w:rsidRPr="00D470F4">
        <w:rPr>
          <w:rFonts w:ascii="Times New Roman" w:hAnsi="Times New Roman" w:cs="Times New Roman"/>
          <w:sz w:val="24"/>
          <w:szCs w:val="24"/>
        </w:rPr>
        <w:t xml:space="preserve"> en otras naciones</w:t>
      </w:r>
      <w:r w:rsidR="003D31E4" w:rsidRPr="00D470F4">
        <w:rPr>
          <w:rFonts w:ascii="Times New Roman" w:hAnsi="Times New Roman" w:cs="Times New Roman"/>
          <w:sz w:val="24"/>
          <w:szCs w:val="24"/>
        </w:rPr>
        <w:t>,</w:t>
      </w:r>
      <w:r w:rsidRPr="00D470F4">
        <w:rPr>
          <w:rFonts w:ascii="Times New Roman" w:hAnsi="Times New Roman" w:cs="Times New Roman"/>
          <w:sz w:val="24"/>
          <w:szCs w:val="24"/>
        </w:rPr>
        <w:t xml:space="preserve"> como </w:t>
      </w:r>
      <w:proofErr w:type="gramStart"/>
      <w:r w:rsidRPr="00D470F4">
        <w:rPr>
          <w:rFonts w:ascii="Times New Roman" w:hAnsi="Times New Roman" w:cs="Times New Roman"/>
          <w:sz w:val="24"/>
          <w:szCs w:val="24"/>
        </w:rPr>
        <w:t>Alemania</w:t>
      </w:r>
      <w:proofErr w:type="gramEnd"/>
      <w:r w:rsidRPr="00D470F4">
        <w:rPr>
          <w:rFonts w:ascii="Times New Roman" w:hAnsi="Times New Roman" w:cs="Times New Roman"/>
          <w:sz w:val="24"/>
          <w:szCs w:val="24"/>
        </w:rPr>
        <w:t xml:space="preserve"> por ejemplo.</w:t>
      </w:r>
    </w:p>
    <w:p w14:paraId="4A1A1082" w14:textId="23A7348A" w:rsidR="003717B5" w:rsidRPr="00D470F4" w:rsidRDefault="003717B5" w:rsidP="00132D23">
      <w:pPr>
        <w:tabs>
          <w:tab w:val="left" w:pos="142"/>
          <w:tab w:val="left" w:pos="2145"/>
        </w:tabs>
        <w:autoSpaceDE w:val="0"/>
        <w:autoSpaceDN w:val="0"/>
        <w:adjustRightInd w:val="0"/>
        <w:spacing w:after="0" w:line="480" w:lineRule="auto"/>
        <w:jc w:val="both"/>
        <w:rPr>
          <w:rFonts w:ascii="Times New Roman" w:hAnsi="Times New Roman" w:cs="Times New Roman"/>
          <w:sz w:val="24"/>
          <w:szCs w:val="24"/>
        </w:rPr>
      </w:pPr>
      <w:r w:rsidRPr="00D470F4">
        <w:rPr>
          <w:rFonts w:ascii="Times New Roman" w:hAnsi="Times New Roman" w:cs="Times New Roman"/>
          <w:sz w:val="24"/>
          <w:szCs w:val="24"/>
        </w:rPr>
        <w:t xml:space="preserve">En este sentido, mientras </w:t>
      </w:r>
      <w:r w:rsidR="003D31E4" w:rsidRPr="00D470F4">
        <w:rPr>
          <w:rFonts w:ascii="Times New Roman" w:hAnsi="Times New Roman" w:cs="Times New Roman"/>
          <w:sz w:val="24"/>
          <w:szCs w:val="24"/>
        </w:rPr>
        <w:t>Chile</w:t>
      </w:r>
      <w:r w:rsidRPr="00D470F4">
        <w:rPr>
          <w:rFonts w:ascii="Times New Roman" w:hAnsi="Times New Roman" w:cs="Times New Roman"/>
          <w:sz w:val="24"/>
          <w:szCs w:val="24"/>
        </w:rPr>
        <w:t xml:space="preserve"> puede tomarse como un caso exitoso, Argentina puede ser entendida como un caso negativo relevante en tanto cumple con el </w:t>
      </w:r>
      <w:r w:rsidRPr="00D470F4">
        <w:rPr>
          <w:rFonts w:ascii="Times New Roman" w:hAnsi="Times New Roman" w:cs="Times New Roman"/>
          <w:i/>
          <w:sz w:val="24"/>
          <w:szCs w:val="24"/>
        </w:rPr>
        <w:t>principio de posibilidad</w:t>
      </w:r>
      <w:r w:rsidRPr="00D470F4">
        <w:rPr>
          <w:rFonts w:ascii="Times New Roman" w:hAnsi="Times New Roman" w:cs="Times New Roman"/>
          <w:sz w:val="24"/>
          <w:szCs w:val="24"/>
        </w:rPr>
        <w:t xml:space="preserve"> enunciado por Mahoney y </w:t>
      </w:r>
      <w:proofErr w:type="spellStart"/>
      <w:r w:rsidRPr="00D470F4">
        <w:rPr>
          <w:rFonts w:ascii="Times New Roman" w:hAnsi="Times New Roman" w:cs="Times New Roman"/>
          <w:sz w:val="24"/>
          <w:szCs w:val="24"/>
        </w:rPr>
        <w:t>Goertz</w:t>
      </w:r>
      <w:proofErr w:type="spellEnd"/>
      <w:r w:rsidRPr="00D470F4">
        <w:rPr>
          <w:rFonts w:ascii="Times New Roman" w:hAnsi="Times New Roman" w:cs="Times New Roman"/>
          <w:sz w:val="24"/>
          <w:szCs w:val="24"/>
        </w:rPr>
        <w:t xml:space="preserve"> (2004). Dada la similitud en las variables asociadas con la difusión de fuentes energéticas renovables, es posible conjeturar que en Argentina es factible una diversificación mucho mayor de su matriz energética.</w:t>
      </w:r>
    </w:p>
    <w:p w14:paraId="1D375FEC" w14:textId="188640CD" w:rsidR="003717B5" w:rsidRPr="00D470F4" w:rsidRDefault="003717B5" w:rsidP="00132D23">
      <w:pPr>
        <w:tabs>
          <w:tab w:val="left" w:pos="142"/>
          <w:tab w:val="left" w:pos="2145"/>
        </w:tabs>
        <w:autoSpaceDE w:val="0"/>
        <w:autoSpaceDN w:val="0"/>
        <w:adjustRightInd w:val="0"/>
        <w:spacing w:after="0" w:line="480" w:lineRule="auto"/>
        <w:jc w:val="both"/>
        <w:rPr>
          <w:rFonts w:ascii="Times New Roman" w:hAnsi="Times New Roman" w:cs="Times New Roman"/>
          <w:sz w:val="24"/>
          <w:szCs w:val="24"/>
        </w:rPr>
      </w:pPr>
      <w:r w:rsidRPr="00D470F4">
        <w:rPr>
          <w:rFonts w:ascii="Times New Roman" w:hAnsi="Times New Roman" w:cs="Times New Roman"/>
          <w:sz w:val="24"/>
          <w:szCs w:val="24"/>
        </w:rPr>
        <w:t xml:space="preserve">Circunscribir la investigación a América Latina permite potenciar la comparación al aislar determinados factores manteniéndolos estables. </w:t>
      </w:r>
      <w:r w:rsidR="003D31E4" w:rsidRPr="00D470F4">
        <w:rPr>
          <w:rFonts w:ascii="Times New Roman" w:hAnsi="Times New Roman" w:cs="Times New Roman"/>
          <w:sz w:val="24"/>
          <w:szCs w:val="24"/>
        </w:rPr>
        <w:t>Chile</w:t>
      </w:r>
      <w:r w:rsidRPr="00D470F4">
        <w:rPr>
          <w:rFonts w:ascii="Times New Roman" w:hAnsi="Times New Roman" w:cs="Times New Roman"/>
          <w:sz w:val="24"/>
          <w:szCs w:val="24"/>
        </w:rPr>
        <w:t xml:space="preserve"> y Argentina han estado expuestos a los shocks externos, fluctuación en el precio internacional del crudo y problemas de seguridad energética. </w:t>
      </w:r>
      <w:r w:rsidR="003E6D2A" w:rsidRPr="00D470F4">
        <w:rPr>
          <w:rFonts w:ascii="Times New Roman" w:hAnsi="Times New Roman" w:cs="Times New Roman"/>
          <w:sz w:val="24"/>
          <w:szCs w:val="24"/>
        </w:rPr>
        <w:t>Asimismo,</w:t>
      </w:r>
      <w:r w:rsidRPr="00D470F4">
        <w:rPr>
          <w:rFonts w:ascii="Times New Roman" w:hAnsi="Times New Roman" w:cs="Times New Roman"/>
          <w:sz w:val="24"/>
          <w:szCs w:val="24"/>
        </w:rPr>
        <w:t xml:space="preserve"> presentan tradiciones culturales similares en lo que respecta a la relación con el medio-ambiente. Finalmente</w:t>
      </w:r>
      <w:r w:rsidR="003D31E4" w:rsidRPr="00D470F4">
        <w:rPr>
          <w:rFonts w:ascii="Times New Roman" w:hAnsi="Times New Roman" w:cs="Times New Roman"/>
          <w:sz w:val="24"/>
          <w:szCs w:val="24"/>
        </w:rPr>
        <w:t xml:space="preserve">, ambos </w:t>
      </w:r>
      <w:r w:rsidRPr="00D470F4">
        <w:rPr>
          <w:rFonts w:ascii="Times New Roman" w:hAnsi="Times New Roman" w:cs="Times New Roman"/>
          <w:sz w:val="24"/>
          <w:szCs w:val="24"/>
        </w:rPr>
        <w:t>países se han visto sujetos a la presión de la comunidad internacional y han suscrito los mismos tratados de disminución de contaminación atmosférica.</w:t>
      </w:r>
    </w:p>
    <w:p w14:paraId="32EAA295" w14:textId="365D6F6F" w:rsidR="003717B5" w:rsidRPr="00D470F4" w:rsidRDefault="003717B5" w:rsidP="00132D23">
      <w:pPr>
        <w:tabs>
          <w:tab w:val="left" w:pos="142"/>
          <w:tab w:val="left" w:pos="2145"/>
        </w:tabs>
        <w:autoSpaceDE w:val="0"/>
        <w:autoSpaceDN w:val="0"/>
        <w:adjustRightInd w:val="0"/>
        <w:spacing w:after="0" w:line="480" w:lineRule="auto"/>
        <w:jc w:val="both"/>
        <w:rPr>
          <w:rFonts w:ascii="Times New Roman" w:hAnsi="Times New Roman" w:cs="Times New Roman"/>
          <w:color w:val="212121"/>
          <w:sz w:val="24"/>
          <w:szCs w:val="24"/>
          <w:shd w:val="clear" w:color="auto" w:fill="FFFFFF"/>
        </w:rPr>
      </w:pPr>
      <w:r w:rsidRPr="00D470F4">
        <w:rPr>
          <w:rFonts w:ascii="Times New Roman" w:hAnsi="Times New Roman" w:cs="Times New Roman"/>
          <w:sz w:val="24"/>
          <w:szCs w:val="24"/>
        </w:rPr>
        <w:t xml:space="preserve">Como se señaló anteriormente esta tesis puede entenderse como un </w:t>
      </w:r>
      <w:proofErr w:type="spellStart"/>
      <w:r w:rsidRPr="00D470F4">
        <w:rPr>
          <w:rFonts w:ascii="Times New Roman" w:hAnsi="Times New Roman" w:cs="Times New Roman"/>
          <w:i/>
          <w:sz w:val="24"/>
          <w:szCs w:val="24"/>
        </w:rPr>
        <w:t>building</w:t>
      </w:r>
      <w:proofErr w:type="spellEnd"/>
      <w:r w:rsidRPr="00D470F4">
        <w:rPr>
          <w:rFonts w:ascii="Times New Roman" w:hAnsi="Times New Roman" w:cs="Times New Roman"/>
          <w:i/>
          <w:sz w:val="24"/>
          <w:szCs w:val="24"/>
        </w:rPr>
        <w:t xml:space="preserve"> block</w:t>
      </w:r>
      <w:r w:rsidRPr="00D470F4">
        <w:rPr>
          <w:rFonts w:ascii="Times New Roman" w:hAnsi="Times New Roman" w:cs="Times New Roman"/>
          <w:sz w:val="24"/>
          <w:szCs w:val="24"/>
        </w:rPr>
        <w:t xml:space="preserve"> en la tipología propuesta por George y Bennett (2002). En este tipo de explicación, en lugar de desarrollar una teoría general para todo un fenómeno, se formula una tipología compuesta por distintas categorías y se procede a analizar un subtipo específico. La explicación </w:t>
      </w:r>
      <w:r w:rsidRPr="00D470F4">
        <w:rPr>
          <w:rFonts w:ascii="Times New Roman" w:hAnsi="Times New Roman" w:cs="Times New Roman"/>
          <w:sz w:val="24"/>
          <w:szCs w:val="24"/>
        </w:rPr>
        <w:lastRenderedPageBreak/>
        <w:t xml:space="preserve">provista por cada </w:t>
      </w:r>
      <w:proofErr w:type="spellStart"/>
      <w:r w:rsidRPr="00D470F4">
        <w:rPr>
          <w:rFonts w:ascii="Times New Roman" w:hAnsi="Times New Roman" w:cs="Times New Roman"/>
          <w:i/>
          <w:sz w:val="24"/>
          <w:szCs w:val="24"/>
        </w:rPr>
        <w:t>building</w:t>
      </w:r>
      <w:proofErr w:type="spellEnd"/>
      <w:r w:rsidRPr="00D470F4">
        <w:rPr>
          <w:rFonts w:ascii="Times New Roman" w:hAnsi="Times New Roman" w:cs="Times New Roman"/>
          <w:i/>
          <w:sz w:val="24"/>
          <w:szCs w:val="24"/>
        </w:rPr>
        <w:t xml:space="preserve"> block </w:t>
      </w:r>
      <w:r w:rsidRPr="00D470F4">
        <w:rPr>
          <w:rFonts w:ascii="Times New Roman" w:hAnsi="Times New Roman" w:cs="Times New Roman"/>
          <w:sz w:val="24"/>
          <w:szCs w:val="24"/>
        </w:rPr>
        <w:t xml:space="preserve">es en sí misma una contribución a la teoría, aunque su alcance sea limitado, aborda el importante problema o </w:t>
      </w:r>
      <w:proofErr w:type="spellStart"/>
      <w:r w:rsidRPr="00D470F4">
        <w:rPr>
          <w:rFonts w:ascii="Times New Roman" w:hAnsi="Times New Roman" w:cs="Times New Roman"/>
          <w:i/>
          <w:sz w:val="24"/>
          <w:szCs w:val="24"/>
        </w:rPr>
        <w:t>puzzle</w:t>
      </w:r>
      <w:proofErr w:type="spellEnd"/>
      <w:r w:rsidRPr="00D470F4">
        <w:rPr>
          <w:rFonts w:ascii="Times New Roman" w:hAnsi="Times New Roman" w:cs="Times New Roman"/>
          <w:sz w:val="24"/>
          <w:szCs w:val="24"/>
        </w:rPr>
        <w:t xml:space="preserve"> asociado con el subconjunto escogido. Sus generalizaciones son más limitadas, pero también son más precisas y pueden implicar relaciones con probabilidades más altas. En definitiva, “</w:t>
      </w:r>
      <w:r w:rsidRPr="00D470F4">
        <w:rPr>
          <w:rFonts w:ascii="Times New Roman" w:hAnsi="Times New Roman" w:cs="Times New Roman"/>
          <w:i/>
          <w:sz w:val="24"/>
          <w:szCs w:val="24"/>
        </w:rPr>
        <w:t xml:space="preserve">el bloque de construcción desarrollado para un subtipo es autosuficiente y su validez y utilidad no dependen de la existencia de otros estudios de diferentes clases de ese fenómeno general” </w:t>
      </w:r>
      <w:r w:rsidRPr="00D470F4">
        <w:rPr>
          <w:rFonts w:ascii="Times New Roman" w:hAnsi="Times New Roman" w:cs="Times New Roman"/>
          <w:sz w:val="24"/>
          <w:szCs w:val="24"/>
        </w:rPr>
        <w:t>(George y Bennett, 2002: 77)</w:t>
      </w:r>
      <w:r w:rsidRPr="00D470F4">
        <w:rPr>
          <w:rFonts w:ascii="Times New Roman" w:hAnsi="Times New Roman" w:cs="Times New Roman"/>
          <w:i/>
          <w:sz w:val="24"/>
          <w:szCs w:val="24"/>
        </w:rPr>
        <w:t>.</w:t>
      </w:r>
      <w:r w:rsidRPr="00D470F4">
        <w:rPr>
          <w:rFonts w:ascii="Times New Roman" w:hAnsi="Times New Roman" w:cs="Times New Roman"/>
          <w:sz w:val="24"/>
          <w:szCs w:val="24"/>
        </w:rPr>
        <w:t xml:space="preserve"> </w:t>
      </w:r>
    </w:p>
    <w:p w14:paraId="6E6BFF6C" w14:textId="77777777" w:rsidR="003717B5" w:rsidRPr="00D470F4" w:rsidRDefault="003717B5" w:rsidP="00132D23">
      <w:pPr>
        <w:tabs>
          <w:tab w:val="left" w:pos="142"/>
        </w:tabs>
        <w:autoSpaceDE w:val="0"/>
        <w:autoSpaceDN w:val="0"/>
        <w:adjustRightInd w:val="0"/>
        <w:spacing w:after="0" w:line="480" w:lineRule="auto"/>
        <w:jc w:val="both"/>
        <w:rPr>
          <w:rFonts w:ascii="Times New Roman" w:hAnsi="Times New Roman" w:cs="Times New Roman"/>
          <w:sz w:val="24"/>
          <w:szCs w:val="24"/>
        </w:rPr>
      </w:pPr>
    </w:p>
    <w:p w14:paraId="4032D582" w14:textId="77777777" w:rsidR="003717B5" w:rsidRPr="00D470F4" w:rsidRDefault="003717B5" w:rsidP="00132D23">
      <w:pPr>
        <w:tabs>
          <w:tab w:val="left" w:pos="142"/>
        </w:tabs>
        <w:autoSpaceDE w:val="0"/>
        <w:autoSpaceDN w:val="0"/>
        <w:adjustRightInd w:val="0"/>
        <w:spacing w:after="0" w:line="480" w:lineRule="auto"/>
        <w:jc w:val="both"/>
        <w:rPr>
          <w:rFonts w:ascii="Times New Roman" w:hAnsi="Times New Roman" w:cs="Times New Roman"/>
          <w:sz w:val="24"/>
          <w:szCs w:val="24"/>
        </w:rPr>
      </w:pPr>
    </w:p>
    <w:p w14:paraId="17503F89" w14:textId="7ADA54AC" w:rsidR="0087548C" w:rsidRPr="00D470F4" w:rsidRDefault="003717B5" w:rsidP="00132D23">
      <w:pPr>
        <w:tabs>
          <w:tab w:val="left" w:pos="142"/>
          <w:tab w:val="left" w:pos="2145"/>
        </w:tabs>
        <w:autoSpaceDE w:val="0"/>
        <w:autoSpaceDN w:val="0"/>
        <w:adjustRightInd w:val="0"/>
        <w:spacing w:after="0" w:line="480" w:lineRule="auto"/>
        <w:jc w:val="both"/>
        <w:rPr>
          <w:rFonts w:ascii="Times New Roman" w:hAnsi="Times New Roman" w:cs="Times New Roman"/>
          <w:sz w:val="24"/>
          <w:szCs w:val="24"/>
        </w:rPr>
      </w:pPr>
      <w:r w:rsidRPr="00D470F4">
        <w:rPr>
          <w:rFonts w:ascii="Times New Roman" w:hAnsi="Times New Roman" w:cs="Times New Roman"/>
          <w:sz w:val="24"/>
          <w:szCs w:val="24"/>
        </w:rPr>
        <w:br w:type="page"/>
      </w:r>
    </w:p>
    <w:p w14:paraId="573567EA" w14:textId="77777777" w:rsidR="002C5518" w:rsidRPr="00D470F4" w:rsidRDefault="002C5518" w:rsidP="00132D23">
      <w:pPr>
        <w:spacing w:line="480" w:lineRule="auto"/>
        <w:rPr>
          <w:rFonts w:ascii="Times New Roman" w:hAnsi="Times New Roman" w:cs="Times New Roman"/>
          <w:sz w:val="24"/>
          <w:szCs w:val="24"/>
        </w:rPr>
      </w:pPr>
    </w:p>
    <w:p w14:paraId="5A5DD411" w14:textId="03A2FAA2" w:rsidR="0087548C" w:rsidRPr="00D470F4" w:rsidRDefault="0087548C" w:rsidP="00132D23">
      <w:pPr>
        <w:tabs>
          <w:tab w:val="left" w:pos="142"/>
        </w:tabs>
        <w:autoSpaceDE w:val="0"/>
        <w:autoSpaceDN w:val="0"/>
        <w:adjustRightInd w:val="0"/>
        <w:spacing w:after="0" w:line="480" w:lineRule="auto"/>
        <w:jc w:val="center"/>
        <w:rPr>
          <w:rFonts w:ascii="Times New Roman" w:hAnsi="Times New Roman" w:cs="Times New Roman"/>
          <w:b/>
          <w:sz w:val="24"/>
          <w:szCs w:val="24"/>
        </w:rPr>
      </w:pPr>
      <w:r w:rsidRPr="00D470F4">
        <w:rPr>
          <w:rFonts w:ascii="Times New Roman" w:hAnsi="Times New Roman" w:cs="Times New Roman"/>
          <w:b/>
          <w:sz w:val="24"/>
          <w:szCs w:val="24"/>
        </w:rPr>
        <w:t>Capítulo III</w:t>
      </w:r>
    </w:p>
    <w:p w14:paraId="1E75D3BF" w14:textId="45E33841" w:rsidR="007B6D83" w:rsidRPr="00D470F4" w:rsidRDefault="007B6D83" w:rsidP="00132D23">
      <w:pPr>
        <w:tabs>
          <w:tab w:val="left" w:pos="142"/>
        </w:tabs>
        <w:autoSpaceDE w:val="0"/>
        <w:autoSpaceDN w:val="0"/>
        <w:adjustRightInd w:val="0"/>
        <w:spacing w:after="0" w:line="480" w:lineRule="auto"/>
        <w:jc w:val="center"/>
        <w:rPr>
          <w:rFonts w:ascii="Times New Roman" w:hAnsi="Times New Roman" w:cs="Times New Roman"/>
          <w:b/>
          <w:sz w:val="24"/>
          <w:szCs w:val="24"/>
        </w:rPr>
      </w:pPr>
      <w:r w:rsidRPr="00D470F4">
        <w:rPr>
          <w:rFonts w:ascii="Times New Roman" w:hAnsi="Times New Roman" w:cs="Times New Roman"/>
          <w:b/>
          <w:sz w:val="24"/>
          <w:szCs w:val="24"/>
        </w:rPr>
        <w:t xml:space="preserve">La reforma neoliberal en </w:t>
      </w:r>
      <w:r w:rsidR="003D31E4" w:rsidRPr="00D470F4">
        <w:rPr>
          <w:rFonts w:ascii="Times New Roman" w:hAnsi="Times New Roman" w:cs="Times New Roman"/>
          <w:b/>
          <w:sz w:val="24"/>
          <w:szCs w:val="24"/>
        </w:rPr>
        <w:t>el</w:t>
      </w:r>
      <w:r w:rsidRPr="00D470F4">
        <w:rPr>
          <w:rFonts w:ascii="Times New Roman" w:hAnsi="Times New Roman" w:cs="Times New Roman"/>
          <w:b/>
          <w:sz w:val="24"/>
          <w:szCs w:val="24"/>
        </w:rPr>
        <w:t xml:space="preserve"> sistema eléctrico  </w:t>
      </w:r>
    </w:p>
    <w:p w14:paraId="3BD215F2" w14:textId="77777777" w:rsidR="00132D23" w:rsidRPr="00D470F4" w:rsidRDefault="00132D23" w:rsidP="00132D23">
      <w:pPr>
        <w:pStyle w:val="Ttulo3"/>
        <w:spacing w:line="480" w:lineRule="auto"/>
        <w:ind w:right="0"/>
        <w:rPr>
          <w:rFonts w:ascii="Times New Roman" w:hAnsi="Times New Roman" w:cs="Times New Roman"/>
          <w:sz w:val="24"/>
          <w:szCs w:val="24"/>
        </w:rPr>
      </w:pPr>
      <w:proofErr w:type="spellStart"/>
      <w:r w:rsidRPr="00D470F4">
        <w:rPr>
          <w:rFonts w:ascii="Times New Roman" w:hAnsi="Times New Roman" w:cs="Times New Roman"/>
          <w:sz w:val="24"/>
          <w:szCs w:val="24"/>
        </w:rPr>
        <w:t>Introducción</w:t>
      </w:r>
      <w:proofErr w:type="spellEnd"/>
    </w:p>
    <w:p w14:paraId="05A0B611" w14:textId="1275EE64" w:rsidR="00132D23" w:rsidRPr="00D470F4" w:rsidRDefault="00132D23" w:rsidP="00132D23">
      <w:pPr>
        <w:pStyle w:val="Textoindependiente"/>
        <w:spacing w:before="41" w:line="480" w:lineRule="auto"/>
        <w:rPr>
          <w:rFonts w:ascii="Times New Roman" w:hAnsi="Times New Roman" w:cs="Times New Roman"/>
          <w:sz w:val="24"/>
          <w:szCs w:val="24"/>
        </w:rPr>
      </w:pPr>
      <w:r w:rsidRPr="00D470F4">
        <w:rPr>
          <w:rFonts w:ascii="Times New Roman" w:hAnsi="Times New Roman" w:cs="Times New Roman"/>
          <w:color w:val="231F20"/>
          <w:spacing w:val="-8"/>
          <w:sz w:val="24"/>
          <w:szCs w:val="24"/>
          <w:lang w:val="es"/>
        </w:rPr>
        <w:t xml:space="preserve">Durante la década de 1990, un nuevo paradigma para </w:t>
      </w:r>
      <w:r w:rsidRPr="00D470F4">
        <w:rPr>
          <w:rFonts w:ascii="Times New Roman" w:hAnsi="Times New Roman" w:cs="Times New Roman"/>
          <w:color w:val="231F20"/>
          <w:spacing w:val="-4"/>
          <w:sz w:val="24"/>
          <w:szCs w:val="24"/>
          <w:lang w:val="es"/>
        </w:rPr>
        <w:t>la organización del sector eléctrico surgió del “</w:t>
      </w:r>
      <w:r w:rsidRPr="00D470F4">
        <w:rPr>
          <w:rFonts w:ascii="Times New Roman" w:hAnsi="Times New Roman" w:cs="Times New Roman"/>
          <w:color w:val="231F20"/>
          <w:spacing w:val="-2"/>
          <w:sz w:val="24"/>
          <w:szCs w:val="24"/>
          <w:lang w:val="es"/>
        </w:rPr>
        <w:t xml:space="preserve">Consenso de Washington" más amplio, un término acuñado en </w:t>
      </w:r>
      <w:r w:rsidRPr="00D470F4">
        <w:rPr>
          <w:rFonts w:ascii="Times New Roman" w:hAnsi="Times New Roman" w:cs="Times New Roman"/>
          <w:color w:val="231F20"/>
          <w:w w:val="90"/>
          <w:sz w:val="24"/>
          <w:szCs w:val="24"/>
          <w:lang w:val="es"/>
        </w:rPr>
        <w:t xml:space="preserve">1989. Las instituciones multilaterales encabezaron </w:t>
      </w:r>
      <w:r w:rsidRPr="00D470F4">
        <w:rPr>
          <w:rFonts w:ascii="Times New Roman" w:hAnsi="Times New Roman" w:cs="Times New Roman"/>
          <w:sz w:val="24"/>
          <w:szCs w:val="24"/>
          <w:lang w:val="es"/>
        </w:rPr>
        <w:t xml:space="preserve">el </w:t>
      </w:r>
      <w:r w:rsidRPr="00D470F4">
        <w:rPr>
          <w:rFonts w:ascii="Times New Roman" w:hAnsi="Times New Roman" w:cs="Times New Roman"/>
          <w:color w:val="231F20"/>
          <w:sz w:val="24"/>
          <w:szCs w:val="24"/>
          <w:lang w:val="es"/>
        </w:rPr>
        <w:t xml:space="preserve">nuevo paradigma en todo el mundo, y </w:t>
      </w:r>
      <w:r w:rsidRPr="00D470F4">
        <w:rPr>
          <w:rFonts w:ascii="Times New Roman" w:hAnsi="Times New Roman" w:cs="Times New Roman"/>
          <w:color w:val="231F20"/>
          <w:w w:val="90"/>
          <w:sz w:val="24"/>
          <w:szCs w:val="24"/>
          <w:lang w:val="es"/>
        </w:rPr>
        <w:t xml:space="preserve">rápidamente se afianzó justo cuando la Unión Soviética se estaba </w:t>
      </w:r>
      <w:r w:rsidRPr="00D470F4">
        <w:rPr>
          <w:rFonts w:ascii="Times New Roman" w:hAnsi="Times New Roman" w:cs="Times New Roman"/>
          <w:color w:val="231F20"/>
          <w:spacing w:val="-2"/>
          <w:sz w:val="24"/>
          <w:szCs w:val="24"/>
          <w:lang w:val="es"/>
        </w:rPr>
        <w:t>desmoronando. Marcada por 10 recomendaciones de políticas neoliberales</w:t>
      </w:r>
      <w:r w:rsidRPr="00D470F4">
        <w:rPr>
          <w:rFonts w:ascii="Times New Roman" w:hAnsi="Times New Roman" w:cs="Times New Roman"/>
          <w:sz w:val="24"/>
          <w:szCs w:val="24"/>
          <w:lang w:val="es"/>
        </w:rPr>
        <w:t xml:space="preserve">, la </w:t>
      </w:r>
      <w:r w:rsidRPr="00D470F4">
        <w:rPr>
          <w:rFonts w:ascii="Times New Roman" w:hAnsi="Times New Roman" w:cs="Times New Roman"/>
          <w:color w:val="231F20"/>
          <w:w w:val="90"/>
          <w:sz w:val="24"/>
          <w:szCs w:val="24"/>
          <w:lang w:val="es"/>
        </w:rPr>
        <w:t xml:space="preserve">era presentaba dos políticas </w:t>
      </w:r>
      <w:r w:rsidRPr="00D470F4">
        <w:rPr>
          <w:rFonts w:ascii="Times New Roman" w:hAnsi="Times New Roman" w:cs="Times New Roman"/>
          <w:sz w:val="24"/>
          <w:szCs w:val="24"/>
          <w:lang w:val="es"/>
        </w:rPr>
        <w:t xml:space="preserve">que </w:t>
      </w:r>
      <w:r w:rsidRPr="00D470F4">
        <w:rPr>
          <w:rFonts w:ascii="Times New Roman" w:hAnsi="Times New Roman" w:cs="Times New Roman"/>
          <w:color w:val="231F20"/>
          <w:sz w:val="24"/>
          <w:szCs w:val="24"/>
          <w:lang w:val="es"/>
        </w:rPr>
        <w:t xml:space="preserve">eran particularmente relevantes para el sector eléctrico, a saber, la privatización </w:t>
      </w:r>
      <w:r w:rsidRPr="00D470F4">
        <w:rPr>
          <w:rFonts w:ascii="Times New Roman" w:hAnsi="Times New Roman" w:cs="Times New Roman"/>
          <w:sz w:val="24"/>
          <w:szCs w:val="24"/>
          <w:lang w:val="es"/>
        </w:rPr>
        <w:t xml:space="preserve">de las empresas </w:t>
      </w:r>
      <w:r w:rsidRPr="00D470F4">
        <w:rPr>
          <w:rFonts w:ascii="Times New Roman" w:hAnsi="Times New Roman" w:cs="Times New Roman"/>
          <w:color w:val="231F20"/>
          <w:spacing w:val="11"/>
          <w:sz w:val="24"/>
          <w:szCs w:val="24"/>
          <w:lang w:val="es"/>
        </w:rPr>
        <w:t>estatales</w:t>
      </w:r>
      <w:r w:rsidRPr="00D470F4">
        <w:rPr>
          <w:rFonts w:ascii="Times New Roman" w:hAnsi="Times New Roman" w:cs="Times New Roman"/>
          <w:sz w:val="24"/>
          <w:szCs w:val="24"/>
          <w:lang w:val="es"/>
        </w:rPr>
        <w:t xml:space="preserve"> y la </w:t>
      </w:r>
      <w:r w:rsidRPr="00D470F4">
        <w:rPr>
          <w:rFonts w:ascii="Times New Roman" w:hAnsi="Times New Roman" w:cs="Times New Roman"/>
          <w:color w:val="231F20"/>
          <w:w w:val="90"/>
          <w:sz w:val="24"/>
          <w:szCs w:val="24"/>
          <w:lang w:val="es"/>
        </w:rPr>
        <w:t xml:space="preserve">abolición de las regulaciones que restringían </w:t>
      </w:r>
      <w:r w:rsidRPr="00D470F4">
        <w:rPr>
          <w:rFonts w:ascii="Times New Roman" w:hAnsi="Times New Roman" w:cs="Times New Roman"/>
          <w:color w:val="231F20"/>
          <w:spacing w:val="10"/>
          <w:sz w:val="24"/>
          <w:szCs w:val="24"/>
          <w:lang w:val="es"/>
        </w:rPr>
        <w:t xml:space="preserve"> </w:t>
      </w:r>
      <w:r w:rsidRPr="00D470F4">
        <w:rPr>
          <w:rFonts w:ascii="Times New Roman" w:hAnsi="Times New Roman" w:cs="Times New Roman"/>
          <w:color w:val="231F20"/>
          <w:sz w:val="24"/>
          <w:szCs w:val="24"/>
          <w:lang w:val="es"/>
        </w:rPr>
        <w:t xml:space="preserve"> la </w:t>
      </w:r>
      <w:r w:rsidRPr="00D470F4">
        <w:rPr>
          <w:rFonts w:ascii="Times New Roman" w:hAnsi="Times New Roman" w:cs="Times New Roman"/>
          <w:sz w:val="24"/>
          <w:szCs w:val="24"/>
          <w:lang w:val="es"/>
        </w:rPr>
        <w:t>competencia</w:t>
      </w:r>
      <w:r w:rsidRPr="00D470F4">
        <w:rPr>
          <w:rFonts w:ascii="Times New Roman" w:hAnsi="Times New Roman" w:cs="Times New Roman"/>
          <w:color w:val="231F20"/>
          <w:sz w:val="24"/>
          <w:szCs w:val="24"/>
          <w:lang w:val="es"/>
        </w:rPr>
        <w:t xml:space="preserve">. Las instituciones financieras internacionales, en particular el Banco Mundial (recuadro 1.1) y </w:t>
      </w:r>
      <w:r w:rsidRPr="00D470F4">
        <w:rPr>
          <w:rFonts w:ascii="Times New Roman" w:hAnsi="Times New Roman" w:cs="Times New Roman"/>
          <w:sz w:val="24"/>
          <w:szCs w:val="24"/>
          <w:lang w:val="es"/>
        </w:rPr>
        <w:t xml:space="preserve">el </w:t>
      </w:r>
      <w:r w:rsidRPr="00D470F4">
        <w:rPr>
          <w:rFonts w:ascii="Times New Roman" w:hAnsi="Times New Roman" w:cs="Times New Roman"/>
          <w:color w:val="231F20"/>
          <w:w w:val="90"/>
          <w:sz w:val="24"/>
          <w:szCs w:val="24"/>
          <w:lang w:val="es"/>
        </w:rPr>
        <w:t xml:space="preserve">Fondo Monetario Internacional, desempeñaron un papel destacado en la difusión de las ideas del mercado en todo </w:t>
      </w:r>
      <w:r w:rsidRPr="00D470F4">
        <w:rPr>
          <w:rFonts w:ascii="Times New Roman" w:hAnsi="Times New Roman" w:cs="Times New Roman"/>
          <w:color w:val="231F20"/>
          <w:spacing w:val="-2"/>
          <w:sz w:val="24"/>
          <w:szCs w:val="24"/>
          <w:lang w:val="es"/>
        </w:rPr>
        <w:t xml:space="preserve">el mundo en desarrollo. Alentaron </w:t>
      </w:r>
      <w:r w:rsidRPr="00D470F4">
        <w:rPr>
          <w:rFonts w:ascii="Times New Roman" w:hAnsi="Times New Roman" w:cs="Times New Roman"/>
          <w:color w:val="231F20"/>
          <w:w w:val="90"/>
          <w:sz w:val="24"/>
          <w:szCs w:val="24"/>
          <w:lang w:val="es"/>
        </w:rPr>
        <w:t xml:space="preserve">programas de ajuste estructural y sectorial </w:t>
      </w:r>
      <w:r w:rsidRPr="00D470F4">
        <w:rPr>
          <w:rFonts w:ascii="Times New Roman" w:hAnsi="Times New Roman" w:cs="Times New Roman"/>
          <w:color w:val="231F20"/>
          <w:sz w:val="24"/>
          <w:szCs w:val="24"/>
          <w:lang w:val="es"/>
        </w:rPr>
        <w:t xml:space="preserve">basados en políticas macroeconómicas y fiscales orientadas al mercado </w:t>
      </w:r>
      <w:r w:rsidRPr="00D470F4">
        <w:rPr>
          <w:rFonts w:ascii="Times New Roman" w:hAnsi="Times New Roman" w:cs="Times New Roman"/>
          <w:color w:val="231F20"/>
          <w:w w:val="90"/>
          <w:sz w:val="24"/>
          <w:szCs w:val="24"/>
          <w:lang w:val="es"/>
        </w:rPr>
        <w:t>(</w:t>
      </w:r>
      <w:proofErr w:type="spellStart"/>
      <w:r w:rsidRPr="00D470F4">
        <w:rPr>
          <w:rFonts w:ascii="Times New Roman" w:hAnsi="Times New Roman" w:cs="Times New Roman"/>
          <w:color w:val="231F20"/>
          <w:w w:val="90"/>
          <w:sz w:val="24"/>
          <w:szCs w:val="24"/>
          <w:lang w:val="es"/>
        </w:rPr>
        <w:t>Jayarajah</w:t>
      </w:r>
      <w:proofErr w:type="spellEnd"/>
      <w:r w:rsidRPr="00D470F4">
        <w:rPr>
          <w:rFonts w:ascii="Times New Roman" w:hAnsi="Times New Roman" w:cs="Times New Roman"/>
          <w:color w:val="231F20"/>
          <w:w w:val="90"/>
          <w:sz w:val="24"/>
          <w:szCs w:val="24"/>
          <w:lang w:val="es"/>
        </w:rPr>
        <w:t xml:space="preserve"> y Branson </w:t>
      </w:r>
      <w:r w:rsidRPr="00D470F4">
        <w:rPr>
          <w:rFonts w:ascii="Times New Roman" w:hAnsi="Times New Roman" w:cs="Times New Roman"/>
          <w:color w:val="231F20"/>
          <w:sz w:val="24"/>
          <w:szCs w:val="24"/>
          <w:lang w:val="es"/>
        </w:rPr>
        <w:t xml:space="preserve">1995). El Banco Mundial recomendó explícitamente imponer condiciones para que los gobiernos </w:t>
      </w:r>
      <w:r w:rsidRPr="00D470F4">
        <w:rPr>
          <w:rFonts w:ascii="Times New Roman" w:hAnsi="Times New Roman" w:cs="Times New Roman"/>
          <w:color w:val="231F20"/>
          <w:spacing w:val="-2"/>
          <w:sz w:val="24"/>
          <w:szCs w:val="24"/>
          <w:lang w:val="es"/>
        </w:rPr>
        <w:t xml:space="preserve">se comprometieran a realizar reformas de mercado en el </w:t>
      </w:r>
      <w:r w:rsidRPr="00D470F4">
        <w:rPr>
          <w:rFonts w:ascii="Times New Roman" w:hAnsi="Times New Roman" w:cs="Times New Roman"/>
          <w:color w:val="231F20"/>
          <w:spacing w:val="-6"/>
          <w:sz w:val="24"/>
          <w:szCs w:val="24"/>
          <w:lang w:val="es"/>
        </w:rPr>
        <w:t xml:space="preserve">sector eléctrico (Banco Mundial 1993). Otros bancos multilaterales </w:t>
      </w:r>
      <w:r w:rsidRPr="00D470F4">
        <w:rPr>
          <w:rFonts w:ascii="Times New Roman" w:hAnsi="Times New Roman" w:cs="Times New Roman"/>
          <w:color w:val="231F20"/>
          <w:sz w:val="24"/>
          <w:szCs w:val="24"/>
          <w:lang w:val="es"/>
        </w:rPr>
        <w:t xml:space="preserve">de desarrollo </w:t>
      </w:r>
      <w:r w:rsidRPr="00D470F4">
        <w:rPr>
          <w:rFonts w:ascii="Times New Roman" w:hAnsi="Times New Roman" w:cs="Times New Roman"/>
          <w:sz w:val="24"/>
          <w:szCs w:val="24"/>
          <w:lang w:val="es"/>
        </w:rPr>
        <w:t xml:space="preserve">y </w:t>
      </w:r>
      <w:r w:rsidRPr="00D470F4">
        <w:rPr>
          <w:rFonts w:ascii="Times New Roman" w:hAnsi="Times New Roman" w:cs="Times New Roman"/>
          <w:color w:val="231F20"/>
          <w:w w:val="90"/>
          <w:sz w:val="24"/>
          <w:szCs w:val="24"/>
          <w:lang w:val="es"/>
        </w:rPr>
        <w:t xml:space="preserve">donantes bilaterales adoptaron enfoques similares (Williams y </w:t>
      </w:r>
      <w:proofErr w:type="spellStart"/>
      <w:r w:rsidRPr="00D470F4">
        <w:rPr>
          <w:rFonts w:ascii="Times New Roman" w:hAnsi="Times New Roman" w:cs="Times New Roman"/>
          <w:color w:val="231F20"/>
          <w:w w:val="90"/>
          <w:sz w:val="24"/>
          <w:szCs w:val="24"/>
          <w:lang w:val="es"/>
        </w:rPr>
        <w:t>Ghanadan</w:t>
      </w:r>
      <w:proofErr w:type="spellEnd"/>
      <w:r w:rsidRPr="00D470F4">
        <w:rPr>
          <w:rFonts w:ascii="Times New Roman" w:hAnsi="Times New Roman" w:cs="Times New Roman"/>
          <w:color w:val="231F20"/>
          <w:w w:val="90"/>
          <w:sz w:val="24"/>
          <w:szCs w:val="24"/>
          <w:lang w:val="es"/>
        </w:rPr>
        <w:t xml:space="preserve"> 2006). El apoyo financiero fue acompañado por una amplia investigación, promoción, asistencia técnica</w:t>
      </w:r>
      <w:r w:rsidRPr="00D470F4">
        <w:rPr>
          <w:rFonts w:ascii="Times New Roman" w:hAnsi="Times New Roman" w:cs="Times New Roman"/>
          <w:sz w:val="24"/>
          <w:szCs w:val="24"/>
          <w:lang w:val="es"/>
        </w:rPr>
        <w:t xml:space="preserve"> y creación de capacidad</w:t>
      </w:r>
      <w:r w:rsidRPr="00D470F4">
        <w:rPr>
          <w:rFonts w:ascii="Times New Roman" w:hAnsi="Times New Roman" w:cs="Times New Roman"/>
          <w:color w:val="231F20"/>
          <w:spacing w:val="-2"/>
          <w:w w:val="90"/>
          <w:sz w:val="24"/>
          <w:szCs w:val="24"/>
          <w:lang w:val="es"/>
        </w:rPr>
        <w:t>,</w:t>
      </w:r>
      <w:r w:rsidRPr="00D470F4">
        <w:rPr>
          <w:rFonts w:ascii="Times New Roman" w:hAnsi="Times New Roman" w:cs="Times New Roman"/>
          <w:color w:val="231F20"/>
          <w:w w:val="90"/>
          <w:sz w:val="24"/>
          <w:szCs w:val="24"/>
          <w:lang w:val="es"/>
        </w:rPr>
        <w:t xml:space="preserve"> trabajando a partir del histórico Informe sobre el Desarrollo Mundial </w:t>
      </w:r>
      <w:r w:rsidRPr="00D470F4">
        <w:rPr>
          <w:rFonts w:ascii="Times New Roman" w:hAnsi="Times New Roman" w:cs="Times New Roman"/>
          <w:sz w:val="24"/>
          <w:szCs w:val="24"/>
          <w:lang w:val="es"/>
        </w:rPr>
        <w:t xml:space="preserve">de 1994 </w:t>
      </w:r>
      <w:r w:rsidRPr="00D470F4">
        <w:rPr>
          <w:rFonts w:ascii="Times New Roman" w:hAnsi="Times New Roman" w:cs="Times New Roman"/>
          <w:color w:val="231F20"/>
          <w:sz w:val="24"/>
          <w:szCs w:val="24"/>
          <w:lang w:val="es"/>
        </w:rPr>
        <w:t>(Gavin y Rodrik 1995; Banco Mundial 1994).</w:t>
      </w:r>
    </w:p>
    <w:p w14:paraId="0CF5D418" w14:textId="267FDE0A" w:rsidR="00132D23" w:rsidRPr="00D470F4" w:rsidRDefault="00132D23" w:rsidP="00132D23">
      <w:pPr>
        <w:pStyle w:val="Textoindependiente"/>
        <w:spacing w:line="480" w:lineRule="auto"/>
        <w:ind w:firstLine="239"/>
        <w:rPr>
          <w:rFonts w:ascii="Times New Roman" w:hAnsi="Times New Roman" w:cs="Times New Roman"/>
          <w:sz w:val="24"/>
          <w:szCs w:val="24"/>
        </w:rPr>
      </w:pPr>
      <w:r w:rsidRPr="00D470F4">
        <w:rPr>
          <w:rFonts w:ascii="Times New Roman" w:hAnsi="Times New Roman" w:cs="Times New Roman"/>
          <w:color w:val="231F20"/>
          <w:sz w:val="24"/>
          <w:szCs w:val="24"/>
          <w:lang w:val="es"/>
        </w:rPr>
        <w:t xml:space="preserve">Sin embargo, a principios de la década de 2000 quedó claro que la reforma del sector eléctrico no era </w:t>
      </w:r>
      <w:r w:rsidRPr="00D470F4">
        <w:rPr>
          <w:rFonts w:ascii="Times New Roman" w:hAnsi="Times New Roman" w:cs="Times New Roman"/>
          <w:color w:val="231F20"/>
          <w:w w:val="90"/>
          <w:sz w:val="24"/>
          <w:szCs w:val="24"/>
          <w:lang w:val="es"/>
        </w:rPr>
        <w:t xml:space="preserve">universalmente aplicable en el mundo en desarrollo. A pesar de la aceptación generalizada en América Latina y Europa oriental, la aplicación resultó </w:t>
      </w:r>
      <w:r w:rsidRPr="00D470F4">
        <w:rPr>
          <w:rFonts w:ascii="Times New Roman" w:hAnsi="Times New Roman" w:cs="Times New Roman"/>
          <w:color w:val="231F20"/>
          <w:sz w:val="24"/>
          <w:szCs w:val="24"/>
          <w:lang w:val="es"/>
        </w:rPr>
        <w:t xml:space="preserve">más complicada de lo previsto. </w:t>
      </w:r>
      <w:r w:rsidRPr="00D470F4">
        <w:rPr>
          <w:rFonts w:ascii="Times New Roman" w:hAnsi="Times New Roman" w:cs="Times New Roman"/>
          <w:sz w:val="24"/>
          <w:szCs w:val="24"/>
          <w:lang w:val="es"/>
        </w:rPr>
        <w:t xml:space="preserve"> </w:t>
      </w:r>
      <w:r w:rsidRPr="00D470F4">
        <w:rPr>
          <w:rFonts w:ascii="Times New Roman" w:hAnsi="Times New Roman" w:cs="Times New Roman"/>
          <w:color w:val="231F20"/>
          <w:spacing w:val="10"/>
          <w:sz w:val="24"/>
          <w:szCs w:val="24"/>
          <w:lang w:val="es"/>
        </w:rPr>
        <w:t xml:space="preserve">Las </w:t>
      </w:r>
      <w:r w:rsidRPr="00D470F4">
        <w:rPr>
          <w:rFonts w:ascii="Times New Roman" w:hAnsi="Times New Roman" w:cs="Times New Roman"/>
          <w:sz w:val="24"/>
          <w:szCs w:val="24"/>
          <w:lang w:val="es"/>
        </w:rPr>
        <w:t xml:space="preserve">reformas </w:t>
      </w:r>
      <w:r w:rsidRPr="00D470F4">
        <w:rPr>
          <w:rFonts w:ascii="Times New Roman" w:hAnsi="Times New Roman" w:cs="Times New Roman"/>
          <w:color w:val="231F20"/>
          <w:w w:val="90"/>
          <w:sz w:val="24"/>
          <w:szCs w:val="24"/>
          <w:lang w:val="es"/>
        </w:rPr>
        <w:t xml:space="preserve">requirieron muchas fases de implementación distintas </w:t>
      </w:r>
      <w:r w:rsidRPr="00D470F4">
        <w:rPr>
          <w:rFonts w:ascii="Times New Roman" w:hAnsi="Times New Roman" w:cs="Times New Roman"/>
          <w:color w:val="231F20"/>
          <w:sz w:val="24"/>
          <w:szCs w:val="24"/>
          <w:lang w:val="es"/>
        </w:rPr>
        <w:t xml:space="preserve">que a menudo </w:t>
      </w:r>
      <w:r w:rsidRPr="00D470F4">
        <w:rPr>
          <w:rFonts w:ascii="Times New Roman" w:hAnsi="Times New Roman" w:cs="Times New Roman"/>
          <w:color w:val="231F20"/>
          <w:sz w:val="24"/>
          <w:szCs w:val="24"/>
          <w:lang w:val="es"/>
        </w:rPr>
        <w:lastRenderedPageBreak/>
        <w:t xml:space="preserve">requerían reformas de segunda </w:t>
      </w:r>
      <w:r w:rsidRPr="00D470F4">
        <w:rPr>
          <w:rFonts w:ascii="Times New Roman" w:hAnsi="Times New Roman" w:cs="Times New Roman"/>
          <w:color w:val="231F20"/>
          <w:spacing w:val="-8"/>
          <w:sz w:val="24"/>
          <w:szCs w:val="24"/>
          <w:lang w:val="es"/>
        </w:rPr>
        <w:t xml:space="preserve">generación (como en Brasil y Turquía). </w:t>
      </w:r>
      <w:r w:rsidRPr="00D470F4">
        <w:rPr>
          <w:rFonts w:ascii="Times New Roman" w:hAnsi="Times New Roman" w:cs="Times New Roman"/>
          <w:sz w:val="24"/>
          <w:szCs w:val="24"/>
          <w:lang w:val="es"/>
        </w:rPr>
        <w:t xml:space="preserve"> </w:t>
      </w:r>
      <w:r w:rsidRPr="00D470F4">
        <w:rPr>
          <w:rFonts w:ascii="Times New Roman" w:hAnsi="Times New Roman" w:cs="Times New Roman"/>
          <w:color w:val="231F20"/>
          <w:w w:val="90"/>
          <w:sz w:val="24"/>
          <w:szCs w:val="24"/>
          <w:lang w:val="es"/>
        </w:rPr>
        <w:t xml:space="preserve">Además, los desafíos políticos y sociales asociados </w:t>
      </w:r>
      <w:r w:rsidRPr="00D470F4">
        <w:rPr>
          <w:rFonts w:ascii="Times New Roman" w:hAnsi="Times New Roman" w:cs="Times New Roman"/>
          <w:color w:val="231F20"/>
          <w:spacing w:val="-2"/>
          <w:w w:val="90"/>
          <w:sz w:val="24"/>
          <w:szCs w:val="24"/>
          <w:lang w:val="es"/>
        </w:rPr>
        <w:t xml:space="preserve">podrían ser significativos. A veces, las </w:t>
      </w:r>
      <w:r w:rsidRPr="00D470F4">
        <w:rPr>
          <w:rFonts w:ascii="Times New Roman" w:hAnsi="Times New Roman" w:cs="Times New Roman"/>
          <w:color w:val="231F20"/>
          <w:w w:val="90"/>
          <w:sz w:val="24"/>
          <w:szCs w:val="24"/>
          <w:lang w:val="es"/>
        </w:rPr>
        <w:t>reformas anunciadas no pudieron implementarse</w:t>
      </w:r>
      <w:r w:rsidRPr="00D470F4">
        <w:rPr>
          <w:rFonts w:ascii="Times New Roman" w:hAnsi="Times New Roman" w:cs="Times New Roman"/>
          <w:sz w:val="24"/>
          <w:szCs w:val="24"/>
          <w:lang w:val="es"/>
        </w:rPr>
        <w:t xml:space="preserve">, </w:t>
      </w:r>
      <w:r w:rsidRPr="00D470F4">
        <w:rPr>
          <w:rFonts w:ascii="Times New Roman" w:hAnsi="Times New Roman" w:cs="Times New Roman"/>
          <w:color w:val="231F20"/>
          <w:sz w:val="24"/>
          <w:szCs w:val="24"/>
          <w:lang w:val="es"/>
        </w:rPr>
        <w:t xml:space="preserve">como, por ejemplo, en el Líbano o Zambia. En </w:t>
      </w:r>
      <w:r w:rsidRPr="00D470F4">
        <w:rPr>
          <w:rFonts w:ascii="Times New Roman" w:hAnsi="Times New Roman" w:cs="Times New Roman"/>
          <w:color w:val="231F20"/>
          <w:spacing w:val="-6"/>
          <w:sz w:val="24"/>
          <w:szCs w:val="24"/>
          <w:lang w:val="es"/>
        </w:rPr>
        <w:t xml:space="preserve">otras ocasiones, las reformas se implementaron solo </w:t>
      </w:r>
      <w:r w:rsidRPr="00D470F4">
        <w:rPr>
          <w:rFonts w:ascii="Times New Roman" w:hAnsi="Times New Roman" w:cs="Times New Roman"/>
          <w:color w:val="231F20"/>
          <w:w w:val="90"/>
          <w:sz w:val="24"/>
          <w:szCs w:val="24"/>
          <w:lang w:val="es"/>
        </w:rPr>
        <w:t xml:space="preserve">para ser finalmente revertidas, como con la renacionalización </w:t>
      </w:r>
      <w:r w:rsidRPr="00D470F4">
        <w:rPr>
          <w:rFonts w:ascii="Times New Roman" w:hAnsi="Times New Roman" w:cs="Times New Roman"/>
          <w:color w:val="231F20"/>
          <w:spacing w:val="-4"/>
          <w:sz w:val="24"/>
          <w:szCs w:val="24"/>
          <w:lang w:val="es"/>
        </w:rPr>
        <w:t xml:space="preserve">de los servicios públicos privatizados en Bolivia y </w:t>
      </w:r>
      <w:r w:rsidRPr="00D470F4">
        <w:rPr>
          <w:rFonts w:ascii="Times New Roman" w:hAnsi="Times New Roman" w:cs="Times New Roman"/>
          <w:color w:val="231F20"/>
          <w:w w:val="90"/>
          <w:sz w:val="24"/>
          <w:szCs w:val="24"/>
          <w:lang w:val="es"/>
        </w:rPr>
        <w:t>Kazajstán. Muchos países en desarrollo fueron selectivos con respecto a las recomendaciones de política de la década de 1990</w:t>
      </w:r>
      <w:r w:rsidRPr="00D470F4">
        <w:rPr>
          <w:rFonts w:ascii="Times New Roman" w:hAnsi="Times New Roman" w:cs="Times New Roman"/>
          <w:color w:val="231F20"/>
          <w:sz w:val="24"/>
          <w:szCs w:val="24"/>
          <w:lang w:val="es"/>
        </w:rPr>
        <w:t xml:space="preserve">, un enfoque que produjo varios </w:t>
      </w:r>
      <w:r w:rsidRPr="00D470F4">
        <w:rPr>
          <w:rFonts w:ascii="Times New Roman" w:hAnsi="Times New Roman" w:cs="Times New Roman"/>
          <w:color w:val="231F20"/>
          <w:spacing w:val="-4"/>
          <w:sz w:val="24"/>
          <w:szCs w:val="24"/>
          <w:lang w:val="es"/>
        </w:rPr>
        <w:t>modelos y resultados híbridos (</w:t>
      </w:r>
      <w:proofErr w:type="spellStart"/>
      <w:r w:rsidRPr="00D470F4">
        <w:rPr>
          <w:rFonts w:ascii="Times New Roman" w:hAnsi="Times New Roman" w:cs="Times New Roman"/>
          <w:color w:val="231F20"/>
          <w:spacing w:val="-4"/>
          <w:sz w:val="24"/>
          <w:szCs w:val="24"/>
          <w:lang w:val="es"/>
        </w:rPr>
        <w:t>Gratwick</w:t>
      </w:r>
      <w:proofErr w:type="spellEnd"/>
      <w:r w:rsidRPr="00D470F4">
        <w:rPr>
          <w:rFonts w:ascii="Times New Roman" w:hAnsi="Times New Roman" w:cs="Times New Roman"/>
          <w:color w:val="231F20"/>
          <w:spacing w:val="-4"/>
          <w:sz w:val="24"/>
          <w:szCs w:val="24"/>
          <w:lang w:val="es"/>
        </w:rPr>
        <w:t xml:space="preserve"> y </w:t>
      </w:r>
      <w:r w:rsidRPr="00D470F4">
        <w:rPr>
          <w:rFonts w:ascii="Times New Roman" w:hAnsi="Times New Roman" w:cs="Times New Roman"/>
          <w:color w:val="231F20"/>
          <w:spacing w:val="-2"/>
          <w:sz w:val="24"/>
          <w:szCs w:val="24"/>
          <w:lang w:val="es"/>
        </w:rPr>
        <w:t xml:space="preserve">Eberhard 2008). Se hizo evidente que </w:t>
      </w:r>
      <w:r w:rsidRPr="00D470F4">
        <w:rPr>
          <w:rFonts w:ascii="Times New Roman" w:hAnsi="Times New Roman" w:cs="Times New Roman"/>
          <w:sz w:val="24"/>
          <w:szCs w:val="24"/>
          <w:lang w:val="es"/>
        </w:rPr>
        <w:t xml:space="preserve">el modelo de reforma de la </w:t>
      </w:r>
      <w:r w:rsidRPr="00D470F4">
        <w:rPr>
          <w:rFonts w:ascii="Times New Roman" w:hAnsi="Times New Roman" w:cs="Times New Roman"/>
          <w:color w:val="231F20"/>
          <w:sz w:val="24"/>
          <w:szCs w:val="24"/>
          <w:lang w:val="es"/>
        </w:rPr>
        <w:t xml:space="preserve">década de 1990 se había desarrollado </w:t>
      </w:r>
      <w:r w:rsidRPr="00D470F4">
        <w:rPr>
          <w:rFonts w:ascii="Times New Roman" w:hAnsi="Times New Roman" w:cs="Times New Roman"/>
          <w:sz w:val="24"/>
          <w:szCs w:val="24"/>
          <w:lang w:val="es"/>
        </w:rPr>
        <w:t xml:space="preserve">en </w:t>
      </w:r>
      <w:r w:rsidRPr="00D470F4">
        <w:rPr>
          <w:rFonts w:ascii="Times New Roman" w:hAnsi="Times New Roman" w:cs="Times New Roman"/>
          <w:color w:val="231F20"/>
          <w:spacing w:val="-6"/>
          <w:sz w:val="24"/>
          <w:szCs w:val="24"/>
          <w:lang w:val="es"/>
        </w:rPr>
        <w:t xml:space="preserve">gran medida en el contexto de los países miembros de la Organización para la Cooperación </w:t>
      </w:r>
      <w:r w:rsidRPr="00D470F4">
        <w:rPr>
          <w:rFonts w:ascii="Times New Roman" w:hAnsi="Times New Roman" w:cs="Times New Roman"/>
          <w:sz w:val="24"/>
          <w:szCs w:val="24"/>
          <w:lang w:val="es"/>
        </w:rPr>
        <w:t xml:space="preserve">y el </w:t>
      </w:r>
      <w:r w:rsidRPr="00D470F4">
        <w:rPr>
          <w:rFonts w:ascii="Times New Roman" w:hAnsi="Times New Roman" w:cs="Times New Roman"/>
          <w:color w:val="231F20"/>
          <w:spacing w:val="-4"/>
          <w:sz w:val="24"/>
          <w:szCs w:val="24"/>
          <w:lang w:val="es"/>
        </w:rPr>
        <w:t xml:space="preserve">Desarrollo Económicos (OCDE), donde, </w:t>
      </w:r>
      <w:proofErr w:type="gramStart"/>
      <w:r w:rsidRPr="00D470F4">
        <w:rPr>
          <w:rFonts w:ascii="Times New Roman" w:hAnsi="Times New Roman" w:cs="Times New Roman"/>
          <w:color w:val="231F20"/>
          <w:spacing w:val="-4"/>
          <w:sz w:val="24"/>
          <w:szCs w:val="24"/>
          <w:lang w:val="es"/>
        </w:rPr>
        <w:t xml:space="preserve">con </w:t>
      </w:r>
      <w:r w:rsidRPr="00D470F4">
        <w:rPr>
          <w:rFonts w:ascii="Times New Roman" w:hAnsi="Times New Roman" w:cs="Times New Roman"/>
          <w:sz w:val="24"/>
          <w:szCs w:val="24"/>
          <w:lang w:val="es"/>
        </w:rPr>
        <w:t xml:space="preserve"> el</w:t>
      </w:r>
      <w:proofErr w:type="gramEnd"/>
      <w:r w:rsidRPr="00D470F4">
        <w:rPr>
          <w:rFonts w:ascii="Times New Roman" w:hAnsi="Times New Roman" w:cs="Times New Roman"/>
          <w:sz w:val="24"/>
          <w:szCs w:val="24"/>
          <w:lang w:val="es"/>
        </w:rPr>
        <w:t xml:space="preserve"> </w:t>
      </w:r>
      <w:r w:rsidRPr="00D470F4">
        <w:rPr>
          <w:rFonts w:ascii="Times New Roman" w:hAnsi="Times New Roman" w:cs="Times New Roman"/>
          <w:color w:val="231F20"/>
          <w:w w:val="90"/>
          <w:sz w:val="24"/>
          <w:szCs w:val="24"/>
          <w:lang w:val="es"/>
        </w:rPr>
        <w:t>acceso universal logrado y la demanda estancada, el aumento de la eficiencia era la principal</w:t>
      </w:r>
      <w:r w:rsidRPr="00D470F4">
        <w:rPr>
          <w:rFonts w:ascii="Times New Roman" w:hAnsi="Times New Roman" w:cs="Times New Roman"/>
          <w:color w:val="231F20"/>
          <w:spacing w:val="-2"/>
          <w:w w:val="90"/>
          <w:sz w:val="24"/>
          <w:szCs w:val="24"/>
          <w:lang w:val="es"/>
        </w:rPr>
        <w:t xml:space="preserve"> preocupación.</w:t>
      </w:r>
      <w:r w:rsidRPr="00D470F4">
        <w:rPr>
          <w:rFonts w:ascii="Times New Roman" w:hAnsi="Times New Roman" w:cs="Times New Roman"/>
          <w:sz w:val="24"/>
          <w:szCs w:val="24"/>
        </w:rPr>
        <w:t xml:space="preserve"> </w:t>
      </w:r>
      <w:r w:rsidRPr="00D470F4">
        <w:rPr>
          <w:rFonts w:ascii="Times New Roman" w:hAnsi="Times New Roman" w:cs="Times New Roman"/>
          <w:color w:val="231F20"/>
          <w:spacing w:val="-10"/>
          <w:sz w:val="24"/>
          <w:szCs w:val="24"/>
          <w:lang w:val="es"/>
        </w:rPr>
        <w:t xml:space="preserve">Como resultado, el modelo no prestó atención a los objetivos de </w:t>
      </w:r>
      <w:r w:rsidRPr="00D470F4">
        <w:rPr>
          <w:rFonts w:ascii="Times New Roman" w:hAnsi="Times New Roman" w:cs="Times New Roman"/>
          <w:color w:val="231F20"/>
          <w:spacing w:val="-2"/>
          <w:sz w:val="24"/>
          <w:szCs w:val="24"/>
          <w:lang w:val="es"/>
        </w:rPr>
        <w:t>política más críticos para los países en desarrollo</w:t>
      </w:r>
      <w:r w:rsidRPr="00D470F4">
        <w:rPr>
          <w:rFonts w:ascii="Times New Roman" w:hAnsi="Times New Roman" w:cs="Times New Roman"/>
          <w:color w:val="231F20"/>
          <w:w w:val="90"/>
          <w:sz w:val="24"/>
          <w:szCs w:val="24"/>
          <w:lang w:val="es"/>
        </w:rPr>
        <w:t xml:space="preserve">, a saber, satisfacer la creciente demanda </w:t>
      </w:r>
      <w:r w:rsidRPr="00D470F4">
        <w:rPr>
          <w:rFonts w:ascii="Times New Roman" w:hAnsi="Times New Roman" w:cs="Times New Roman"/>
          <w:sz w:val="24"/>
          <w:szCs w:val="24"/>
          <w:lang w:val="es"/>
        </w:rPr>
        <w:t xml:space="preserve">de </w:t>
      </w:r>
      <w:r w:rsidRPr="00D470F4">
        <w:rPr>
          <w:rFonts w:ascii="Times New Roman" w:hAnsi="Times New Roman" w:cs="Times New Roman"/>
          <w:color w:val="231F20"/>
          <w:spacing w:val="-4"/>
          <w:sz w:val="24"/>
          <w:szCs w:val="24"/>
          <w:lang w:val="es"/>
        </w:rPr>
        <w:t>electricidad y completar el proceso de electrificación</w:t>
      </w:r>
      <w:r w:rsidRPr="00D470F4">
        <w:rPr>
          <w:rFonts w:ascii="Times New Roman" w:hAnsi="Times New Roman" w:cs="Times New Roman"/>
          <w:color w:val="231F20"/>
          <w:sz w:val="24"/>
          <w:szCs w:val="24"/>
          <w:lang w:val="es"/>
        </w:rPr>
        <w:t>.</w:t>
      </w:r>
    </w:p>
    <w:p w14:paraId="4DD665D9" w14:textId="574A35B3" w:rsidR="00132D23" w:rsidRPr="00D470F4" w:rsidRDefault="00132D23" w:rsidP="00132D23">
      <w:pPr>
        <w:pStyle w:val="Textoindependiente"/>
        <w:spacing w:line="480" w:lineRule="auto"/>
        <w:ind w:firstLine="239"/>
        <w:rPr>
          <w:rFonts w:ascii="Times New Roman" w:hAnsi="Times New Roman" w:cs="Times New Roman"/>
          <w:sz w:val="24"/>
          <w:szCs w:val="24"/>
        </w:rPr>
      </w:pPr>
      <w:r w:rsidRPr="00D470F4">
        <w:rPr>
          <w:rFonts w:ascii="Times New Roman" w:hAnsi="Times New Roman" w:cs="Times New Roman"/>
          <w:color w:val="231F20"/>
          <w:sz w:val="24"/>
          <w:szCs w:val="24"/>
          <w:lang w:val="es"/>
        </w:rPr>
        <w:t xml:space="preserve">Desde entonces, los objetivos de política del sector eléctrico </w:t>
      </w:r>
      <w:r w:rsidRPr="00D470F4">
        <w:rPr>
          <w:rFonts w:ascii="Times New Roman" w:hAnsi="Times New Roman" w:cs="Times New Roman"/>
          <w:color w:val="231F20"/>
          <w:spacing w:val="-4"/>
          <w:sz w:val="24"/>
          <w:szCs w:val="24"/>
          <w:lang w:val="es"/>
        </w:rPr>
        <w:t xml:space="preserve">han evolucionado y se han ampliado para abarcar </w:t>
      </w:r>
      <w:r w:rsidRPr="00D470F4">
        <w:rPr>
          <w:rFonts w:ascii="Times New Roman" w:hAnsi="Times New Roman" w:cs="Times New Roman"/>
          <w:color w:val="231F20"/>
          <w:sz w:val="24"/>
          <w:szCs w:val="24"/>
          <w:lang w:val="es"/>
        </w:rPr>
        <w:t xml:space="preserve">las preocupaciones ambientales y sociales. El cambio climático surgió como una preocupación mundial importante </w:t>
      </w:r>
      <w:r w:rsidRPr="00D470F4">
        <w:rPr>
          <w:rFonts w:ascii="Times New Roman" w:hAnsi="Times New Roman" w:cs="Times New Roman"/>
          <w:color w:val="231F20"/>
          <w:spacing w:val="-4"/>
          <w:sz w:val="24"/>
          <w:szCs w:val="24"/>
          <w:lang w:val="es"/>
        </w:rPr>
        <w:t xml:space="preserve">en la década de 2000, con la necesidad concomitante </w:t>
      </w:r>
      <w:r w:rsidRPr="00D470F4">
        <w:rPr>
          <w:rFonts w:ascii="Times New Roman" w:hAnsi="Times New Roman" w:cs="Times New Roman"/>
          <w:color w:val="231F20"/>
          <w:spacing w:val="-2"/>
          <w:sz w:val="24"/>
          <w:szCs w:val="24"/>
          <w:lang w:val="es"/>
        </w:rPr>
        <w:t xml:space="preserve">de descarbonizar el sector energético. Esta </w:t>
      </w:r>
      <w:r w:rsidRPr="00D470F4">
        <w:rPr>
          <w:rFonts w:ascii="Times New Roman" w:hAnsi="Times New Roman" w:cs="Times New Roman"/>
          <w:color w:val="231F20"/>
          <w:spacing w:val="-4"/>
          <w:sz w:val="24"/>
          <w:szCs w:val="24"/>
          <w:lang w:val="es"/>
        </w:rPr>
        <w:t xml:space="preserve">necesidad dio lugar a amplias intervenciones de política pública </w:t>
      </w:r>
      <w:r w:rsidRPr="00D470F4">
        <w:rPr>
          <w:rFonts w:ascii="Times New Roman" w:hAnsi="Times New Roman" w:cs="Times New Roman"/>
          <w:sz w:val="24"/>
          <w:szCs w:val="24"/>
          <w:lang w:val="es"/>
        </w:rPr>
        <w:t xml:space="preserve">que </w:t>
      </w:r>
      <w:r w:rsidRPr="00D470F4">
        <w:rPr>
          <w:rFonts w:ascii="Times New Roman" w:hAnsi="Times New Roman" w:cs="Times New Roman"/>
          <w:color w:val="231F20"/>
          <w:spacing w:val="15"/>
          <w:sz w:val="24"/>
          <w:szCs w:val="24"/>
          <w:lang w:val="es"/>
        </w:rPr>
        <w:t xml:space="preserve">promovían </w:t>
      </w:r>
      <w:r w:rsidRPr="00D470F4">
        <w:rPr>
          <w:rFonts w:ascii="Times New Roman" w:hAnsi="Times New Roman" w:cs="Times New Roman"/>
          <w:sz w:val="24"/>
          <w:szCs w:val="24"/>
          <w:lang w:val="es"/>
        </w:rPr>
        <w:t xml:space="preserve">la </w:t>
      </w:r>
      <w:r w:rsidRPr="00D470F4">
        <w:rPr>
          <w:rFonts w:ascii="Times New Roman" w:hAnsi="Times New Roman" w:cs="Times New Roman"/>
          <w:color w:val="231F20"/>
          <w:spacing w:val="17"/>
          <w:sz w:val="24"/>
          <w:szCs w:val="24"/>
          <w:lang w:val="es"/>
        </w:rPr>
        <w:t>ampliación</w:t>
      </w:r>
      <w:r w:rsidRPr="00D470F4">
        <w:rPr>
          <w:rFonts w:ascii="Times New Roman" w:hAnsi="Times New Roman" w:cs="Times New Roman"/>
          <w:sz w:val="24"/>
          <w:szCs w:val="24"/>
          <w:lang w:val="es"/>
        </w:rPr>
        <w:t xml:space="preserve"> de </w:t>
      </w:r>
      <w:r w:rsidRPr="00D470F4">
        <w:rPr>
          <w:rFonts w:ascii="Times New Roman" w:hAnsi="Times New Roman" w:cs="Times New Roman"/>
          <w:color w:val="231F20"/>
          <w:spacing w:val="11"/>
          <w:sz w:val="24"/>
          <w:szCs w:val="24"/>
          <w:lang w:val="es"/>
        </w:rPr>
        <w:t xml:space="preserve">las </w:t>
      </w:r>
      <w:proofErr w:type="gramStart"/>
      <w:r w:rsidRPr="00D470F4">
        <w:rPr>
          <w:rFonts w:ascii="Times New Roman" w:hAnsi="Times New Roman" w:cs="Times New Roman"/>
          <w:color w:val="231F20"/>
          <w:spacing w:val="11"/>
          <w:sz w:val="24"/>
          <w:szCs w:val="24"/>
          <w:lang w:val="es"/>
        </w:rPr>
        <w:t xml:space="preserve">nuevas </w:t>
      </w:r>
      <w:r w:rsidRPr="00D470F4">
        <w:rPr>
          <w:rFonts w:ascii="Times New Roman" w:hAnsi="Times New Roman" w:cs="Times New Roman"/>
          <w:sz w:val="24"/>
          <w:szCs w:val="24"/>
          <w:lang w:val="es"/>
        </w:rPr>
        <w:t xml:space="preserve"> tecnologías</w:t>
      </w:r>
      <w:proofErr w:type="gramEnd"/>
      <w:r w:rsidRPr="00D470F4">
        <w:rPr>
          <w:rFonts w:ascii="Times New Roman" w:hAnsi="Times New Roman" w:cs="Times New Roman"/>
          <w:sz w:val="24"/>
          <w:szCs w:val="24"/>
          <w:lang w:val="es"/>
        </w:rPr>
        <w:t xml:space="preserve"> </w:t>
      </w:r>
      <w:r w:rsidRPr="00D470F4">
        <w:rPr>
          <w:rFonts w:ascii="Times New Roman" w:hAnsi="Times New Roman" w:cs="Times New Roman"/>
          <w:color w:val="231F20"/>
          <w:sz w:val="24"/>
          <w:szCs w:val="24"/>
          <w:lang w:val="es"/>
        </w:rPr>
        <w:t xml:space="preserve">de energía renovable, al tiempo que proporcionaban mayores incentivos para </w:t>
      </w:r>
      <w:r w:rsidRPr="00D470F4">
        <w:rPr>
          <w:rFonts w:ascii="Times New Roman" w:hAnsi="Times New Roman" w:cs="Times New Roman"/>
          <w:color w:val="231F20"/>
          <w:spacing w:val="11"/>
          <w:sz w:val="24"/>
          <w:szCs w:val="24"/>
          <w:lang w:val="es"/>
        </w:rPr>
        <w:t xml:space="preserve">la </w:t>
      </w:r>
      <w:r w:rsidRPr="00D470F4">
        <w:rPr>
          <w:rFonts w:ascii="Times New Roman" w:hAnsi="Times New Roman" w:cs="Times New Roman"/>
          <w:sz w:val="24"/>
          <w:szCs w:val="24"/>
          <w:lang w:val="es"/>
        </w:rPr>
        <w:t xml:space="preserve"> eficiencia </w:t>
      </w:r>
      <w:r w:rsidRPr="00D470F4">
        <w:rPr>
          <w:rFonts w:ascii="Times New Roman" w:hAnsi="Times New Roman" w:cs="Times New Roman"/>
          <w:color w:val="231F20"/>
          <w:spacing w:val="10"/>
          <w:sz w:val="24"/>
          <w:szCs w:val="24"/>
          <w:lang w:val="es"/>
        </w:rPr>
        <w:t>energética</w:t>
      </w:r>
      <w:r w:rsidRPr="00D470F4">
        <w:rPr>
          <w:rFonts w:ascii="Times New Roman" w:hAnsi="Times New Roman" w:cs="Times New Roman"/>
          <w:color w:val="231F20"/>
          <w:sz w:val="24"/>
          <w:szCs w:val="24"/>
          <w:lang w:val="es"/>
        </w:rPr>
        <w:t xml:space="preserve">. El debate sobre el cambio climático también </w:t>
      </w:r>
      <w:r w:rsidRPr="00D470F4">
        <w:rPr>
          <w:rFonts w:ascii="Times New Roman" w:hAnsi="Times New Roman" w:cs="Times New Roman"/>
          <w:color w:val="231F20"/>
          <w:w w:val="90"/>
          <w:sz w:val="24"/>
          <w:szCs w:val="24"/>
          <w:lang w:val="es"/>
        </w:rPr>
        <w:t xml:space="preserve">puso de manifiesto la necesidad de equilibrar la acción ambiental con los objetivos sociales. Este imperativo </w:t>
      </w:r>
      <w:r w:rsidRPr="00D470F4">
        <w:rPr>
          <w:rFonts w:ascii="Times New Roman" w:hAnsi="Times New Roman" w:cs="Times New Roman"/>
          <w:color w:val="231F20"/>
          <w:spacing w:val="10"/>
          <w:sz w:val="24"/>
          <w:szCs w:val="24"/>
          <w:lang w:val="es"/>
        </w:rPr>
        <w:t>se</w:t>
      </w:r>
      <w:r w:rsidRPr="00D470F4">
        <w:rPr>
          <w:rFonts w:ascii="Times New Roman" w:hAnsi="Times New Roman" w:cs="Times New Roman"/>
          <w:color w:val="231F20"/>
          <w:spacing w:val="13"/>
          <w:sz w:val="24"/>
          <w:szCs w:val="24"/>
          <w:lang w:val="es"/>
        </w:rPr>
        <w:t xml:space="preserve"> consagró</w:t>
      </w:r>
      <w:r w:rsidRPr="00D470F4">
        <w:rPr>
          <w:rFonts w:ascii="Times New Roman" w:hAnsi="Times New Roman" w:cs="Times New Roman"/>
          <w:color w:val="231F20"/>
          <w:sz w:val="24"/>
          <w:szCs w:val="24"/>
          <w:lang w:val="es"/>
        </w:rPr>
        <w:t xml:space="preserve"> en</w:t>
      </w:r>
      <w:r w:rsidRPr="00D470F4">
        <w:rPr>
          <w:rFonts w:ascii="Times New Roman" w:hAnsi="Times New Roman" w:cs="Times New Roman"/>
          <w:color w:val="231F20"/>
          <w:spacing w:val="11"/>
          <w:sz w:val="24"/>
          <w:szCs w:val="24"/>
          <w:lang w:val="es"/>
        </w:rPr>
        <w:t xml:space="preserve"> 2015</w:t>
      </w:r>
      <w:r w:rsidRPr="00D470F4">
        <w:rPr>
          <w:rFonts w:ascii="Times New Roman" w:hAnsi="Times New Roman" w:cs="Times New Roman"/>
          <w:color w:val="231F20"/>
          <w:sz w:val="24"/>
          <w:szCs w:val="24"/>
          <w:lang w:val="es"/>
        </w:rPr>
        <w:t xml:space="preserve"> como</w:t>
      </w:r>
      <w:r w:rsidRPr="00D470F4">
        <w:rPr>
          <w:rFonts w:ascii="Times New Roman" w:hAnsi="Times New Roman" w:cs="Times New Roman"/>
          <w:color w:val="231F20"/>
          <w:spacing w:val="15"/>
          <w:sz w:val="24"/>
          <w:szCs w:val="24"/>
          <w:lang w:val="es"/>
        </w:rPr>
        <w:t xml:space="preserve"> </w:t>
      </w:r>
      <w:r w:rsidRPr="00D470F4">
        <w:rPr>
          <w:rFonts w:ascii="Times New Roman" w:hAnsi="Times New Roman" w:cs="Times New Roman"/>
          <w:sz w:val="24"/>
          <w:szCs w:val="24"/>
          <w:lang w:val="es"/>
        </w:rPr>
        <w:t xml:space="preserve">el Objetivo </w:t>
      </w:r>
      <w:r w:rsidRPr="00D470F4">
        <w:rPr>
          <w:rFonts w:ascii="Times New Roman" w:hAnsi="Times New Roman" w:cs="Times New Roman"/>
          <w:color w:val="231F20"/>
          <w:spacing w:val="10"/>
          <w:sz w:val="24"/>
          <w:szCs w:val="24"/>
          <w:lang w:val="es"/>
        </w:rPr>
        <w:t>de Desarrollo</w:t>
      </w:r>
      <w:r w:rsidRPr="00D470F4">
        <w:rPr>
          <w:rFonts w:ascii="Times New Roman" w:hAnsi="Times New Roman" w:cs="Times New Roman"/>
          <w:color w:val="231F20"/>
          <w:sz w:val="24"/>
          <w:szCs w:val="24"/>
          <w:lang w:val="es"/>
        </w:rPr>
        <w:t xml:space="preserve"> Sostenible (ODS)</w:t>
      </w:r>
      <w:r w:rsidRPr="00D470F4">
        <w:rPr>
          <w:rFonts w:ascii="Times New Roman" w:hAnsi="Times New Roman" w:cs="Times New Roman"/>
          <w:sz w:val="24"/>
          <w:szCs w:val="24"/>
          <w:lang w:val="es"/>
        </w:rPr>
        <w:t xml:space="preserve">, </w:t>
      </w:r>
      <w:proofErr w:type="gramStart"/>
      <w:r w:rsidRPr="00D470F4">
        <w:rPr>
          <w:rFonts w:ascii="Times New Roman" w:hAnsi="Times New Roman" w:cs="Times New Roman"/>
          <w:color w:val="231F20"/>
          <w:spacing w:val="11"/>
          <w:sz w:val="24"/>
          <w:szCs w:val="24"/>
          <w:lang w:val="es"/>
        </w:rPr>
        <w:t xml:space="preserve">comprometiendo </w:t>
      </w:r>
      <w:r w:rsidRPr="00D470F4">
        <w:rPr>
          <w:rFonts w:ascii="Times New Roman" w:hAnsi="Times New Roman" w:cs="Times New Roman"/>
          <w:sz w:val="24"/>
          <w:szCs w:val="24"/>
          <w:lang w:val="es"/>
        </w:rPr>
        <w:t xml:space="preserve"> a</w:t>
      </w:r>
      <w:proofErr w:type="gramEnd"/>
      <w:r w:rsidRPr="00D470F4">
        <w:rPr>
          <w:rFonts w:ascii="Times New Roman" w:hAnsi="Times New Roman" w:cs="Times New Roman"/>
          <w:sz w:val="24"/>
          <w:szCs w:val="24"/>
          <w:lang w:val="es"/>
        </w:rPr>
        <w:t xml:space="preserve"> </w:t>
      </w:r>
      <w:r w:rsidRPr="00D470F4">
        <w:rPr>
          <w:rFonts w:ascii="Times New Roman" w:hAnsi="Times New Roman" w:cs="Times New Roman"/>
          <w:color w:val="231F20"/>
          <w:w w:val="90"/>
          <w:sz w:val="24"/>
          <w:szCs w:val="24"/>
          <w:lang w:val="es"/>
        </w:rPr>
        <w:t xml:space="preserve">las instituciones financieras internacionales a un acceso universal a </w:t>
      </w:r>
      <w:r w:rsidRPr="00D470F4">
        <w:rPr>
          <w:rFonts w:ascii="Times New Roman" w:hAnsi="Times New Roman" w:cs="Times New Roman"/>
          <w:color w:val="231F20"/>
          <w:spacing w:val="-2"/>
          <w:sz w:val="24"/>
          <w:szCs w:val="24"/>
          <w:lang w:val="es"/>
        </w:rPr>
        <w:t xml:space="preserve">la energía moderna, asequible, </w:t>
      </w:r>
      <w:r w:rsidRPr="00D470F4">
        <w:rPr>
          <w:rFonts w:ascii="Times New Roman" w:hAnsi="Times New Roman" w:cs="Times New Roman"/>
          <w:color w:val="231F20"/>
          <w:sz w:val="24"/>
          <w:szCs w:val="24"/>
          <w:lang w:val="es"/>
        </w:rPr>
        <w:t xml:space="preserve">confiable y sostenible. Sin embargo, </w:t>
      </w:r>
      <w:r w:rsidRPr="00D470F4">
        <w:rPr>
          <w:rFonts w:ascii="Times New Roman" w:hAnsi="Times New Roman" w:cs="Times New Roman"/>
          <w:color w:val="231F20"/>
          <w:spacing w:val="10"/>
          <w:sz w:val="24"/>
          <w:szCs w:val="24"/>
          <w:lang w:val="es"/>
        </w:rPr>
        <w:t xml:space="preserve">unos </w:t>
      </w:r>
      <w:r w:rsidRPr="00D470F4">
        <w:rPr>
          <w:rFonts w:ascii="Times New Roman" w:hAnsi="Times New Roman" w:cs="Times New Roman"/>
          <w:color w:val="231F20"/>
          <w:sz w:val="24"/>
          <w:szCs w:val="24"/>
          <w:lang w:val="es"/>
        </w:rPr>
        <w:t xml:space="preserve">1.000 millones de personas en el mundo siguen viviendo sin acceso a la electricidad (AIE </w:t>
      </w:r>
      <w:r w:rsidRPr="00D470F4">
        <w:rPr>
          <w:rFonts w:ascii="Times New Roman" w:hAnsi="Times New Roman" w:cs="Times New Roman"/>
          <w:sz w:val="24"/>
          <w:szCs w:val="24"/>
          <w:lang w:val="es"/>
        </w:rPr>
        <w:t xml:space="preserve">y </w:t>
      </w:r>
      <w:r w:rsidRPr="00D470F4">
        <w:rPr>
          <w:rFonts w:ascii="Times New Roman" w:hAnsi="Times New Roman" w:cs="Times New Roman"/>
          <w:color w:val="231F20"/>
          <w:spacing w:val="-4"/>
          <w:sz w:val="24"/>
          <w:szCs w:val="24"/>
          <w:lang w:val="es"/>
        </w:rPr>
        <w:t xml:space="preserve">otros 2018), y </w:t>
      </w:r>
      <w:r w:rsidRPr="00D470F4">
        <w:rPr>
          <w:rFonts w:ascii="Times New Roman" w:hAnsi="Times New Roman" w:cs="Times New Roman"/>
          <w:color w:val="231F20"/>
          <w:spacing w:val="-4"/>
          <w:sz w:val="24"/>
          <w:szCs w:val="24"/>
          <w:lang w:val="es"/>
        </w:rPr>
        <w:lastRenderedPageBreak/>
        <w:t xml:space="preserve">muchos más se conforman </w:t>
      </w:r>
      <w:proofErr w:type="gramStart"/>
      <w:r w:rsidRPr="00D470F4">
        <w:rPr>
          <w:rFonts w:ascii="Times New Roman" w:hAnsi="Times New Roman" w:cs="Times New Roman"/>
          <w:color w:val="231F20"/>
          <w:spacing w:val="-4"/>
          <w:sz w:val="24"/>
          <w:szCs w:val="24"/>
          <w:lang w:val="es"/>
        </w:rPr>
        <w:t xml:space="preserve">con </w:t>
      </w:r>
      <w:r w:rsidRPr="00D470F4">
        <w:rPr>
          <w:rFonts w:ascii="Times New Roman" w:hAnsi="Times New Roman" w:cs="Times New Roman"/>
          <w:sz w:val="24"/>
          <w:szCs w:val="24"/>
          <w:lang w:val="es"/>
        </w:rPr>
        <w:t xml:space="preserve"> un</w:t>
      </w:r>
      <w:proofErr w:type="gramEnd"/>
      <w:r w:rsidRPr="00D470F4">
        <w:rPr>
          <w:rFonts w:ascii="Times New Roman" w:hAnsi="Times New Roman" w:cs="Times New Roman"/>
          <w:sz w:val="24"/>
          <w:szCs w:val="24"/>
          <w:lang w:val="es"/>
        </w:rPr>
        <w:t xml:space="preserve"> </w:t>
      </w:r>
      <w:r w:rsidRPr="00D470F4">
        <w:rPr>
          <w:rFonts w:ascii="Times New Roman" w:hAnsi="Times New Roman" w:cs="Times New Roman"/>
          <w:color w:val="231F20"/>
          <w:w w:val="90"/>
          <w:sz w:val="24"/>
          <w:szCs w:val="24"/>
          <w:lang w:val="es"/>
        </w:rPr>
        <w:t>suministro inadecuado y poco fiable. Estos objetivos medioambientales y sociales clave</w:t>
      </w:r>
      <w:r w:rsidRPr="00D470F4">
        <w:rPr>
          <w:rFonts w:ascii="Times New Roman" w:hAnsi="Times New Roman" w:cs="Times New Roman"/>
          <w:color w:val="231F20"/>
          <w:spacing w:val="-5"/>
          <w:w w:val="90"/>
          <w:sz w:val="24"/>
          <w:szCs w:val="24"/>
          <w:lang w:val="es"/>
        </w:rPr>
        <w:t xml:space="preserve"> no</w:t>
      </w:r>
      <w:r w:rsidRPr="00D470F4">
        <w:rPr>
          <w:rFonts w:ascii="Times New Roman" w:hAnsi="Times New Roman" w:cs="Times New Roman"/>
          <w:color w:val="231F20"/>
          <w:w w:val="90"/>
          <w:sz w:val="24"/>
          <w:szCs w:val="24"/>
          <w:lang w:val="es"/>
        </w:rPr>
        <w:t xml:space="preserve"> figuraban en el paradigma de la década de 1990 de la reforma del sector del poder</w:t>
      </w:r>
      <w:r w:rsidRPr="00D470F4">
        <w:rPr>
          <w:rFonts w:ascii="Times New Roman" w:hAnsi="Times New Roman" w:cs="Times New Roman"/>
          <w:color w:val="231F20"/>
          <w:sz w:val="24"/>
          <w:szCs w:val="24"/>
          <w:lang w:val="es"/>
        </w:rPr>
        <w:t>.</w:t>
      </w:r>
    </w:p>
    <w:p w14:paraId="350E25F7" w14:textId="674930AC" w:rsidR="00132D23" w:rsidRPr="00D470F4" w:rsidRDefault="00132D23" w:rsidP="00132D23">
      <w:pPr>
        <w:pStyle w:val="Textoindependiente"/>
        <w:spacing w:line="480" w:lineRule="auto"/>
        <w:ind w:firstLine="239"/>
        <w:rPr>
          <w:rFonts w:ascii="Times New Roman" w:hAnsi="Times New Roman" w:cs="Times New Roman"/>
          <w:sz w:val="24"/>
          <w:szCs w:val="24"/>
        </w:rPr>
      </w:pPr>
      <w:r w:rsidRPr="00D470F4">
        <w:rPr>
          <w:rFonts w:ascii="Times New Roman" w:hAnsi="Times New Roman" w:cs="Times New Roman"/>
          <w:color w:val="231F20"/>
          <w:spacing w:val="-6"/>
          <w:sz w:val="24"/>
          <w:szCs w:val="24"/>
          <w:lang w:val="es"/>
        </w:rPr>
        <w:t xml:space="preserve">Más recientemente, el sector eléctrico se ha enfrentado </w:t>
      </w:r>
      <w:r w:rsidRPr="00D470F4">
        <w:rPr>
          <w:rFonts w:ascii="Times New Roman" w:hAnsi="Times New Roman" w:cs="Times New Roman"/>
          <w:color w:val="231F20"/>
          <w:spacing w:val="-4"/>
          <w:sz w:val="24"/>
          <w:szCs w:val="24"/>
          <w:lang w:val="es"/>
        </w:rPr>
        <w:t xml:space="preserve">a profundos cambios tecnológicos. La caída en picado del coste de la energía solar fotovoltaica y </w:t>
      </w:r>
      <w:r w:rsidRPr="00D470F4">
        <w:rPr>
          <w:rFonts w:ascii="Times New Roman" w:hAnsi="Times New Roman" w:cs="Times New Roman"/>
          <w:sz w:val="24"/>
          <w:szCs w:val="24"/>
          <w:lang w:val="es"/>
        </w:rPr>
        <w:t xml:space="preserve">los </w:t>
      </w:r>
      <w:r w:rsidRPr="00D470F4">
        <w:rPr>
          <w:rFonts w:ascii="Times New Roman" w:hAnsi="Times New Roman" w:cs="Times New Roman"/>
          <w:color w:val="231F20"/>
          <w:spacing w:val="-2"/>
          <w:sz w:val="24"/>
          <w:szCs w:val="24"/>
          <w:lang w:val="es"/>
        </w:rPr>
        <w:t>nuevos desarrollos en el almacenamiento de baterías</w:t>
      </w:r>
      <w:r w:rsidRPr="00D470F4">
        <w:rPr>
          <w:rFonts w:ascii="Times New Roman" w:hAnsi="Times New Roman" w:cs="Times New Roman"/>
          <w:sz w:val="24"/>
          <w:szCs w:val="24"/>
          <w:lang w:val="es"/>
        </w:rPr>
        <w:t xml:space="preserve">, </w:t>
      </w:r>
      <w:r w:rsidRPr="00D470F4">
        <w:rPr>
          <w:rFonts w:ascii="Times New Roman" w:hAnsi="Times New Roman" w:cs="Times New Roman"/>
          <w:color w:val="231F20"/>
          <w:spacing w:val="-2"/>
          <w:sz w:val="24"/>
          <w:szCs w:val="24"/>
          <w:lang w:val="es"/>
        </w:rPr>
        <w:t>combinados</w:t>
      </w:r>
      <w:r w:rsidRPr="00D470F4">
        <w:rPr>
          <w:rFonts w:ascii="Times New Roman" w:hAnsi="Times New Roman" w:cs="Times New Roman"/>
          <w:sz w:val="24"/>
          <w:szCs w:val="24"/>
          <w:lang w:val="es"/>
        </w:rPr>
        <w:t xml:space="preserve"> con</w:t>
      </w:r>
      <w:r w:rsidRPr="00D470F4">
        <w:rPr>
          <w:rFonts w:ascii="Times New Roman" w:hAnsi="Times New Roman" w:cs="Times New Roman"/>
          <w:color w:val="231F20"/>
          <w:w w:val="90"/>
          <w:sz w:val="24"/>
          <w:szCs w:val="24"/>
          <w:lang w:val="es"/>
        </w:rPr>
        <w:t xml:space="preserve"> las redes eléctricas digitalizadas, están creando posibilidades para la descentralización de los servicios energéticos, con energía proporcionada por una variedad más amplia de actores</w:t>
      </w:r>
      <w:r w:rsidRPr="00D470F4">
        <w:rPr>
          <w:rFonts w:ascii="Times New Roman" w:hAnsi="Times New Roman" w:cs="Times New Roman"/>
          <w:color w:val="231F20"/>
          <w:spacing w:val="-4"/>
          <w:sz w:val="24"/>
          <w:szCs w:val="24"/>
          <w:lang w:val="es"/>
        </w:rPr>
        <w:t xml:space="preserve">. Estas tendencias tecnológicas están alterando los mercados fronterizos donde algunos incluso están cuestionando </w:t>
      </w:r>
      <w:r w:rsidRPr="00D470F4">
        <w:rPr>
          <w:rFonts w:ascii="Times New Roman" w:hAnsi="Times New Roman" w:cs="Times New Roman"/>
          <w:color w:val="231F20"/>
          <w:w w:val="90"/>
          <w:sz w:val="24"/>
          <w:szCs w:val="24"/>
          <w:lang w:val="es"/>
        </w:rPr>
        <w:t>la necesidad de una</w:t>
      </w:r>
      <w:r w:rsidRPr="00D470F4">
        <w:rPr>
          <w:rFonts w:ascii="Times New Roman" w:hAnsi="Times New Roman" w:cs="Times New Roman"/>
          <w:sz w:val="24"/>
          <w:szCs w:val="24"/>
          <w:lang w:val="es"/>
        </w:rPr>
        <w:t xml:space="preserve"> utilidad </w:t>
      </w:r>
      <w:r w:rsidRPr="00D470F4">
        <w:rPr>
          <w:rFonts w:ascii="Times New Roman" w:hAnsi="Times New Roman" w:cs="Times New Roman"/>
          <w:color w:val="231F20"/>
          <w:w w:val="90"/>
          <w:sz w:val="24"/>
          <w:szCs w:val="24"/>
          <w:lang w:val="es"/>
        </w:rPr>
        <w:t>tradicional</w:t>
      </w:r>
      <w:r w:rsidRPr="00D470F4">
        <w:rPr>
          <w:rFonts w:ascii="Times New Roman" w:hAnsi="Times New Roman" w:cs="Times New Roman"/>
          <w:sz w:val="24"/>
          <w:szCs w:val="24"/>
          <w:lang w:val="es"/>
        </w:rPr>
        <w:t xml:space="preserve"> </w:t>
      </w:r>
      <w:r w:rsidRPr="00D470F4">
        <w:rPr>
          <w:rFonts w:ascii="Times New Roman" w:hAnsi="Times New Roman" w:cs="Times New Roman"/>
          <w:color w:val="231F20"/>
          <w:w w:val="90"/>
          <w:sz w:val="24"/>
          <w:szCs w:val="24"/>
          <w:lang w:val="es"/>
        </w:rPr>
        <w:t xml:space="preserve">y centralizada. Una vez más, estas tecnologías </w:t>
      </w:r>
      <w:r w:rsidRPr="00D470F4">
        <w:rPr>
          <w:rFonts w:ascii="Times New Roman" w:hAnsi="Times New Roman" w:cs="Times New Roman"/>
          <w:color w:val="231F20"/>
          <w:sz w:val="24"/>
          <w:szCs w:val="24"/>
          <w:lang w:val="es"/>
        </w:rPr>
        <w:t>estuvieron ausentes del panorama de la reforma de la década de 1990</w:t>
      </w:r>
      <w:r w:rsidRPr="00D470F4">
        <w:rPr>
          <w:rFonts w:ascii="Times New Roman" w:hAnsi="Times New Roman" w:cs="Times New Roman"/>
          <w:color w:val="231F20"/>
          <w:spacing w:val="-2"/>
          <w:sz w:val="24"/>
          <w:szCs w:val="24"/>
          <w:lang w:val="es"/>
        </w:rPr>
        <w:t>.</w:t>
      </w:r>
    </w:p>
    <w:p w14:paraId="7AD334B7" w14:textId="65AED7AA" w:rsidR="00132D23" w:rsidRPr="00D470F4" w:rsidRDefault="00132D23" w:rsidP="00132D23">
      <w:pPr>
        <w:pStyle w:val="Textoindependiente"/>
        <w:spacing w:line="480" w:lineRule="auto"/>
        <w:rPr>
          <w:rFonts w:ascii="Times New Roman" w:hAnsi="Times New Roman" w:cs="Times New Roman"/>
          <w:sz w:val="24"/>
          <w:szCs w:val="24"/>
        </w:rPr>
      </w:pPr>
      <w:r w:rsidRPr="00D470F4">
        <w:rPr>
          <w:rFonts w:ascii="Times New Roman" w:hAnsi="Times New Roman" w:cs="Times New Roman"/>
          <w:color w:val="231F20"/>
          <w:w w:val="90"/>
          <w:sz w:val="24"/>
          <w:szCs w:val="24"/>
          <w:lang w:val="es"/>
        </w:rPr>
        <w:t>A la luz de la evidencia histórica y</w:t>
      </w:r>
      <w:r w:rsidRPr="00D470F4">
        <w:rPr>
          <w:rFonts w:ascii="Times New Roman" w:hAnsi="Times New Roman" w:cs="Times New Roman"/>
          <w:color w:val="231F20"/>
          <w:spacing w:val="-2"/>
          <w:w w:val="90"/>
          <w:sz w:val="24"/>
          <w:szCs w:val="24"/>
          <w:lang w:val="es"/>
        </w:rPr>
        <w:t xml:space="preserve"> las posibles</w:t>
      </w:r>
      <w:r w:rsidRPr="00D470F4">
        <w:rPr>
          <w:rFonts w:ascii="Times New Roman" w:hAnsi="Times New Roman" w:cs="Times New Roman"/>
          <w:color w:val="231F20"/>
          <w:w w:val="85"/>
          <w:sz w:val="24"/>
          <w:szCs w:val="24"/>
          <w:lang w:val="es"/>
        </w:rPr>
        <w:t xml:space="preserve"> tendencias futuras, este estudio tiene como objetivo revisar, </w:t>
      </w:r>
      <w:r w:rsidRPr="00D470F4">
        <w:rPr>
          <w:rFonts w:ascii="Times New Roman" w:hAnsi="Times New Roman" w:cs="Times New Roman"/>
          <w:sz w:val="24"/>
          <w:szCs w:val="24"/>
          <w:lang w:val="es"/>
        </w:rPr>
        <w:t xml:space="preserve">actualizar </w:t>
      </w:r>
      <w:r w:rsidRPr="00D470F4">
        <w:rPr>
          <w:rFonts w:ascii="Times New Roman" w:hAnsi="Times New Roman" w:cs="Times New Roman"/>
          <w:color w:val="231F20"/>
          <w:sz w:val="24"/>
          <w:szCs w:val="24"/>
          <w:lang w:val="es"/>
        </w:rPr>
        <w:t xml:space="preserve">y actualizar el pensamiento sobre la reforma del sector eléctrico </w:t>
      </w:r>
      <w:r w:rsidRPr="00D470F4">
        <w:rPr>
          <w:rFonts w:ascii="Times New Roman" w:hAnsi="Times New Roman" w:cs="Times New Roman"/>
          <w:sz w:val="24"/>
          <w:szCs w:val="24"/>
          <w:lang w:val="es"/>
        </w:rPr>
        <w:t xml:space="preserve">en </w:t>
      </w:r>
      <w:r w:rsidRPr="00D470F4">
        <w:rPr>
          <w:rFonts w:ascii="Times New Roman" w:hAnsi="Times New Roman" w:cs="Times New Roman"/>
          <w:color w:val="231F20"/>
          <w:w w:val="90"/>
          <w:sz w:val="24"/>
          <w:szCs w:val="24"/>
          <w:lang w:val="es"/>
        </w:rPr>
        <w:t xml:space="preserve">los países en desarrollo. Las prescripciones </w:t>
      </w:r>
      <w:r w:rsidRPr="00D470F4">
        <w:rPr>
          <w:rFonts w:ascii="Times New Roman" w:hAnsi="Times New Roman" w:cs="Times New Roman"/>
          <w:color w:val="231F20"/>
          <w:sz w:val="24"/>
          <w:szCs w:val="24"/>
          <w:lang w:val="es"/>
        </w:rPr>
        <w:t xml:space="preserve">del modelo de reforma de la década de 1990 se derivaron </w:t>
      </w:r>
      <w:r w:rsidRPr="00D470F4">
        <w:rPr>
          <w:rFonts w:ascii="Times New Roman" w:hAnsi="Times New Roman" w:cs="Times New Roman"/>
          <w:color w:val="231F20"/>
          <w:spacing w:val="-2"/>
          <w:w w:val="90"/>
          <w:sz w:val="24"/>
          <w:szCs w:val="24"/>
          <w:lang w:val="es"/>
        </w:rPr>
        <w:t xml:space="preserve">principalmente de la teoría y los principios económicos. </w:t>
      </w:r>
      <w:r w:rsidRPr="00D470F4">
        <w:rPr>
          <w:rFonts w:ascii="Times New Roman" w:hAnsi="Times New Roman" w:cs="Times New Roman"/>
          <w:sz w:val="24"/>
          <w:szCs w:val="24"/>
          <w:lang w:val="es"/>
        </w:rPr>
        <w:t xml:space="preserve"> </w:t>
      </w:r>
      <w:r w:rsidRPr="00D470F4">
        <w:rPr>
          <w:rFonts w:ascii="Times New Roman" w:hAnsi="Times New Roman" w:cs="Times New Roman"/>
          <w:color w:val="231F20"/>
          <w:spacing w:val="-8"/>
          <w:sz w:val="24"/>
          <w:szCs w:val="24"/>
          <w:lang w:val="es"/>
        </w:rPr>
        <w:t xml:space="preserve">Un cuarto de siglo de experiencia con </w:t>
      </w:r>
      <w:r w:rsidRPr="00D470F4">
        <w:rPr>
          <w:rFonts w:ascii="Times New Roman" w:hAnsi="Times New Roman" w:cs="Times New Roman"/>
          <w:color w:val="231F20"/>
          <w:w w:val="90"/>
          <w:sz w:val="24"/>
          <w:szCs w:val="24"/>
          <w:lang w:val="es"/>
        </w:rPr>
        <w:t xml:space="preserve">la aplicación del modelo nos permite reevaluar este </w:t>
      </w:r>
      <w:r w:rsidRPr="00D470F4">
        <w:rPr>
          <w:rFonts w:ascii="Times New Roman" w:hAnsi="Times New Roman" w:cs="Times New Roman"/>
          <w:color w:val="231F20"/>
          <w:spacing w:val="-2"/>
          <w:sz w:val="24"/>
          <w:szCs w:val="24"/>
          <w:lang w:val="es"/>
        </w:rPr>
        <w:t xml:space="preserve">enfoque. La necesidad de una reevaluación depende </w:t>
      </w:r>
      <w:r w:rsidRPr="00D470F4">
        <w:rPr>
          <w:rFonts w:ascii="Times New Roman" w:hAnsi="Times New Roman" w:cs="Times New Roman"/>
          <w:sz w:val="24"/>
          <w:szCs w:val="24"/>
          <w:lang w:val="es"/>
        </w:rPr>
        <w:t xml:space="preserve">tanto de las </w:t>
      </w:r>
      <w:r w:rsidRPr="00D470F4">
        <w:rPr>
          <w:rFonts w:ascii="Times New Roman" w:hAnsi="Times New Roman" w:cs="Times New Roman"/>
          <w:color w:val="231F20"/>
          <w:w w:val="90"/>
          <w:sz w:val="24"/>
          <w:szCs w:val="24"/>
          <w:lang w:val="es"/>
        </w:rPr>
        <w:t xml:space="preserve">dificultades prácticas encontradas en el mundo en desarrollo como de los cambios significativos en los objetivos de política y las oportunidades tecnológicas que se han producido durante el </w:t>
      </w:r>
      <w:r w:rsidRPr="00D470F4">
        <w:rPr>
          <w:rFonts w:ascii="Times New Roman" w:hAnsi="Times New Roman" w:cs="Times New Roman"/>
          <w:color w:val="231F20"/>
          <w:sz w:val="24"/>
          <w:szCs w:val="24"/>
          <w:lang w:val="es"/>
        </w:rPr>
        <w:t>período intermedio. Al mismo tiempo,</w:t>
      </w:r>
      <w:r w:rsidRPr="00D470F4">
        <w:rPr>
          <w:rFonts w:ascii="Times New Roman" w:hAnsi="Times New Roman" w:cs="Times New Roman"/>
          <w:sz w:val="24"/>
          <w:szCs w:val="24"/>
          <w:lang w:val="es"/>
        </w:rPr>
        <w:t xml:space="preserve"> la </w:t>
      </w:r>
      <w:r w:rsidRPr="00D470F4">
        <w:rPr>
          <w:rFonts w:ascii="Times New Roman" w:hAnsi="Times New Roman" w:cs="Times New Roman"/>
          <w:color w:val="231F20"/>
          <w:spacing w:val="-4"/>
          <w:sz w:val="24"/>
          <w:szCs w:val="24"/>
          <w:lang w:val="es"/>
        </w:rPr>
        <w:t xml:space="preserve">aparición de tecnologías disruptivas plantea </w:t>
      </w:r>
      <w:r w:rsidRPr="00D470F4">
        <w:rPr>
          <w:rFonts w:ascii="Times New Roman" w:hAnsi="Times New Roman" w:cs="Times New Roman"/>
          <w:color w:val="231F20"/>
          <w:spacing w:val="-8"/>
          <w:sz w:val="24"/>
          <w:szCs w:val="24"/>
          <w:lang w:val="es"/>
        </w:rPr>
        <w:t xml:space="preserve">preguntas sobre cómo las recomendaciones del </w:t>
      </w:r>
      <w:r w:rsidRPr="00D470F4">
        <w:rPr>
          <w:rFonts w:ascii="Times New Roman" w:hAnsi="Times New Roman" w:cs="Times New Roman"/>
          <w:color w:val="231F20"/>
          <w:sz w:val="24"/>
          <w:szCs w:val="24"/>
          <w:lang w:val="es"/>
        </w:rPr>
        <w:t>modelo de la década de 1990 podrían necesitar ser adaptadas en el futuro.</w:t>
      </w:r>
    </w:p>
    <w:p w14:paraId="22C8534E" w14:textId="7DDD1BC9" w:rsidR="00132D23" w:rsidRPr="00D470F4" w:rsidRDefault="00132D23" w:rsidP="00132D23">
      <w:pPr>
        <w:pStyle w:val="Textoindependiente"/>
        <w:spacing w:before="10" w:line="480" w:lineRule="auto"/>
        <w:rPr>
          <w:rFonts w:ascii="Times New Roman" w:hAnsi="Times New Roman" w:cs="Times New Roman"/>
          <w:sz w:val="24"/>
          <w:szCs w:val="24"/>
        </w:rPr>
      </w:pPr>
      <w:r w:rsidRPr="00D470F4">
        <w:rPr>
          <w:rFonts w:ascii="Times New Roman" w:hAnsi="Times New Roman" w:cs="Times New Roman"/>
          <w:color w:val="231F20"/>
          <w:w w:val="90"/>
          <w:sz w:val="24"/>
          <w:szCs w:val="24"/>
          <w:lang w:val="es"/>
        </w:rPr>
        <w:t>Desde la década de 1870 hasta la década de 1920, los servicios</w:t>
      </w:r>
      <w:r w:rsidRPr="00D470F4">
        <w:rPr>
          <w:rFonts w:ascii="Times New Roman" w:hAnsi="Times New Roman" w:cs="Times New Roman"/>
          <w:sz w:val="24"/>
          <w:szCs w:val="24"/>
          <w:lang w:val="es"/>
        </w:rPr>
        <w:t xml:space="preserve"> de energía eléctrica</w:t>
      </w:r>
      <w:r w:rsidRPr="00D470F4">
        <w:rPr>
          <w:rFonts w:ascii="Times New Roman" w:hAnsi="Times New Roman" w:cs="Times New Roman"/>
          <w:color w:val="231F20"/>
          <w:sz w:val="24"/>
          <w:szCs w:val="24"/>
          <w:lang w:val="es"/>
        </w:rPr>
        <w:t xml:space="preserve"> fueron en gran parte no regulados, de élite y </w:t>
      </w:r>
      <w:r w:rsidRPr="00D470F4">
        <w:rPr>
          <w:rFonts w:ascii="Times New Roman" w:hAnsi="Times New Roman" w:cs="Times New Roman"/>
          <w:color w:val="231F20"/>
          <w:w w:val="90"/>
          <w:sz w:val="24"/>
          <w:szCs w:val="24"/>
          <w:lang w:val="es"/>
        </w:rPr>
        <w:t xml:space="preserve">privados. Este período es considerado como la primera de </w:t>
      </w:r>
      <w:r w:rsidRPr="00D470F4">
        <w:rPr>
          <w:rFonts w:ascii="Times New Roman" w:hAnsi="Times New Roman" w:cs="Times New Roman"/>
          <w:color w:val="231F20"/>
          <w:spacing w:val="-4"/>
          <w:sz w:val="24"/>
          <w:szCs w:val="24"/>
          <w:lang w:val="es"/>
        </w:rPr>
        <w:t>cuatro fases institucionalmente normativas en el sector eléctrico (</w:t>
      </w:r>
      <w:proofErr w:type="spellStart"/>
      <w:r w:rsidRPr="00D470F4">
        <w:rPr>
          <w:rFonts w:ascii="Times New Roman" w:hAnsi="Times New Roman" w:cs="Times New Roman"/>
          <w:color w:val="231F20"/>
          <w:spacing w:val="-4"/>
          <w:sz w:val="24"/>
          <w:szCs w:val="24"/>
          <w:lang w:val="es"/>
        </w:rPr>
        <w:t>Bhattacharyya</w:t>
      </w:r>
      <w:proofErr w:type="spellEnd"/>
      <w:r w:rsidRPr="00D470F4">
        <w:rPr>
          <w:rFonts w:ascii="Times New Roman" w:hAnsi="Times New Roman" w:cs="Times New Roman"/>
          <w:color w:val="231F20"/>
          <w:spacing w:val="-4"/>
          <w:sz w:val="24"/>
          <w:szCs w:val="24"/>
          <w:lang w:val="es"/>
        </w:rPr>
        <w:t xml:space="preserve"> 2011). En la mayoría </w:t>
      </w:r>
      <w:r w:rsidRPr="00D470F4">
        <w:rPr>
          <w:rFonts w:ascii="Times New Roman" w:hAnsi="Times New Roman" w:cs="Times New Roman"/>
          <w:sz w:val="24"/>
          <w:szCs w:val="24"/>
          <w:lang w:val="es"/>
        </w:rPr>
        <w:t xml:space="preserve">de </w:t>
      </w:r>
      <w:r w:rsidRPr="00D470F4">
        <w:rPr>
          <w:rFonts w:ascii="Times New Roman" w:hAnsi="Times New Roman" w:cs="Times New Roman"/>
          <w:color w:val="231F20"/>
          <w:w w:val="90"/>
          <w:sz w:val="24"/>
          <w:szCs w:val="24"/>
          <w:lang w:val="es"/>
        </w:rPr>
        <w:t xml:space="preserve">los países, el suministro comenzó como un mercado fragmentado </w:t>
      </w:r>
      <w:r w:rsidRPr="00D470F4">
        <w:rPr>
          <w:rFonts w:ascii="Times New Roman" w:hAnsi="Times New Roman" w:cs="Times New Roman"/>
          <w:sz w:val="24"/>
          <w:szCs w:val="24"/>
          <w:lang w:val="es"/>
        </w:rPr>
        <w:t>de</w:t>
      </w:r>
      <w:r w:rsidRPr="00D470F4">
        <w:rPr>
          <w:rFonts w:ascii="Times New Roman" w:hAnsi="Times New Roman" w:cs="Times New Roman"/>
          <w:color w:val="231F20"/>
          <w:spacing w:val="-8"/>
          <w:sz w:val="24"/>
          <w:szCs w:val="24"/>
          <w:lang w:val="es"/>
        </w:rPr>
        <w:t xml:space="preserve"> proveedores </w:t>
      </w:r>
      <w:r w:rsidRPr="00D470F4">
        <w:rPr>
          <w:rFonts w:ascii="Times New Roman" w:hAnsi="Times New Roman" w:cs="Times New Roman"/>
          <w:color w:val="231F20"/>
          <w:spacing w:val="-8"/>
          <w:sz w:val="24"/>
          <w:szCs w:val="24"/>
          <w:lang w:val="es"/>
        </w:rPr>
        <w:lastRenderedPageBreak/>
        <w:t>locales de energía propiedad de</w:t>
      </w:r>
      <w:r w:rsidRPr="00D470F4">
        <w:rPr>
          <w:rFonts w:ascii="Times New Roman" w:hAnsi="Times New Roman" w:cs="Times New Roman"/>
          <w:sz w:val="24"/>
          <w:szCs w:val="24"/>
          <w:lang w:val="es"/>
        </w:rPr>
        <w:t xml:space="preserve"> empresas</w:t>
      </w:r>
      <w:r w:rsidR="00D470F4" w:rsidRPr="00D470F4">
        <w:rPr>
          <w:rFonts w:ascii="Times New Roman" w:hAnsi="Times New Roman" w:cs="Times New Roman"/>
          <w:sz w:val="24"/>
          <w:szCs w:val="24"/>
          <w:lang w:val="es"/>
        </w:rPr>
        <w:t xml:space="preserve"> </w:t>
      </w:r>
      <w:r w:rsidRPr="00D470F4">
        <w:rPr>
          <w:rFonts w:ascii="Times New Roman" w:hAnsi="Times New Roman" w:cs="Times New Roman"/>
          <w:color w:val="231F20"/>
          <w:spacing w:val="9"/>
          <w:sz w:val="24"/>
          <w:szCs w:val="24"/>
          <w:lang w:val="es"/>
        </w:rPr>
        <w:t xml:space="preserve">privadas </w:t>
      </w:r>
      <w:r w:rsidRPr="00D470F4">
        <w:rPr>
          <w:rFonts w:ascii="Times New Roman" w:hAnsi="Times New Roman" w:cs="Times New Roman"/>
          <w:color w:val="231F20"/>
          <w:sz w:val="24"/>
          <w:szCs w:val="24"/>
          <w:lang w:val="es"/>
        </w:rPr>
        <w:t>descentralizadas</w:t>
      </w:r>
      <w:r w:rsidRPr="00D470F4">
        <w:rPr>
          <w:rFonts w:ascii="Times New Roman" w:hAnsi="Times New Roman" w:cs="Times New Roman"/>
          <w:sz w:val="24"/>
          <w:szCs w:val="24"/>
          <w:lang w:val="es"/>
        </w:rPr>
        <w:t xml:space="preserve"> </w:t>
      </w:r>
      <w:r w:rsidRPr="00D470F4">
        <w:rPr>
          <w:rFonts w:ascii="Times New Roman" w:hAnsi="Times New Roman" w:cs="Times New Roman"/>
          <w:color w:val="231F20"/>
          <w:sz w:val="24"/>
          <w:szCs w:val="24"/>
          <w:lang w:val="es"/>
        </w:rPr>
        <w:t xml:space="preserve">o gobiernos municipales </w:t>
      </w:r>
      <w:r w:rsidRPr="00D470F4">
        <w:rPr>
          <w:rFonts w:ascii="Times New Roman" w:hAnsi="Times New Roman" w:cs="Times New Roman"/>
          <w:color w:val="231F20"/>
          <w:spacing w:val="-2"/>
          <w:sz w:val="24"/>
          <w:szCs w:val="24"/>
          <w:lang w:val="es"/>
        </w:rPr>
        <w:t>(</w:t>
      </w:r>
      <w:proofErr w:type="spellStart"/>
      <w:r w:rsidRPr="00D470F4">
        <w:rPr>
          <w:rFonts w:ascii="Times New Roman" w:hAnsi="Times New Roman" w:cs="Times New Roman"/>
          <w:color w:val="231F20"/>
          <w:spacing w:val="-2"/>
          <w:sz w:val="24"/>
          <w:szCs w:val="24"/>
          <w:lang w:val="es"/>
        </w:rPr>
        <w:t>Besant</w:t>
      </w:r>
      <w:proofErr w:type="spellEnd"/>
      <w:r w:rsidRPr="00D470F4">
        <w:rPr>
          <w:rFonts w:ascii="Times New Roman" w:hAnsi="Times New Roman" w:cs="Times New Roman"/>
          <w:color w:val="231F20"/>
          <w:spacing w:val="-2"/>
          <w:sz w:val="24"/>
          <w:szCs w:val="24"/>
          <w:lang w:val="es"/>
        </w:rPr>
        <w:t xml:space="preserve">-Jones 2006). Más allá de los que se beneficiaban del alumbrado público de las calles, </w:t>
      </w:r>
      <w:r w:rsidRPr="00D470F4">
        <w:rPr>
          <w:rFonts w:ascii="Times New Roman" w:hAnsi="Times New Roman" w:cs="Times New Roman"/>
          <w:color w:val="231F20"/>
          <w:w w:val="90"/>
          <w:sz w:val="24"/>
          <w:szCs w:val="24"/>
          <w:lang w:val="es"/>
        </w:rPr>
        <w:t xml:space="preserve">los usuarios de electricidad eran en su mayoría privados: empresas </w:t>
      </w:r>
      <w:r w:rsidRPr="00D470F4">
        <w:rPr>
          <w:rFonts w:ascii="Times New Roman" w:hAnsi="Times New Roman" w:cs="Times New Roman"/>
          <w:color w:val="231F20"/>
          <w:spacing w:val="-2"/>
          <w:sz w:val="24"/>
          <w:szCs w:val="24"/>
          <w:lang w:val="es"/>
        </w:rPr>
        <w:t>y hogares privilegiados.</w:t>
      </w:r>
    </w:p>
    <w:p w14:paraId="7A309E5D" w14:textId="386B2C64" w:rsidR="00132D23" w:rsidRPr="00D470F4" w:rsidRDefault="00132D23" w:rsidP="00132D23">
      <w:pPr>
        <w:pStyle w:val="Textoindependiente"/>
        <w:spacing w:line="480" w:lineRule="auto"/>
        <w:rPr>
          <w:rFonts w:ascii="Times New Roman" w:hAnsi="Times New Roman" w:cs="Times New Roman"/>
          <w:sz w:val="24"/>
          <w:szCs w:val="24"/>
        </w:rPr>
      </w:pPr>
      <w:r w:rsidRPr="00D470F4">
        <w:rPr>
          <w:rFonts w:ascii="Times New Roman" w:hAnsi="Times New Roman" w:cs="Times New Roman"/>
          <w:color w:val="231F20"/>
          <w:sz w:val="24"/>
          <w:szCs w:val="24"/>
          <w:lang w:val="es"/>
        </w:rPr>
        <w:t>A partir de la década de 1920,</w:t>
      </w:r>
      <w:r w:rsidRPr="00D470F4">
        <w:rPr>
          <w:rFonts w:ascii="Times New Roman" w:hAnsi="Times New Roman" w:cs="Times New Roman"/>
          <w:color w:val="231F20"/>
          <w:spacing w:val="-2"/>
          <w:sz w:val="24"/>
          <w:szCs w:val="24"/>
          <w:lang w:val="es"/>
        </w:rPr>
        <w:t xml:space="preserve"> </w:t>
      </w:r>
      <w:r w:rsidRPr="00D470F4">
        <w:rPr>
          <w:rFonts w:ascii="Times New Roman" w:hAnsi="Times New Roman" w:cs="Times New Roman"/>
          <w:sz w:val="24"/>
          <w:szCs w:val="24"/>
          <w:lang w:val="es"/>
        </w:rPr>
        <w:t xml:space="preserve">a </w:t>
      </w:r>
      <w:proofErr w:type="gramStart"/>
      <w:r w:rsidRPr="00D470F4">
        <w:rPr>
          <w:rFonts w:ascii="Times New Roman" w:hAnsi="Times New Roman" w:cs="Times New Roman"/>
          <w:sz w:val="24"/>
          <w:szCs w:val="24"/>
          <w:lang w:val="es"/>
        </w:rPr>
        <w:t xml:space="preserve">medida </w:t>
      </w:r>
      <w:r w:rsidRPr="00D470F4">
        <w:rPr>
          <w:rFonts w:ascii="Times New Roman" w:hAnsi="Times New Roman" w:cs="Times New Roman"/>
          <w:color w:val="231F20"/>
          <w:w w:val="90"/>
          <w:sz w:val="24"/>
          <w:szCs w:val="24"/>
          <w:lang w:val="es"/>
        </w:rPr>
        <w:t xml:space="preserve"> que</w:t>
      </w:r>
      <w:proofErr w:type="gramEnd"/>
      <w:r w:rsidRPr="00D470F4">
        <w:rPr>
          <w:rFonts w:ascii="Times New Roman" w:hAnsi="Times New Roman" w:cs="Times New Roman"/>
          <w:color w:val="231F20"/>
          <w:w w:val="90"/>
          <w:sz w:val="24"/>
          <w:szCs w:val="24"/>
          <w:lang w:val="es"/>
        </w:rPr>
        <w:t xml:space="preserve"> la electricidad se convirtió en un bien público masivo, los gobiernos tomaron un control cada vez mayor sobre el sector y las empresas de servicios públicos pasaron de oligopolios a monopolios. El </w:t>
      </w:r>
      <w:r w:rsidRPr="00D470F4">
        <w:rPr>
          <w:rFonts w:ascii="Times New Roman" w:hAnsi="Times New Roman" w:cs="Times New Roman"/>
          <w:sz w:val="24"/>
          <w:szCs w:val="24"/>
          <w:lang w:val="es"/>
        </w:rPr>
        <w:t xml:space="preserve">sector </w:t>
      </w:r>
      <w:r w:rsidRPr="00D470F4">
        <w:rPr>
          <w:rFonts w:ascii="Times New Roman" w:hAnsi="Times New Roman" w:cs="Times New Roman"/>
          <w:color w:val="231F20"/>
          <w:w w:val="90"/>
          <w:sz w:val="24"/>
          <w:szCs w:val="24"/>
          <w:lang w:val="es"/>
        </w:rPr>
        <w:t>eléctrico comenzó en forma de</w:t>
      </w:r>
      <w:r w:rsidRPr="00D470F4">
        <w:rPr>
          <w:rFonts w:ascii="Times New Roman" w:hAnsi="Times New Roman" w:cs="Times New Roman"/>
          <w:sz w:val="24"/>
          <w:szCs w:val="24"/>
          <w:lang w:val="es"/>
        </w:rPr>
        <w:t xml:space="preserve"> empresas </w:t>
      </w:r>
      <w:r w:rsidRPr="00D470F4">
        <w:rPr>
          <w:rFonts w:ascii="Times New Roman" w:hAnsi="Times New Roman" w:cs="Times New Roman"/>
          <w:color w:val="231F20"/>
          <w:spacing w:val="-2"/>
          <w:w w:val="90"/>
          <w:sz w:val="24"/>
          <w:szCs w:val="24"/>
          <w:lang w:val="es"/>
        </w:rPr>
        <w:t>privadas</w:t>
      </w:r>
      <w:r w:rsidRPr="00D470F4">
        <w:rPr>
          <w:rFonts w:ascii="Times New Roman" w:hAnsi="Times New Roman" w:cs="Times New Roman"/>
          <w:color w:val="231F20"/>
          <w:w w:val="90"/>
          <w:sz w:val="24"/>
          <w:szCs w:val="24"/>
          <w:lang w:val="es"/>
        </w:rPr>
        <w:t xml:space="preserve"> que sirven a los sistemas locales. A medida </w:t>
      </w:r>
      <w:r w:rsidRPr="00D470F4">
        <w:rPr>
          <w:rFonts w:ascii="Times New Roman" w:hAnsi="Times New Roman" w:cs="Times New Roman"/>
          <w:color w:val="231F20"/>
          <w:spacing w:val="-8"/>
          <w:sz w:val="24"/>
          <w:szCs w:val="24"/>
          <w:lang w:val="es"/>
        </w:rPr>
        <w:t xml:space="preserve">que aumentaba la demanda del nuevo servicio, surgió la necesidad </w:t>
      </w:r>
      <w:r w:rsidRPr="00D470F4">
        <w:rPr>
          <w:rFonts w:ascii="Times New Roman" w:hAnsi="Times New Roman" w:cs="Times New Roman"/>
          <w:sz w:val="24"/>
          <w:szCs w:val="24"/>
          <w:lang w:val="es"/>
        </w:rPr>
        <w:t xml:space="preserve">de </w:t>
      </w:r>
      <w:r w:rsidRPr="00D470F4">
        <w:rPr>
          <w:rFonts w:ascii="Times New Roman" w:hAnsi="Times New Roman" w:cs="Times New Roman"/>
          <w:color w:val="231F20"/>
          <w:spacing w:val="-2"/>
          <w:w w:val="90"/>
          <w:sz w:val="24"/>
          <w:szCs w:val="24"/>
          <w:lang w:val="es"/>
        </w:rPr>
        <w:t xml:space="preserve">sistemas de suministro más grandes e integrados para capturar </w:t>
      </w:r>
      <w:r w:rsidRPr="00D470F4">
        <w:rPr>
          <w:rFonts w:ascii="Times New Roman" w:hAnsi="Times New Roman" w:cs="Times New Roman"/>
          <w:color w:val="231F20"/>
          <w:w w:val="90"/>
          <w:sz w:val="24"/>
          <w:szCs w:val="24"/>
          <w:lang w:val="es"/>
        </w:rPr>
        <w:t xml:space="preserve">economías de escala y alcance; los costos y los precios disminuyeron. Muchos gobiernos llegaron a considerar </w:t>
      </w:r>
      <w:r w:rsidRPr="00D470F4">
        <w:rPr>
          <w:rFonts w:ascii="Times New Roman" w:hAnsi="Times New Roman" w:cs="Times New Roman"/>
          <w:color w:val="231F20"/>
          <w:sz w:val="24"/>
          <w:szCs w:val="24"/>
          <w:lang w:val="es"/>
        </w:rPr>
        <w:t xml:space="preserve">todo el sector como un monopolio natural, </w:t>
      </w:r>
      <w:r w:rsidRPr="00D470F4">
        <w:rPr>
          <w:rFonts w:ascii="Times New Roman" w:hAnsi="Times New Roman" w:cs="Times New Roman"/>
          <w:color w:val="231F20"/>
          <w:w w:val="90"/>
          <w:sz w:val="24"/>
          <w:szCs w:val="24"/>
          <w:lang w:val="es"/>
        </w:rPr>
        <w:t xml:space="preserve">por lo que la integración minimizaría los costos de coordinación entre las </w:t>
      </w:r>
      <w:r w:rsidRPr="00D470F4">
        <w:rPr>
          <w:rFonts w:ascii="Times New Roman" w:hAnsi="Times New Roman" w:cs="Times New Roman"/>
          <w:color w:val="231F20"/>
          <w:spacing w:val="-4"/>
          <w:sz w:val="24"/>
          <w:szCs w:val="24"/>
          <w:lang w:val="es"/>
        </w:rPr>
        <w:t>funciones</w:t>
      </w:r>
      <w:r w:rsidRPr="00D470F4">
        <w:rPr>
          <w:rFonts w:ascii="Times New Roman" w:hAnsi="Times New Roman" w:cs="Times New Roman"/>
          <w:sz w:val="24"/>
          <w:szCs w:val="24"/>
          <w:lang w:val="es"/>
        </w:rPr>
        <w:t xml:space="preserve"> de </w:t>
      </w:r>
      <w:r w:rsidRPr="00D470F4">
        <w:rPr>
          <w:rFonts w:ascii="Times New Roman" w:hAnsi="Times New Roman" w:cs="Times New Roman"/>
          <w:color w:val="231F20"/>
          <w:spacing w:val="-4"/>
          <w:sz w:val="24"/>
          <w:szCs w:val="24"/>
          <w:lang w:val="es"/>
        </w:rPr>
        <w:t>la cadena de suministro</w:t>
      </w:r>
      <w:r w:rsidRPr="00D470F4">
        <w:rPr>
          <w:rFonts w:ascii="Times New Roman" w:hAnsi="Times New Roman" w:cs="Times New Roman"/>
          <w:color w:val="231F20"/>
          <w:w w:val="90"/>
          <w:sz w:val="24"/>
          <w:szCs w:val="24"/>
          <w:lang w:val="es"/>
        </w:rPr>
        <w:t xml:space="preserve"> y las finanzas (AIE 1999). Los Estados también pueden </w:t>
      </w:r>
      <w:r w:rsidRPr="00D470F4">
        <w:rPr>
          <w:rFonts w:ascii="Times New Roman" w:hAnsi="Times New Roman" w:cs="Times New Roman"/>
          <w:color w:val="231F20"/>
          <w:spacing w:val="-4"/>
          <w:sz w:val="24"/>
          <w:szCs w:val="24"/>
          <w:lang w:val="es"/>
        </w:rPr>
        <w:t xml:space="preserve">captar economías de escala financiando grandes </w:t>
      </w:r>
      <w:r w:rsidRPr="00D470F4">
        <w:rPr>
          <w:rFonts w:ascii="Times New Roman" w:hAnsi="Times New Roman" w:cs="Times New Roman"/>
          <w:color w:val="231F20"/>
          <w:spacing w:val="-2"/>
          <w:w w:val="90"/>
          <w:sz w:val="24"/>
          <w:szCs w:val="24"/>
          <w:lang w:val="es"/>
        </w:rPr>
        <w:t>proyectos cuyos altos costos de capital son menos fáciles</w:t>
      </w:r>
      <w:r w:rsidRPr="00D470F4">
        <w:rPr>
          <w:rFonts w:ascii="Times New Roman" w:hAnsi="Times New Roman" w:cs="Times New Roman"/>
          <w:color w:val="231F20"/>
          <w:w w:val="90"/>
          <w:sz w:val="24"/>
          <w:szCs w:val="24"/>
          <w:lang w:val="es"/>
        </w:rPr>
        <w:t xml:space="preserve"> de financiar por inversores privados. Por lo tanto, el control estatal en el sector se justificó por razones </w:t>
      </w:r>
      <w:r w:rsidRPr="00D470F4">
        <w:rPr>
          <w:rFonts w:ascii="Times New Roman" w:hAnsi="Times New Roman" w:cs="Times New Roman"/>
          <w:sz w:val="24"/>
          <w:szCs w:val="24"/>
          <w:lang w:val="es"/>
        </w:rPr>
        <w:t xml:space="preserve">de </w:t>
      </w:r>
      <w:r w:rsidRPr="00D470F4">
        <w:rPr>
          <w:rFonts w:ascii="Times New Roman" w:hAnsi="Times New Roman" w:cs="Times New Roman"/>
          <w:color w:val="231F20"/>
          <w:spacing w:val="-6"/>
          <w:sz w:val="24"/>
          <w:szCs w:val="24"/>
          <w:lang w:val="es"/>
        </w:rPr>
        <w:t xml:space="preserve">eficiencia económica, además de los </w:t>
      </w:r>
      <w:r w:rsidRPr="00D470F4">
        <w:rPr>
          <w:rFonts w:ascii="Times New Roman" w:hAnsi="Times New Roman" w:cs="Times New Roman"/>
          <w:color w:val="231F20"/>
          <w:w w:val="90"/>
          <w:sz w:val="24"/>
          <w:szCs w:val="24"/>
          <w:lang w:val="es"/>
        </w:rPr>
        <w:t>objetivos de política pública de bienestar del consumidor, seguridad nacional y crecimiento industrial (</w:t>
      </w:r>
      <w:proofErr w:type="spellStart"/>
      <w:r w:rsidRPr="00D470F4">
        <w:rPr>
          <w:rFonts w:ascii="Times New Roman" w:hAnsi="Times New Roman" w:cs="Times New Roman"/>
          <w:color w:val="231F20"/>
          <w:w w:val="90"/>
          <w:sz w:val="24"/>
          <w:szCs w:val="24"/>
          <w:lang w:val="es"/>
        </w:rPr>
        <w:t>Besant</w:t>
      </w:r>
      <w:proofErr w:type="spellEnd"/>
      <w:r w:rsidRPr="00D470F4">
        <w:rPr>
          <w:rFonts w:ascii="Times New Roman" w:hAnsi="Times New Roman" w:cs="Times New Roman"/>
          <w:color w:val="231F20"/>
          <w:w w:val="90"/>
          <w:sz w:val="24"/>
          <w:szCs w:val="24"/>
          <w:lang w:val="es"/>
        </w:rPr>
        <w:t xml:space="preserve">-Jones </w:t>
      </w:r>
      <w:r w:rsidRPr="00D470F4">
        <w:rPr>
          <w:rFonts w:ascii="Times New Roman" w:hAnsi="Times New Roman" w:cs="Times New Roman"/>
          <w:color w:val="231F20"/>
          <w:spacing w:val="-8"/>
          <w:sz w:val="24"/>
          <w:szCs w:val="24"/>
          <w:lang w:val="es"/>
        </w:rPr>
        <w:t xml:space="preserve">2006; Brown y </w:t>
      </w:r>
      <w:proofErr w:type="spellStart"/>
      <w:r w:rsidRPr="00D470F4">
        <w:rPr>
          <w:rFonts w:ascii="Times New Roman" w:hAnsi="Times New Roman" w:cs="Times New Roman"/>
          <w:color w:val="231F20"/>
          <w:spacing w:val="-8"/>
          <w:sz w:val="24"/>
          <w:szCs w:val="24"/>
          <w:lang w:val="es"/>
        </w:rPr>
        <w:t>Mobarak</w:t>
      </w:r>
      <w:proofErr w:type="spellEnd"/>
      <w:r w:rsidRPr="00D470F4">
        <w:rPr>
          <w:rFonts w:ascii="Times New Roman" w:hAnsi="Times New Roman" w:cs="Times New Roman"/>
          <w:color w:val="231F20"/>
          <w:spacing w:val="-8"/>
          <w:sz w:val="24"/>
          <w:szCs w:val="24"/>
          <w:lang w:val="es"/>
        </w:rPr>
        <w:t xml:space="preserve"> 2009). Para evitar </w:t>
      </w:r>
      <w:r w:rsidRPr="00D470F4">
        <w:rPr>
          <w:rFonts w:ascii="Times New Roman" w:hAnsi="Times New Roman" w:cs="Times New Roman"/>
          <w:color w:val="231F20"/>
          <w:w w:val="90"/>
          <w:sz w:val="24"/>
          <w:szCs w:val="24"/>
          <w:lang w:val="es"/>
        </w:rPr>
        <w:t>los resultados negativos de un monopolio, como</w:t>
      </w:r>
      <w:r w:rsidRPr="00D470F4">
        <w:rPr>
          <w:rFonts w:ascii="Times New Roman" w:hAnsi="Times New Roman" w:cs="Times New Roman"/>
          <w:sz w:val="24"/>
          <w:szCs w:val="24"/>
          <w:lang w:val="es"/>
        </w:rPr>
        <w:t xml:space="preserve"> las </w:t>
      </w:r>
      <w:r w:rsidRPr="00D470F4">
        <w:rPr>
          <w:rFonts w:ascii="Times New Roman" w:hAnsi="Times New Roman" w:cs="Times New Roman"/>
          <w:color w:val="231F20"/>
          <w:w w:val="90"/>
          <w:sz w:val="24"/>
          <w:szCs w:val="24"/>
          <w:lang w:val="es"/>
        </w:rPr>
        <w:t xml:space="preserve">ganancias excesivas, las soluciones </w:t>
      </w:r>
      <w:proofErr w:type="gramStart"/>
      <w:r w:rsidRPr="00D470F4">
        <w:rPr>
          <w:rFonts w:ascii="Times New Roman" w:hAnsi="Times New Roman" w:cs="Times New Roman"/>
          <w:color w:val="231F20"/>
          <w:w w:val="90"/>
          <w:sz w:val="24"/>
          <w:szCs w:val="24"/>
          <w:lang w:val="es"/>
        </w:rPr>
        <w:t xml:space="preserve">incluían </w:t>
      </w:r>
      <w:r w:rsidRPr="00D470F4">
        <w:rPr>
          <w:rFonts w:ascii="Times New Roman" w:hAnsi="Times New Roman" w:cs="Times New Roman"/>
          <w:sz w:val="24"/>
          <w:szCs w:val="24"/>
          <w:lang w:val="es"/>
        </w:rPr>
        <w:t xml:space="preserve"> la</w:t>
      </w:r>
      <w:proofErr w:type="gramEnd"/>
      <w:r w:rsidRPr="00D470F4">
        <w:rPr>
          <w:rFonts w:ascii="Times New Roman" w:hAnsi="Times New Roman" w:cs="Times New Roman"/>
          <w:sz w:val="24"/>
          <w:szCs w:val="24"/>
          <w:lang w:val="es"/>
        </w:rPr>
        <w:t xml:space="preserve"> propiedad pública </w:t>
      </w:r>
      <w:r w:rsidRPr="00D470F4">
        <w:rPr>
          <w:rFonts w:ascii="Times New Roman" w:hAnsi="Times New Roman" w:cs="Times New Roman"/>
          <w:color w:val="231F20"/>
          <w:w w:val="90"/>
          <w:sz w:val="24"/>
          <w:szCs w:val="24"/>
          <w:lang w:val="es"/>
        </w:rPr>
        <w:t xml:space="preserve"> </w:t>
      </w:r>
      <w:r w:rsidRPr="00D470F4">
        <w:rPr>
          <w:rFonts w:ascii="Times New Roman" w:hAnsi="Times New Roman" w:cs="Times New Roman"/>
          <w:sz w:val="24"/>
          <w:szCs w:val="24"/>
          <w:lang w:val="es"/>
        </w:rPr>
        <w:t xml:space="preserve"> y </w:t>
      </w:r>
      <w:r w:rsidRPr="00D470F4">
        <w:rPr>
          <w:rFonts w:ascii="Times New Roman" w:hAnsi="Times New Roman" w:cs="Times New Roman"/>
          <w:color w:val="231F20"/>
          <w:w w:val="90"/>
          <w:sz w:val="24"/>
          <w:szCs w:val="24"/>
          <w:lang w:val="es"/>
        </w:rPr>
        <w:t>la</w:t>
      </w:r>
      <w:r w:rsidRPr="00D470F4">
        <w:rPr>
          <w:rFonts w:ascii="Times New Roman" w:hAnsi="Times New Roman" w:cs="Times New Roman"/>
          <w:color w:val="231F20"/>
          <w:spacing w:val="-2"/>
          <w:w w:val="90"/>
          <w:sz w:val="24"/>
          <w:szCs w:val="24"/>
          <w:lang w:val="es"/>
        </w:rPr>
        <w:t xml:space="preserve"> regulación. Esta segunda fase continuó</w:t>
      </w:r>
      <w:r w:rsidRPr="00D470F4">
        <w:rPr>
          <w:rFonts w:ascii="Times New Roman" w:hAnsi="Times New Roman" w:cs="Times New Roman"/>
          <w:color w:val="231F20"/>
          <w:spacing w:val="-4"/>
          <w:sz w:val="24"/>
          <w:szCs w:val="24"/>
          <w:lang w:val="es"/>
        </w:rPr>
        <w:t xml:space="preserve"> a través del siglo 20.</w:t>
      </w:r>
    </w:p>
    <w:p w14:paraId="36385D7B" w14:textId="429E8B38" w:rsidR="00132D23" w:rsidRPr="00D470F4" w:rsidRDefault="00132D23" w:rsidP="00132D23">
      <w:pPr>
        <w:pStyle w:val="Textoindependiente"/>
        <w:spacing w:line="480" w:lineRule="auto"/>
        <w:rPr>
          <w:rFonts w:ascii="Times New Roman" w:hAnsi="Times New Roman" w:cs="Times New Roman"/>
          <w:sz w:val="24"/>
          <w:szCs w:val="24"/>
        </w:rPr>
      </w:pPr>
      <w:r w:rsidRPr="00D470F4">
        <w:rPr>
          <w:rFonts w:ascii="Times New Roman" w:hAnsi="Times New Roman" w:cs="Times New Roman"/>
          <w:color w:val="231F20"/>
          <w:w w:val="90"/>
          <w:sz w:val="24"/>
          <w:szCs w:val="24"/>
          <w:lang w:val="es"/>
        </w:rPr>
        <w:t>Desde la década de 1940 hasta la década de 1960, los países en</w:t>
      </w:r>
      <w:r w:rsidRPr="00D470F4">
        <w:rPr>
          <w:rFonts w:ascii="Times New Roman" w:hAnsi="Times New Roman" w:cs="Times New Roman"/>
          <w:color w:val="231F20"/>
          <w:spacing w:val="-2"/>
          <w:w w:val="90"/>
          <w:sz w:val="24"/>
          <w:szCs w:val="24"/>
          <w:lang w:val="es"/>
        </w:rPr>
        <w:t xml:space="preserve"> desarrollo</w:t>
      </w:r>
      <w:r w:rsidRPr="00D470F4">
        <w:rPr>
          <w:rFonts w:ascii="Times New Roman" w:hAnsi="Times New Roman" w:cs="Times New Roman"/>
          <w:sz w:val="24"/>
          <w:szCs w:val="24"/>
          <w:lang w:val="es"/>
        </w:rPr>
        <w:t xml:space="preserve"> establecieron </w:t>
      </w:r>
      <w:r w:rsidRPr="00D470F4">
        <w:rPr>
          <w:rFonts w:ascii="Times New Roman" w:hAnsi="Times New Roman" w:cs="Times New Roman"/>
          <w:color w:val="231F20"/>
          <w:spacing w:val="9"/>
          <w:sz w:val="24"/>
          <w:szCs w:val="24"/>
          <w:lang w:val="es"/>
        </w:rPr>
        <w:t xml:space="preserve">servicios públicos </w:t>
      </w:r>
      <w:r w:rsidRPr="00D470F4">
        <w:rPr>
          <w:rFonts w:ascii="Times New Roman" w:hAnsi="Times New Roman" w:cs="Times New Roman"/>
          <w:color w:val="231F20"/>
          <w:w w:val="90"/>
          <w:sz w:val="24"/>
          <w:szCs w:val="24"/>
          <w:lang w:val="es"/>
        </w:rPr>
        <w:t xml:space="preserve">monopólicos de propiedad estatal </w:t>
      </w:r>
      <w:r w:rsidRPr="00D470F4">
        <w:rPr>
          <w:rFonts w:ascii="Times New Roman" w:hAnsi="Times New Roman" w:cs="Times New Roman"/>
          <w:color w:val="231F20"/>
          <w:sz w:val="24"/>
          <w:szCs w:val="24"/>
          <w:lang w:val="es"/>
        </w:rPr>
        <w:t xml:space="preserve">en una ola de </w:t>
      </w:r>
      <w:r w:rsidRPr="00D470F4">
        <w:rPr>
          <w:rFonts w:ascii="Times New Roman" w:hAnsi="Times New Roman" w:cs="Times New Roman"/>
          <w:color w:val="231F20"/>
          <w:spacing w:val="10"/>
          <w:sz w:val="24"/>
          <w:szCs w:val="24"/>
          <w:lang w:val="es"/>
        </w:rPr>
        <w:t xml:space="preserve">consolidación </w:t>
      </w:r>
      <w:r w:rsidRPr="00D470F4">
        <w:rPr>
          <w:rFonts w:ascii="Times New Roman" w:hAnsi="Times New Roman" w:cs="Times New Roman"/>
          <w:color w:val="231F20"/>
          <w:sz w:val="24"/>
          <w:szCs w:val="24"/>
          <w:lang w:val="es"/>
        </w:rPr>
        <w:t xml:space="preserve">y </w:t>
      </w:r>
      <w:r w:rsidRPr="00D470F4">
        <w:rPr>
          <w:rFonts w:ascii="Times New Roman" w:hAnsi="Times New Roman" w:cs="Times New Roman"/>
          <w:color w:val="231F20"/>
          <w:w w:val="90"/>
          <w:sz w:val="24"/>
          <w:szCs w:val="24"/>
          <w:lang w:val="es"/>
        </w:rPr>
        <w:t xml:space="preserve">nacionalización. Estos esfuerzos recibieron </w:t>
      </w:r>
      <w:r w:rsidRPr="00D470F4">
        <w:rPr>
          <w:rFonts w:ascii="Times New Roman" w:hAnsi="Times New Roman" w:cs="Times New Roman"/>
          <w:sz w:val="24"/>
          <w:szCs w:val="24"/>
          <w:lang w:val="es"/>
        </w:rPr>
        <w:t xml:space="preserve">apoyo </w:t>
      </w:r>
      <w:r w:rsidRPr="00D470F4">
        <w:rPr>
          <w:rFonts w:ascii="Times New Roman" w:hAnsi="Times New Roman" w:cs="Times New Roman"/>
          <w:color w:val="231F20"/>
          <w:w w:val="90"/>
          <w:sz w:val="24"/>
          <w:szCs w:val="24"/>
          <w:lang w:val="es"/>
        </w:rPr>
        <w:t>externo, incluso del Banco Mundial.</w:t>
      </w:r>
      <w:r w:rsidRPr="00D470F4">
        <w:rPr>
          <w:rFonts w:ascii="Times New Roman" w:hAnsi="Times New Roman" w:cs="Times New Roman"/>
          <w:sz w:val="24"/>
          <w:szCs w:val="24"/>
          <w:lang w:val="es"/>
        </w:rPr>
        <w:t xml:space="preserve"> </w:t>
      </w:r>
      <w:r w:rsidRPr="00D470F4">
        <w:rPr>
          <w:rFonts w:ascii="Times New Roman" w:hAnsi="Times New Roman" w:cs="Times New Roman"/>
          <w:color w:val="231F20"/>
          <w:w w:val="90"/>
          <w:position w:val="6"/>
          <w:sz w:val="24"/>
          <w:szCs w:val="24"/>
          <w:lang w:val="es"/>
        </w:rPr>
        <w:t>3</w:t>
      </w:r>
      <w:r w:rsidRPr="00D470F4">
        <w:rPr>
          <w:rFonts w:ascii="Times New Roman" w:hAnsi="Times New Roman" w:cs="Times New Roman"/>
          <w:color w:val="231F20"/>
          <w:spacing w:val="-2"/>
          <w:sz w:val="24"/>
          <w:szCs w:val="24"/>
          <w:lang w:val="es"/>
        </w:rPr>
        <w:t xml:space="preserve"> Los monopolios públicos en el sector eléctrico se consideraron </w:t>
      </w:r>
      <w:r w:rsidRPr="00D470F4">
        <w:rPr>
          <w:rFonts w:ascii="Times New Roman" w:hAnsi="Times New Roman" w:cs="Times New Roman"/>
          <w:sz w:val="24"/>
          <w:szCs w:val="24"/>
          <w:lang w:val="es"/>
        </w:rPr>
        <w:t>“</w:t>
      </w:r>
      <w:r w:rsidRPr="00D470F4">
        <w:rPr>
          <w:rFonts w:ascii="Times New Roman" w:hAnsi="Times New Roman" w:cs="Times New Roman"/>
          <w:color w:val="231F20"/>
          <w:sz w:val="24"/>
          <w:szCs w:val="24"/>
          <w:lang w:val="es"/>
        </w:rPr>
        <w:t xml:space="preserve">generalmente satisfactorios en la </w:t>
      </w:r>
      <w:proofErr w:type="gramStart"/>
      <w:r w:rsidRPr="00D470F4">
        <w:rPr>
          <w:rFonts w:ascii="Times New Roman" w:hAnsi="Times New Roman" w:cs="Times New Roman"/>
          <w:color w:val="231F20"/>
          <w:sz w:val="24"/>
          <w:szCs w:val="24"/>
          <w:lang w:val="es"/>
        </w:rPr>
        <w:t xml:space="preserve">mayoría </w:t>
      </w:r>
      <w:r w:rsidRPr="00D470F4">
        <w:rPr>
          <w:rFonts w:ascii="Times New Roman" w:hAnsi="Times New Roman" w:cs="Times New Roman"/>
          <w:sz w:val="24"/>
          <w:szCs w:val="24"/>
          <w:lang w:val="es"/>
        </w:rPr>
        <w:t xml:space="preserve"> de</w:t>
      </w:r>
      <w:proofErr w:type="gramEnd"/>
      <w:r w:rsidRPr="00D470F4">
        <w:rPr>
          <w:rFonts w:ascii="Times New Roman" w:hAnsi="Times New Roman" w:cs="Times New Roman"/>
          <w:sz w:val="24"/>
          <w:szCs w:val="24"/>
          <w:lang w:val="es"/>
        </w:rPr>
        <w:t xml:space="preserve"> </w:t>
      </w:r>
      <w:r w:rsidRPr="00D470F4">
        <w:rPr>
          <w:rFonts w:ascii="Times New Roman" w:hAnsi="Times New Roman" w:cs="Times New Roman"/>
          <w:color w:val="231F20"/>
          <w:spacing w:val="-2"/>
          <w:sz w:val="24"/>
          <w:szCs w:val="24"/>
          <w:lang w:val="es"/>
        </w:rPr>
        <w:t xml:space="preserve">los países en desarrollo, en un entorno </w:t>
      </w:r>
      <w:r w:rsidRPr="00D470F4">
        <w:rPr>
          <w:rFonts w:ascii="Times New Roman" w:hAnsi="Times New Roman" w:cs="Times New Roman"/>
          <w:sz w:val="24"/>
          <w:szCs w:val="24"/>
          <w:lang w:val="es"/>
        </w:rPr>
        <w:t xml:space="preserve"> de </w:t>
      </w:r>
      <w:r w:rsidRPr="00D470F4">
        <w:rPr>
          <w:rFonts w:ascii="Times New Roman" w:hAnsi="Times New Roman" w:cs="Times New Roman"/>
          <w:color w:val="231F20"/>
          <w:sz w:val="24"/>
          <w:szCs w:val="24"/>
          <w:lang w:val="es"/>
        </w:rPr>
        <w:t xml:space="preserve">baja inflación y bajos niveles de deuda, y con </w:t>
      </w:r>
      <w:r w:rsidRPr="00D470F4">
        <w:rPr>
          <w:rFonts w:ascii="Times New Roman" w:hAnsi="Times New Roman" w:cs="Times New Roman"/>
          <w:color w:val="231F20"/>
          <w:spacing w:val="-2"/>
          <w:sz w:val="24"/>
          <w:szCs w:val="24"/>
          <w:lang w:val="es"/>
        </w:rPr>
        <w:t xml:space="preserve">gobiernos que permiten a las empresas de servicios públicos un grado significativo </w:t>
      </w:r>
      <w:r w:rsidRPr="00D470F4">
        <w:rPr>
          <w:rFonts w:ascii="Times New Roman" w:hAnsi="Times New Roman" w:cs="Times New Roman"/>
          <w:color w:val="231F20"/>
          <w:sz w:val="24"/>
          <w:szCs w:val="24"/>
          <w:lang w:val="es"/>
        </w:rPr>
        <w:t xml:space="preserve">de </w:t>
      </w:r>
      <w:r w:rsidRPr="00D470F4">
        <w:rPr>
          <w:rFonts w:ascii="Times New Roman" w:hAnsi="Times New Roman" w:cs="Times New Roman"/>
          <w:color w:val="231F20"/>
          <w:sz w:val="24"/>
          <w:szCs w:val="24"/>
          <w:lang w:val="es"/>
        </w:rPr>
        <w:lastRenderedPageBreak/>
        <w:t xml:space="preserve">autonomía gerencial" (Banco Mundial </w:t>
      </w:r>
      <w:r w:rsidRPr="00D470F4">
        <w:rPr>
          <w:rFonts w:ascii="Times New Roman" w:hAnsi="Times New Roman" w:cs="Times New Roman"/>
          <w:color w:val="231F20"/>
          <w:spacing w:val="-8"/>
          <w:sz w:val="24"/>
          <w:szCs w:val="24"/>
          <w:lang w:val="es"/>
        </w:rPr>
        <w:t>1993, 34). En términos más generales</w:t>
      </w:r>
      <w:r w:rsidRPr="00D470F4">
        <w:rPr>
          <w:rFonts w:ascii="Times New Roman" w:hAnsi="Times New Roman" w:cs="Times New Roman"/>
          <w:sz w:val="24"/>
          <w:szCs w:val="24"/>
          <w:lang w:val="es"/>
        </w:rPr>
        <w:t xml:space="preserve">, la </w:t>
      </w:r>
      <w:r w:rsidRPr="00D470F4">
        <w:rPr>
          <w:rFonts w:ascii="Times New Roman" w:hAnsi="Times New Roman" w:cs="Times New Roman"/>
          <w:color w:val="231F20"/>
          <w:spacing w:val="-8"/>
          <w:sz w:val="24"/>
          <w:szCs w:val="24"/>
          <w:lang w:val="es"/>
        </w:rPr>
        <w:t>inversión</w:t>
      </w:r>
      <w:r w:rsidRPr="00D470F4">
        <w:rPr>
          <w:rFonts w:ascii="Times New Roman" w:hAnsi="Times New Roman" w:cs="Times New Roman"/>
          <w:sz w:val="24"/>
          <w:szCs w:val="24"/>
          <w:lang w:val="es"/>
        </w:rPr>
        <w:t xml:space="preserve"> </w:t>
      </w:r>
      <w:proofErr w:type="gramStart"/>
      <w:r w:rsidRPr="00D470F4">
        <w:rPr>
          <w:rFonts w:ascii="Times New Roman" w:hAnsi="Times New Roman" w:cs="Times New Roman"/>
          <w:sz w:val="24"/>
          <w:szCs w:val="24"/>
          <w:lang w:val="es"/>
        </w:rPr>
        <w:t xml:space="preserve">pública </w:t>
      </w:r>
      <w:r w:rsidRPr="00D470F4">
        <w:rPr>
          <w:rFonts w:ascii="Times New Roman" w:hAnsi="Times New Roman" w:cs="Times New Roman"/>
          <w:color w:val="231F20"/>
          <w:spacing w:val="-2"/>
          <w:sz w:val="24"/>
          <w:szCs w:val="24"/>
          <w:lang w:val="es"/>
        </w:rPr>
        <w:t xml:space="preserve"> en</w:t>
      </w:r>
      <w:proofErr w:type="gramEnd"/>
      <w:r w:rsidRPr="00D470F4">
        <w:rPr>
          <w:rFonts w:ascii="Times New Roman" w:hAnsi="Times New Roman" w:cs="Times New Roman"/>
          <w:color w:val="231F20"/>
          <w:spacing w:val="-2"/>
          <w:sz w:val="24"/>
          <w:szCs w:val="24"/>
          <w:lang w:val="es"/>
        </w:rPr>
        <w:t xml:space="preserve"> infraestructura </w:t>
      </w:r>
      <w:r w:rsidRPr="00D470F4">
        <w:rPr>
          <w:rFonts w:ascii="Times New Roman" w:hAnsi="Times New Roman" w:cs="Times New Roman"/>
          <w:sz w:val="24"/>
          <w:szCs w:val="24"/>
          <w:lang w:val="es"/>
        </w:rPr>
        <w:t xml:space="preserve"> y la gestión de </w:t>
      </w:r>
      <w:r w:rsidRPr="00D470F4">
        <w:rPr>
          <w:rFonts w:ascii="Times New Roman" w:hAnsi="Times New Roman" w:cs="Times New Roman"/>
          <w:color w:val="231F20"/>
          <w:spacing w:val="-4"/>
          <w:sz w:val="24"/>
          <w:szCs w:val="24"/>
          <w:lang w:val="es"/>
        </w:rPr>
        <w:t>los mercados para la estabilidad económica fueron consistentes</w:t>
      </w:r>
      <w:r w:rsidRPr="00D470F4">
        <w:rPr>
          <w:rFonts w:ascii="Times New Roman" w:hAnsi="Times New Roman" w:cs="Times New Roman"/>
          <w:color w:val="231F20"/>
          <w:sz w:val="24"/>
          <w:szCs w:val="24"/>
          <w:lang w:val="es"/>
        </w:rPr>
        <w:t xml:space="preserve"> con la economía keynesiana </w:t>
      </w:r>
      <w:r w:rsidRPr="00D470F4">
        <w:rPr>
          <w:rFonts w:ascii="Times New Roman" w:hAnsi="Times New Roman" w:cs="Times New Roman"/>
          <w:color w:val="231F20"/>
          <w:spacing w:val="10"/>
          <w:sz w:val="24"/>
          <w:szCs w:val="24"/>
          <w:lang w:val="es"/>
        </w:rPr>
        <w:t xml:space="preserve">que </w:t>
      </w:r>
      <w:r w:rsidRPr="00D470F4">
        <w:rPr>
          <w:rFonts w:ascii="Times New Roman" w:hAnsi="Times New Roman" w:cs="Times New Roman"/>
          <w:color w:val="231F20"/>
          <w:spacing w:val="-2"/>
          <w:sz w:val="24"/>
          <w:szCs w:val="24"/>
          <w:lang w:val="es"/>
        </w:rPr>
        <w:t xml:space="preserve">dominó a muchos países desarrollados desde </w:t>
      </w:r>
      <w:r w:rsidRPr="00D470F4">
        <w:rPr>
          <w:rFonts w:ascii="Times New Roman" w:hAnsi="Times New Roman" w:cs="Times New Roman"/>
          <w:sz w:val="24"/>
          <w:szCs w:val="24"/>
          <w:lang w:val="es"/>
        </w:rPr>
        <w:t xml:space="preserve"> la </w:t>
      </w:r>
      <w:r w:rsidRPr="00D470F4">
        <w:rPr>
          <w:rFonts w:ascii="Times New Roman" w:hAnsi="Times New Roman" w:cs="Times New Roman"/>
          <w:color w:val="231F20"/>
          <w:sz w:val="24"/>
          <w:szCs w:val="24"/>
          <w:lang w:val="es"/>
        </w:rPr>
        <w:t>década de 1940 hasta la década de 1970 (</w:t>
      </w:r>
      <w:proofErr w:type="spellStart"/>
      <w:r w:rsidRPr="00D470F4">
        <w:rPr>
          <w:rFonts w:ascii="Times New Roman" w:hAnsi="Times New Roman" w:cs="Times New Roman"/>
          <w:color w:val="231F20"/>
          <w:sz w:val="24"/>
          <w:szCs w:val="24"/>
          <w:lang w:val="es"/>
        </w:rPr>
        <w:t>Jahan</w:t>
      </w:r>
      <w:proofErr w:type="spellEnd"/>
      <w:r w:rsidRPr="00D470F4">
        <w:rPr>
          <w:rFonts w:ascii="Times New Roman" w:hAnsi="Times New Roman" w:cs="Times New Roman"/>
          <w:color w:val="231F20"/>
          <w:sz w:val="24"/>
          <w:szCs w:val="24"/>
          <w:lang w:val="es"/>
        </w:rPr>
        <w:t xml:space="preserve">, </w:t>
      </w:r>
      <w:proofErr w:type="spellStart"/>
      <w:r w:rsidRPr="00D470F4">
        <w:rPr>
          <w:rFonts w:ascii="Times New Roman" w:hAnsi="Times New Roman" w:cs="Times New Roman"/>
          <w:color w:val="231F20"/>
          <w:sz w:val="24"/>
          <w:szCs w:val="24"/>
          <w:lang w:val="es"/>
        </w:rPr>
        <w:t>Mahmud</w:t>
      </w:r>
      <w:proofErr w:type="spellEnd"/>
      <w:r w:rsidRPr="00D470F4">
        <w:rPr>
          <w:rFonts w:ascii="Times New Roman" w:hAnsi="Times New Roman" w:cs="Times New Roman"/>
          <w:color w:val="231F20"/>
          <w:sz w:val="24"/>
          <w:szCs w:val="24"/>
          <w:lang w:val="es"/>
        </w:rPr>
        <w:t xml:space="preserve"> y </w:t>
      </w:r>
      <w:proofErr w:type="spellStart"/>
      <w:r w:rsidRPr="00D470F4">
        <w:rPr>
          <w:rFonts w:ascii="Times New Roman" w:hAnsi="Times New Roman" w:cs="Times New Roman"/>
          <w:color w:val="231F20"/>
          <w:spacing w:val="10"/>
          <w:sz w:val="24"/>
          <w:szCs w:val="24"/>
          <w:lang w:val="es"/>
        </w:rPr>
        <w:t>Papageorgiou</w:t>
      </w:r>
      <w:proofErr w:type="spellEnd"/>
      <w:r w:rsidRPr="00D470F4">
        <w:rPr>
          <w:rFonts w:ascii="Times New Roman" w:hAnsi="Times New Roman" w:cs="Times New Roman"/>
          <w:color w:val="231F20"/>
          <w:spacing w:val="10"/>
          <w:sz w:val="24"/>
          <w:szCs w:val="24"/>
          <w:lang w:val="es"/>
        </w:rPr>
        <w:t xml:space="preserve"> 2014).</w:t>
      </w:r>
      <w:r w:rsidRPr="00D470F4">
        <w:rPr>
          <w:rFonts w:ascii="Times New Roman" w:hAnsi="Times New Roman" w:cs="Times New Roman"/>
          <w:sz w:val="24"/>
          <w:szCs w:val="24"/>
          <w:lang w:val="es"/>
        </w:rPr>
        <w:t xml:space="preserve"> </w:t>
      </w:r>
      <w:r w:rsidRPr="00D470F4">
        <w:rPr>
          <w:rFonts w:ascii="Times New Roman" w:hAnsi="Times New Roman" w:cs="Times New Roman"/>
          <w:color w:val="231F20"/>
          <w:sz w:val="24"/>
          <w:szCs w:val="24"/>
          <w:lang w:val="es"/>
        </w:rPr>
        <w:t xml:space="preserve"> Paralelamente</w:t>
      </w:r>
      <w:r w:rsidRPr="00D470F4">
        <w:rPr>
          <w:rFonts w:ascii="Times New Roman" w:hAnsi="Times New Roman" w:cs="Times New Roman"/>
          <w:color w:val="231F20"/>
          <w:spacing w:val="10"/>
          <w:sz w:val="24"/>
          <w:szCs w:val="24"/>
          <w:lang w:val="es"/>
        </w:rPr>
        <w:t xml:space="preserve">, </w:t>
      </w:r>
      <w:r w:rsidRPr="00D470F4">
        <w:rPr>
          <w:rFonts w:ascii="Times New Roman" w:hAnsi="Times New Roman" w:cs="Times New Roman"/>
          <w:color w:val="231F20"/>
          <w:w w:val="90"/>
          <w:sz w:val="24"/>
          <w:szCs w:val="24"/>
          <w:lang w:val="es"/>
        </w:rPr>
        <w:t xml:space="preserve">los monopolios públicos se alinearon bien con las ideologías socialistas y nacionalistas que prevalecían en muchos </w:t>
      </w:r>
      <w:r w:rsidRPr="00D470F4">
        <w:rPr>
          <w:rFonts w:ascii="Times New Roman" w:hAnsi="Times New Roman" w:cs="Times New Roman"/>
          <w:color w:val="231F20"/>
          <w:sz w:val="24"/>
          <w:szCs w:val="24"/>
          <w:lang w:val="es"/>
        </w:rPr>
        <w:t xml:space="preserve">países en desarrollo recientemente independientes. </w:t>
      </w:r>
      <w:r w:rsidRPr="00D470F4">
        <w:rPr>
          <w:rFonts w:ascii="Times New Roman" w:hAnsi="Times New Roman" w:cs="Times New Roman"/>
          <w:sz w:val="24"/>
          <w:szCs w:val="24"/>
          <w:lang w:val="es"/>
        </w:rPr>
        <w:t xml:space="preserve"> </w:t>
      </w:r>
      <w:r w:rsidRPr="00D470F4">
        <w:rPr>
          <w:rFonts w:ascii="Times New Roman" w:hAnsi="Times New Roman" w:cs="Times New Roman"/>
          <w:color w:val="231F20"/>
          <w:spacing w:val="-2"/>
          <w:sz w:val="24"/>
          <w:szCs w:val="24"/>
          <w:lang w:val="es"/>
        </w:rPr>
        <w:t xml:space="preserve">El propio modelo de los Estados Unidos </w:t>
      </w:r>
      <w:proofErr w:type="gramStart"/>
      <w:r w:rsidRPr="00D470F4">
        <w:rPr>
          <w:rFonts w:ascii="Times New Roman" w:hAnsi="Times New Roman" w:cs="Times New Roman"/>
          <w:sz w:val="24"/>
          <w:szCs w:val="24"/>
          <w:lang w:val="es"/>
        </w:rPr>
        <w:t xml:space="preserve">de </w:t>
      </w:r>
      <w:r w:rsidRPr="00D470F4">
        <w:rPr>
          <w:rFonts w:ascii="Times New Roman" w:hAnsi="Times New Roman" w:cs="Times New Roman"/>
          <w:color w:val="231F20"/>
          <w:w w:val="90"/>
          <w:sz w:val="24"/>
          <w:szCs w:val="24"/>
          <w:lang w:val="es"/>
        </w:rPr>
        <w:t xml:space="preserve"> servicios</w:t>
      </w:r>
      <w:proofErr w:type="gramEnd"/>
      <w:r w:rsidRPr="00D470F4">
        <w:rPr>
          <w:rFonts w:ascii="Times New Roman" w:hAnsi="Times New Roman" w:cs="Times New Roman"/>
          <w:color w:val="231F20"/>
          <w:w w:val="90"/>
          <w:sz w:val="24"/>
          <w:szCs w:val="24"/>
          <w:lang w:val="es"/>
        </w:rPr>
        <w:t xml:space="preserve"> públicos monopólicos </w:t>
      </w:r>
      <w:r w:rsidRPr="00D470F4">
        <w:rPr>
          <w:rFonts w:ascii="Times New Roman" w:hAnsi="Times New Roman" w:cs="Times New Roman"/>
          <w:sz w:val="24"/>
          <w:szCs w:val="24"/>
          <w:lang w:val="es"/>
        </w:rPr>
        <w:t xml:space="preserve"> regulados y propiedad de inversores privados </w:t>
      </w:r>
      <w:r w:rsidRPr="00D470F4">
        <w:rPr>
          <w:rFonts w:ascii="Times New Roman" w:hAnsi="Times New Roman" w:cs="Times New Roman"/>
          <w:color w:val="231F20"/>
          <w:spacing w:val="-6"/>
          <w:sz w:val="24"/>
          <w:szCs w:val="24"/>
          <w:lang w:val="es"/>
        </w:rPr>
        <w:t>fue "ampliamente admirado y exportado al extranjero</w:t>
      </w:r>
      <w:r w:rsidRPr="00D470F4">
        <w:rPr>
          <w:rFonts w:ascii="Times New Roman" w:hAnsi="Times New Roman" w:cs="Times New Roman"/>
          <w:sz w:val="24"/>
          <w:szCs w:val="24"/>
          <w:lang w:val="es"/>
        </w:rPr>
        <w:t xml:space="preserve"> en los años de la </w:t>
      </w:r>
      <w:r w:rsidRPr="00D470F4">
        <w:rPr>
          <w:rFonts w:ascii="Times New Roman" w:hAnsi="Times New Roman" w:cs="Times New Roman"/>
          <w:color w:val="231F20"/>
          <w:spacing w:val="12"/>
          <w:sz w:val="24"/>
          <w:szCs w:val="24"/>
          <w:lang w:val="es"/>
        </w:rPr>
        <w:t xml:space="preserve"> posguerra</w:t>
      </w:r>
      <w:r w:rsidRPr="00D470F4">
        <w:rPr>
          <w:rFonts w:ascii="Times New Roman" w:hAnsi="Times New Roman" w:cs="Times New Roman"/>
          <w:color w:val="231F20"/>
          <w:spacing w:val="11"/>
          <w:sz w:val="24"/>
          <w:szCs w:val="24"/>
          <w:lang w:val="es"/>
        </w:rPr>
        <w:t>, aunque</w:t>
      </w:r>
      <w:r w:rsidRPr="00D470F4">
        <w:rPr>
          <w:rFonts w:ascii="Times New Roman" w:hAnsi="Times New Roman" w:cs="Times New Roman"/>
          <w:color w:val="231F20"/>
          <w:spacing w:val="9"/>
          <w:sz w:val="24"/>
          <w:szCs w:val="24"/>
          <w:lang w:val="es"/>
        </w:rPr>
        <w:t xml:space="preserve"> pocos</w:t>
      </w:r>
      <w:r w:rsidRPr="00D470F4">
        <w:rPr>
          <w:rFonts w:ascii="Times New Roman" w:hAnsi="Times New Roman" w:cs="Times New Roman"/>
          <w:sz w:val="24"/>
          <w:szCs w:val="24"/>
          <w:lang w:val="es"/>
        </w:rPr>
        <w:t xml:space="preserve"> </w:t>
      </w:r>
      <w:r w:rsidRPr="00D470F4">
        <w:rPr>
          <w:rFonts w:ascii="Times New Roman" w:hAnsi="Times New Roman" w:cs="Times New Roman"/>
          <w:color w:val="231F20"/>
          <w:spacing w:val="-2"/>
          <w:sz w:val="24"/>
          <w:szCs w:val="24"/>
          <w:lang w:val="es"/>
        </w:rPr>
        <w:t xml:space="preserve">países en desarrollo tenían la capacidad de duplicar los </w:t>
      </w:r>
      <w:r w:rsidRPr="00D470F4">
        <w:rPr>
          <w:rFonts w:ascii="Times New Roman" w:hAnsi="Times New Roman" w:cs="Times New Roman"/>
          <w:color w:val="231F20"/>
          <w:w w:val="90"/>
          <w:sz w:val="24"/>
          <w:szCs w:val="24"/>
          <w:lang w:val="es"/>
        </w:rPr>
        <w:t xml:space="preserve">controles y equilibrios público-privados inherentes </w:t>
      </w:r>
      <w:r w:rsidRPr="00D470F4">
        <w:rPr>
          <w:rFonts w:ascii="Times New Roman" w:hAnsi="Times New Roman" w:cs="Times New Roman"/>
          <w:color w:val="231F20"/>
          <w:sz w:val="24"/>
          <w:szCs w:val="24"/>
          <w:lang w:val="es"/>
        </w:rPr>
        <w:t xml:space="preserve">al </w:t>
      </w:r>
      <w:r w:rsidRPr="00D470F4">
        <w:rPr>
          <w:rFonts w:ascii="Times New Roman" w:hAnsi="Times New Roman" w:cs="Times New Roman"/>
          <w:color w:val="231F20"/>
          <w:spacing w:val="9"/>
          <w:sz w:val="24"/>
          <w:szCs w:val="24"/>
          <w:lang w:val="es"/>
        </w:rPr>
        <w:t>sistema estadounidense" (Williams</w:t>
      </w:r>
      <w:r w:rsidRPr="00D470F4">
        <w:rPr>
          <w:rFonts w:ascii="Times New Roman" w:hAnsi="Times New Roman" w:cs="Times New Roman"/>
          <w:color w:val="231F20"/>
          <w:sz w:val="24"/>
          <w:szCs w:val="24"/>
          <w:lang w:val="es"/>
        </w:rPr>
        <w:t xml:space="preserve"> y </w:t>
      </w:r>
      <w:proofErr w:type="spellStart"/>
      <w:r w:rsidRPr="00D470F4">
        <w:rPr>
          <w:rFonts w:ascii="Times New Roman" w:hAnsi="Times New Roman" w:cs="Times New Roman"/>
          <w:color w:val="231F20"/>
          <w:sz w:val="24"/>
          <w:szCs w:val="24"/>
          <w:lang w:val="es"/>
        </w:rPr>
        <w:t>Dubash</w:t>
      </w:r>
      <w:proofErr w:type="spellEnd"/>
      <w:r w:rsidRPr="00D470F4">
        <w:rPr>
          <w:rFonts w:ascii="Times New Roman" w:hAnsi="Times New Roman" w:cs="Times New Roman"/>
          <w:color w:val="231F20"/>
          <w:sz w:val="24"/>
          <w:szCs w:val="24"/>
          <w:lang w:val="es"/>
        </w:rPr>
        <w:t xml:space="preserve"> 2004).</w:t>
      </w:r>
      <w:r w:rsidRPr="00D470F4">
        <w:rPr>
          <w:rFonts w:ascii="Times New Roman" w:hAnsi="Times New Roman" w:cs="Times New Roman"/>
          <w:color w:val="231F20"/>
          <w:spacing w:val="14"/>
          <w:sz w:val="24"/>
          <w:szCs w:val="24"/>
          <w:lang w:val="es"/>
        </w:rPr>
        <w:t xml:space="preserve"> </w:t>
      </w:r>
    </w:p>
    <w:p w14:paraId="2B670FBA" w14:textId="63601AA4" w:rsidR="00132D23" w:rsidRPr="00D470F4" w:rsidRDefault="00132D23" w:rsidP="00132D23">
      <w:pPr>
        <w:pStyle w:val="Textoindependiente"/>
        <w:spacing w:line="480" w:lineRule="auto"/>
        <w:ind w:firstLine="239"/>
        <w:rPr>
          <w:rFonts w:ascii="Times New Roman" w:hAnsi="Times New Roman" w:cs="Times New Roman"/>
          <w:sz w:val="24"/>
          <w:szCs w:val="24"/>
        </w:rPr>
      </w:pPr>
      <w:r w:rsidRPr="00D470F4">
        <w:rPr>
          <w:rFonts w:ascii="Times New Roman" w:hAnsi="Times New Roman" w:cs="Times New Roman"/>
          <w:color w:val="231F20"/>
          <w:w w:val="90"/>
          <w:sz w:val="24"/>
          <w:szCs w:val="24"/>
          <w:lang w:val="es"/>
        </w:rPr>
        <w:t xml:space="preserve">En las décadas de 1970 y 1980, sin embargo, varios </w:t>
      </w:r>
      <w:r w:rsidRPr="00D470F4">
        <w:rPr>
          <w:rFonts w:ascii="Times New Roman" w:hAnsi="Times New Roman" w:cs="Times New Roman"/>
          <w:color w:val="231F20"/>
          <w:spacing w:val="-2"/>
          <w:w w:val="90"/>
          <w:sz w:val="24"/>
          <w:szCs w:val="24"/>
          <w:lang w:val="es"/>
        </w:rPr>
        <w:t xml:space="preserve">factores económicos y políticos se unieron para </w:t>
      </w:r>
      <w:r w:rsidRPr="00D470F4">
        <w:rPr>
          <w:rFonts w:ascii="Times New Roman" w:hAnsi="Times New Roman" w:cs="Times New Roman"/>
          <w:color w:val="231F20"/>
          <w:w w:val="90"/>
          <w:sz w:val="24"/>
          <w:szCs w:val="24"/>
          <w:lang w:val="es"/>
        </w:rPr>
        <w:t>desencadenar un alejamiento del paradigma del control estatal</w:t>
      </w:r>
      <w:r w:rsidRPr="00D470F4">
        <w:rPr>
          <w:rFonts w:ascii="Times New Roman" w:hAnsi="Times New Roman" w:cs="Times New Roman"/>
          <w:color w:val="231F20"/>
          <w:spacing w:val="-2"/>
          <w:sz w:val="24"/>
          <w:szCs w:val="24"/>
          <w:lang w:val="es"/>
        </w:rPr>
        <w:t xml:space="preserve">. Los países agotaron las economías </w:t>
      </w:r>
      <w:r w:rsidRPr="00D470F4">
        <w:rPr>
          <w:rFonts w:ascii="Times New Roman" w:hAnsi="Times New Roman" w:cs="Times New Roman"/>
          <w:sz w:val="24"/>
          <w:szCs w:val="24"/>
          <w:lang w:val="es"/>
        </w:rPr>
        <w:t xml:space="preserve">de </w:t>
      </w:r>
      <w:r w:rsidRPr="00D470F4">
        <w:rPr>
          <w:rFonts w:ascii="Times New Roman" w:hAnsi="Times New Roman" w:cs="Times New Roman"/>
          <w:color w:val="231F20"/>
          <w:spacing w:val="-2"/>
          <w:w w:val="90"/>
          <w:sz w:val="24"/>
          <w:szCs w:val="24"/>
          <w:lang w:val="es"/>
        </w:rPr>
        <w:t xml:space="preserve">escala y alcance en el sector eléctrico, dependiendo </w:t>
      </w:r>
      <w:r w:rsidRPr="00D470F4">
        <w:rPr>
          <w:rFonts w:ascii="Times New Roman" w:hAnsi="Times New Roman" w:cs="Times New Roman"/>
          <w:color w:val="231F20"/>
          <w:w w:val="90"/>
          <w:sz w:val="24"/>
          <w:szCs w:val="24"/>
          <w:lang w:val="es"/>
        </w:rPr>
        <w:t xml:space="preserve">del combustible y la tecnología utilizados y el legado </w:t>
      </w:r>
      <w:r w:rsidRPr="00D470F4">
        <w:rPr>
          <w:rFonts w:ascii="Times New Roman" w:hAnsi="Times New Roman" w:cs="Times New Roman"/>
          <w:color w:val="231F20"/>
          <w:spacing w:val="-6"/>
          <w:sz w:val="24"/>
          <w:szCs w:val="24"/>
          <w:lang w:val="es"/>
        </w:rPr>
        <w:t>de políticas anteriores (</w:t>
      </w:r>
      <w:proofErr w:type="spellStart"/>
      <w:r w:rsidRPr="00D470F4">
        <w:rPr>
          <w:rFonts w:ascii="Times New Roman" w:hAnsi="Times New Roman" w:cs="Times New Roman"/>
          <w:color w:val="231F20"/>
          <w:spacing w:val="-6"/>
          <w:sz w:val="24"/>
          <w:szCs w:val="24"/>
          <w:lang w:val="es"/>
        </w:rPr>
        <w:t>Victor</w:t>
      </w:r>
      <w:proofErr w:type="spellEnd"/>
      <w:r w:rsidRPr="00D470F4">
        <w:rPr>
          <w:rFonts w:ascii="Times New Roman" w:hAnsi="Times New Roman" w:cs="Times New Roman"/>
          <w:color w:val="231F20"/>
          <w:spacing w:val="-6"/>
          <w:sz w:val="24"/>
          <w:szCs w:val="24"/>
          <w:lang w:val="es"/>
        </w:rPr>
        <w:t xml:space="preserve"> y Heller 2007). Las </w:t>
      </w:r>
      <w:r w:rsidRPr="00D470F4">
        <w:rPr>
          <w:rFonts w:ascii="Times New Roman" w:hAnsi="Times New Roman" w:cs="Times New Roman"/>
          <w:color w:val="231F20"/>
          <w:w w:val="90"/>
          <w:sz w:val="24"/>
          <w:szCs w:val="24"/>
          <w:lang w:val="es"/>
        </w:rPr>
        <w:t xml:space="preserve">crisis del petróleo del decenio de 1970 hicieron que los países tomaran conciencia de su vulnerabilidad a las importaciones de combustible. Esta conciencia contribuyó a una creciente conciencia de los beneficios de la conservación de la energía, especialmente </w:t>
      </w:r>
      <w:r w:rsidRPr="00D470F4">
        <w:rPr>
          <w:rFonts w:ascii="Times New Roman" w:hAnsi="Times New Roman" w:cs="Times New Roman"/>
          <w:sz w:val="24"/>
          <w:szCs w:val="24"/>
          <w:lang w:val="es"/>
        </w:rPr>
        <w:t xml:space="preserve">en </w:t>
      </w:r>
      <w:r w:rsidRPr="00D470F4">
        <w:rPr>
          <w:rFonts w:ascii="Times New Roman" w:hAnsi="Times New Roman" w:cs="Times New Roman"/>
          <w:color w:val="231F20"/>
          <w:sz w:val="24"/>
          <w:szCs w:val="24"/>
          <w:lang w:val="es"/>
        </w:rPr>
        <w:t xml:space="preserve">los Estados Unidos, donde la experiencia </w:t>
      </w:r>
      <w:proofErr w:type="gramStart"/>
      <w:r w:rsidRPr="00D470F4">
        <w:rPr>
          <w:rFonts w:ascii="Times New Roman" w:hAnsi="Times New Roman" w:cs="Times New Roman"/>
          <w:color w:val="231F20"/>
          <w:sz w:val="24"/>
          <w:szCs w:val="24"/>
          <w:lang w:val="es"/>
        </w:rPr>
        <w:t xml:space="preserve">con </w:t>
      </w:r>
      <w:r w:rsidRPr="00D470F4">
        <w:rPr>
          <w:rFonts w:ascii="Times New Roman" w:hAnsi="Times New Roman" w:cs="Times New Roman"/>
          <w:sz w:val="24"/>
          <w:szCs w:val="24"/>
          <w:lang w:val="es"/>
        </w:rPr>
        <w:t xml:space="preserve"> la</w:t>
      </w:r>
      <w:proofErr w:type="gramEnd"/>
      <w:r w:rsidRPr="00D470F4">
        <w:rPr>
          <w:rFonts w:ascii="Times New Roman" w:hAnsi="Times New Roman" w:cs="Times New Roman"/>
          <w:sz w:val="24"/>
          <w:szCs w:val="24"/>
          <w:lang w:val="es"/>
        </w:rPr>
        <w:t xml:space="preserve"> </w:t>
      </w:r>
      <w:r w:rsidRPr="00D470F4">
        <w:rPr>
          <w:rFonts w:ascii="Times New Roman" w:hAnsi="Times New Roman" w:cs="Times New Roman"/>
          <w:color w:val="231F20"/>
          <w:w w:val="90"/>
          <w:sz w:val="24"/>
          <w:szCs w:val="24"/>
          <w:lang w:val="es"/>
        </w:rPr>
        <w:t xml:space="preserve">energía nuclear erosionó la confianza en los servicios públicos. Las crisis del petróleo </w:t>
      </w:r>
      <w:r w:rsidRPr="00D470F4">
        <w:rPr>
          <w:rFonts w:ascii="Times New Roman" w:hAnsi="Times New Roman" w:cs="Times New Roman"/>
          <w:color w:val="231F20"/>
          <w:spacing w:val="-4"/>
          <w:w w:val="90"/>
          <w:sz w:val="24"/>
          <w:szCs w:val="24"/>
          <w:lang w:val="es"/>
        </w:rPr>
        <w:t xml:space="preserve">contribuyeron a la recesión económica mundial. </w:t>
      </w:r>
      <w:r w:rsidRPr="00D470F4">
        <w:rPr>
          <w:rFonts w:ascii="Times New Roman" w:hAnsi="Times New Roman" w:cs="Times New Roman"/>
          <w:sz w:val="24"/>
          <w:szCs w:val="24"/>
          <w:lang w:val="es"/>
        </w:rPr>
        <w:t>La</w:t>
      </w:r>
      <w:r w:rsidRPr="00D470F4">
        <w:rPr>
          <w:rFonts w:ascii="Times New Roman" w:hAnsi="Times New Roman" w:cs="Times New Roman"/>
          <w:color w:val="231F20"/>
          <w:w w:val="90"/>
          <w:sz w:val="24"/>
          <w:szCs w:val="24"/>
          <w:lang w:val="es"/>
        </w:rPr>
        <w:t xml:space="preserve"> crisis de la deuda de América Latina en la década de 1980 también jugó un papel. Los países endeudados recurrieron al </w:t>
      </w:r>
      <w:r w:rsidRPr="00D470F4">
        <w:rPr>
          <w:rFonts w:ascii="Times New Roman" w:hAnsi="Times New Roman" w:cs="Times New Roman"/>
          <w:color w:val="231F20"/>
          <w:spacing w:val="-4"/>
          <w:sz w:val="24"/>
          <w:szCs w:val="24"/>
          <w:lang w:val="es"/>
        </w:rPr>
        <w:t>Fondo Monetario Internacional y a otras</w:t>
      </w:r>
      <w:r w:rsidRPr="00D470F4">
        <w:rPr>
          <w:rFonts w:ascii="Times New Roman" w:hAnsi="Times New Roman" w:cs="Times New Roman"/>
          <w:sz w:val="24"/>
          <w:szCs w:val="24"/>
          <w:lang w:val="es"/>
        </w:rPr>
        <w:t xml:space="preserve"> fuentes </w:t>
      </w:r>
      <w:r w:rsidRPr="00D470F4">
        <w:rPr>
          <w:rFonts w:ascii="Times New Roman" w:hAnsi="Times New Roman" w:cs="Times New Roman"/>
          <w:color w:val="231F20"/>
          <w:spacing w:val="-4"/>
          <w:sz w:val="24"/>
          <w:szCs w:val="24"/>
          <w:lang w:val="es"/>
        </w:rPr>
        <w:t>extranjeras</w:t>
      </w:r>
      <w:r w:rsidRPr="00D470F4">
        <w:rPr>
          <w:rFonts w:ascii="Times New Roman" w:hAnsi="Times New Roman" w:cs="Times New Roman"/>
          <w:color w:val="231F20"/>
          <w:sz w:val="24"/>
          <w:szCs w:val="24"/>
          <w:lang w:val="es"/>
        </w:rPr>
        <w:t xml:space="preserve"> para obtener financiación. Al mismo tiempo, la innovación tecnológica abrió nuevas </w:t>
      </w:r>
      <w:r w:rsidRPr="00D470F4">
        <w:rPr>
          <w:rFonts w:ascii="Times New Roman" w:hAnsi="Times New Roman" w:cs="Times New Roman"/>
          <w:color w:val="231F20"/>
          <w:w w:val="90"/>
          <w:sz w:val="24"/>
          <w:szCs w:val="24"/>
          <w:lang w:val="es"/>
        </w:rPr>
        <w:t xml:space="preserve">posibilidades. Las </w:t>
      </w:r>
      <w:r w:rsidRPr="00D470F4">
        <w:rPr>
          <w:rFonts w:ascii="Times New Roman" w:hAnsi="Times New Roman" w:cs="Times New Roman"/>
          <w:sz w:val="24"/>
          <w:szCs w:val="24"/>
          <w:lang w:val="es"/>
        </w:rPr>
        <w:t xml:space="preserve">centrales eléctricas de turbina de gas de ciclo combinado </w:t>
      </w:r>
      <w:r w:rsidRPr="00D470F4">
        <w:rPr>
          <w:rFonts w:ascii="Times New Roman" w:hAnsi="Times New Roman" w:cs="Times New Roman"/>
          <w:color w:val="231F20"/>
          <w:spacing w:val="-4"/>
          <w:sz w:val="24"/>
          <w:szCs w:val="24"/>
          <w:lang w:val="es"/>
        </w:rPr>
        <w:t xml:space="preserve">(CCGT) recientemente desarrolladas fueron más </w:t>
      </w:r>
      <w:r w:rsidRPr="00D470F4">
        <w:rPr>
          <w:rFonts w:ascii="Times New Roman" w:hAnsi="Times New Roman" w:cs="Times New Roman"/>
          <w:color w:val="231F20"/>
          <w:sz w:val="24"/>
          <w:szCs w:val="24"/>
          <w:lang w:val="es"/>
        </w:rPr>
        <w:t xml:space="preserve">eficientes, a menor escala, que </w:t>
      </w:r>
      <w:r w:rsidRPr="00D470F4">
        <w:rPr>
          <w:rFonts w:ascii="Times New Roman" w:hAnsi="Times New Roman" w:cs="Times New Roman"/>
          <w:color w:val="231F20"/>
          <w:spacing w:val="-2"/>
          <w:w w:val="90"/>
          <w:sz w:val="24"/>
          <w:szCs w:val="24"/>
          <w:lang w:val="es"/>
        </w:rPr>
        <w:t xml:space="preserve">las centrales eléctricas de combustibles fósiles, reduciendo drásticamente </w:t>
      </w:r>
      <w:proofErr w:type="gramStart"/>
      <w:r w:rsidRPr="00D470F4">
        <w:rPr>
          <w:rFonts w:ascii="Times New Roman" w:hAnsi="Times New Roman" w:cs="Times New Roman"/>
          <w:color w:val="231F20"/>
          <w:spacing w:val="-2"/>
          <w:w w:val="90"/>
          <w:sz w:val="24"/>
          <w:szCs w:val="24"/>
          <w:lang w:val="es"/>
        </w:rPr>
        <w:t xml:space="preserve">los </w:t>
      </w:r>
      <w:r w:rsidRPr="00D470F4">
        <w:rPr>
          <w:rFonts w:ascii="Times New Roman" w:hAnsi="Times New Roman" w:cs="Times New Roman"/>
          <w:sz w:val="24"/>
          <w:szCs w:val="24"/>
          <w:lang w:val="es"/>
        </w:rPr>
        <w:t xml:space="preserve"> requisitos</w:t>
      </w:r>
      <w:proofErr w:type="gramEnd"/>
      <w:r w:rsidRPr="00D470F4">
        <w:rPr>
          <w:rFonts w:ascii="Times New Roman" w:hAnsi="Times New Roman" w:cs="Times New Roman"/>
          <w:sz w:val="24"/>
          <w:szCs w:val="24"/>
          <w:lang w:val="es"/>
        </w:rPr>
        <w:t xml:space="preserve"> de capital</w:t>
      </w:r>
      <w:r w:rsidRPr="00D470F4">
        <w:rPr>
          <w:rFonts w:ascii="Times New Roman" w:hAnsi="Times New Roman" w:cs="Times New Roman"/>
          <w:color w:val="231F20"/>
          <w:spacing w:val="-6"/>
          <w:sz w:val="24"/>
          <w:szCs w:val="24"/>
          <w:lang w:val="es"/>
        </w:rPr>
        <w:t xml:space="preserve">, </w:t>
      </w:r>
      <w:r w:rsidRPr="00D470F4">
        <w:rPr>
          <w:rFonts w:ascii="Times New Roman" w:hAnsi="Times New Roman" w:cs="Times New Roman"/>
          <w:color w:val="231F20"/>
          <w:spacing w:val="-6"/>
          <w:sz w:val="24"/>
          <w:szCs w:val="24"/>
          <w:lang w:val="es"/>
        </w:rPr>
        <w:lastRenderedPageBreak/>
        <w:t xml:space="preserve">así como el costo marginal de la </w:t>
      </w:r>
      <w:r w:rsidRPr="00D470F4">
        <w:rPr>
          <w:rFonts w:ascii="Times New Roman" w:hAnsi="Times New Roman" w:cs="Times New Roman"/>
          <w:color w:val="231F20"/>
          <w:w w:val="90"/>
          <w:sz w:val="24"/>
          <w:szCs w:val="24"/>
          <w:lang w:val="es"/>
        </w:rPr>
        <w:t xml:space="preserve">energía generada a partir de nuevas plantas. Los avances en la tecnología de la información y la comunicación facilitaron la coordinación del funcionamiento de la red y la </w:t>
      </w:r>
      <w:r w:rsidRPr="00D470F4">
        <w:rPr>
          <w:rFonts w:ascii="Times New Roman" w:hAnsi="Times New Roman" w:cs="Times New Roman"/>
          <w:color w:val="231F20"/>
          <w:spacing w:val="-2"/>
          <w:sz w:val="24"/>
          <w:szCs w:val="24"/>
          <w:lang w:val="es"/>
        </w:rPr>
        <w:t xml:space="preserve">integración de plantas independientes. Estos logros, sin embargo, fueron compensados por varios desafíos. Los costos promedio de generación de energía reflejaron la </w:t>
      </w:r>
      <w:r w:rsidRPr="00D470F4">
        <w:rPr>
          <w:rFonts w:ascii="Times New Roman" w:hAnsi="Times New Roman" w:cs="Times New Roman"/>
          <w:color w:val="231F20"/>
          <w:w w:val="90"/>
          <w:sz w:val="24"/>
          <w:szCs w:val="24"/>
          <w:lang w:val="es"/>
        </w:rPr>
        <w:t xml:space="preserve">inversión de capital hundida en activos envejecidos que </w:t>
      </w:r>
      <w:r w:rsidRPr="00D470F4">
        <w:rPr>
          <w:rFonts w:ascii="Times New Roman" w:hAnsi="Times New Roman" w:cs="Times New Roman"/>
          <w:color w:val="231F20"/>
          <w:spacing w:val="-2"/>
          <w:sz w:val="24"/>
          <w:szCs w:val="24"/>
          <w:lang w:val="es"/>
        </w:rPr>
        <w:t xml:space="preserve">se volvieron antieconómicos antes del final de su </w:t>
      </w:r>
      <w:r w:rsidRPr="00D470F4">
        <w:rPr>
          <w:rFonts w:ascii="Times New Roman" w:hAnsi="Times New Roman" w:cs="Times New Roman"/>
          <w:color w:val="231F20"/>
          <w:sz w:val="24"/>
          <w:szCs w:val="24"/>
          <w:lang w:val="es"/>
        </w:rPr>
        <w:t xml:space="preserve">vida útil esperada. A medida que el </w:t>
      </w:r>
      <w:r w:rsidRPr="00D470F4">
        <w:rPr>
          <w:rFonts w:ascii="Times New Roman" w:hAnsi="Times New Roman" w:cs="Times New Roman"/>
          <w:sz w:val="24"/>
          <w:szCs w:val="24"/>
          <w:lang w:val="es"/>
        </w:rPr>
        <w:t xml:space="preserve">crecimiento de la demanda de los países de altos ingresos </w:t>
      </w:r>
      <w:r w:rsidRPr="00D470F4">
        <w:rPr>
          <w:rFonts w:ascii="Times New Roman" w:hAnsi="Times New Roman" w:cs="Times New Roman"/>
          <w:color w:val="231F20"/>
          <w:spacing w:val="-4"/>
          <w:sz w:val="24"/>
          <w:szCs w:val="24"/>
          <w:lang w:val="es"/>
        </w:rPr>
        <w:t>se desaceleró,</w:t>
      </w:r>
      <w:r w:rsidRPr="00D470F4">
        <w:rPr>
          <w:rFonts w:ascii="Times New Roman" w:hAnsi="Times New Roman" w:cs="Times New Roman"/>
          <w:sz w:val="24"/>
          <w:szCs w:val="24"/>
          <w:lang w:val="es"/>
        </w:rPr>
        <w:t xml:space="preserve"> sus</w:t>
      </w:r>
      <w:r w:rsidRPr="00D470F4">
        <w:rPr>
          <w:rFonts w:ascii="Times New Roman" w:hAnsi="Times New Roman" w:cs="Times New Roman"/>
          <w:color w:val="231F20"/>
          <w:spacing w:val="-4"/>
          <w:sz w:val="24"/>
          <w:szCs w:val="24"/>
          <w:lang w:val="es"/>
        </w:rPr>
        <w:t xml:space="preserve"> compañías</w:t>
      </w:r>
      <w:r w:rsidRPr="00D470F4">
        <w:rPr>
          <w:rFonts w:ascii="Times New Roman" w:hAnsi="Times New Roman" w:cs="Times New Roman"/>
          <w:sz w:val="24"/>
          <w:szCs w:val="24"/>
          <w:lang w:val="es"/>
        </w:rPr>
        <w:t xml:space="preserve"> eléctricas </w:t>
      </w:r>
      <w:r w:rsidRPr="00D470F4">
        <w:rPr>
          <w:rFonts w:ascii="Times New Roman" w:hAnsi="Times New Roman" w:cs="Times New Roman"/>
          <w:color w:val="231F20"/>
          <w:w w:val="90"/>
          <w:sz w:val="24"/>
          <w:szCs w:val="24"/>
          <w:lang w:val="es"/>
        </w:rPr>
        <w:t>expandieron</w:t>
      </w:r>
      <w:r w:rsidRPr="00D470F4">
        <w:rPr>
          <w:rFonts w:ascii="Times New Roman" w:hAnsi="Times New Roman" w:cs="Times New Roman"/>
          <w:color w:val="231F20"/>
          <w:spacing w:val="-2"/>
          <w:w w:val="90"/>
          <w:sz w:val="24"/>
          <w:szCs w:val="24"/>
          <w:lang w:val="es"/>
        </w:rPr>
        <w:t xml:space="preserve"> sus </w:t>
      </w:r>
      <w:r w:rsidRPr="00D470F4">
        <w:rPr>
          <w:rFonts w:ascii="Times New Roman" w:hAnsi="Times New Roman" w:cs="Times New Roman"/>
          <w:color w:val="231F20"/>
          <w:w w:val="90"/>
          <w:sz w:val="24"/>
          <w:szCs w:val="24"/>
          <w:lang w:val="es"/>
        </w:rPr>
        <w:t>negocios a los mercados de los países en desarrollo. La posterior mala gestión</w:t>
      </w:r>
      <w:r w:rsidRPr="00D470F4">
        <w:rPr>
          <w:rFonts w:ascii="Times New Roman" w:hAnsi="Times New Roman" w:cs="Times New Roman"/>
          <w:sz w:val="24"/>
          <w:szCs w:val="24"/>
          <w:lang w:val="es"/>
        </w:rPr>
        <w:t xml:space="preserve"> de las corrientes </w:t>
      </w:r>
      <w:r w:rsidRPr="00D470F4">
        <w:rPr>
          <w:rFonts w:ascii="Times New Roman" w:hAnsi="Times New Roman" w:cs="Times New Roman"/>
          <w:color w:val="231F20"/>
          <w:w w:val="90"/>
          <w:sz w:val="24"/>
          <w:szCs w:val="24"/>
          <w:lang w:val="es"/>
        </w:rPr>
        <w:t>internacionales</w:t>
      </w:r>
      <w:r w:rsidRPr="00D470F4">
        <w:rPr>
          <w:rFonts w:ascii="Times New Roman" w:hAnsi="Times New Roman" w:cs="Times New Roman"/>
          <w:sz w:val="24"/>
          <w:szCs w:val="24"/>
          <w:lang w:val="es"/>
        </w:rPr>
        <w:t xml:space="preserve"> de </w:t>
      </w:r>
      <w:r w:rsidRPr="00D470F4">
        <w:rPr>
          <w:rFonts w:ascii="Times New Roman" w:hAnsi="Times New Roman" w:cs="Times New Roman"/>
          <w:color w:val="231F20"/>
          <w:spacing w:val="-2"/>
          <w:sz w:val="24"/>
          <w:szCs w:val="24"/>
          <w:lang w:val="es"/>
        </w:rPr>
        <w:t>capital contribuyó a la crisis financiera asiática de 1997</w:t>
      </w:r>
      <w:r w:rsidRPr="00D470F4">
        <w:rPr>
          <w:rFonts w:ascii="Times New Roman" w:hAnsi="Times New Roman" w:cs="Times New Roman"/>
          <w:color w:val="231F20"/>
          <w:w w:val="90"/>
          <w:sz w:val="24"/>
          <w:szCs w:val="24"/>
          <w:lang w:val="es"/>
        </w:rPr>
        <w:t>, lo que provocó un mayor apoyo</w:t>
      </w:r>
      <w:r w:rsidRPr="00D470F4">
        <w:rPr>
          <w:rFonts w:ascii="Times New Roman" w:hAnsi="Times New Roman" w:cs="Times New Roman"/>
          <w:color w:val="231F20"/>
          <w:spacing w:val="-2"/>
          <w:sz w:val="24"/>
          <w:szCs w:val="24"/>
          <w:lang w:val="es"/>
        </w:rPr>
        <w:t xml:space="preserve"> del Fondo Monetario Internacional </w:t>
      </w:r>
      <w:r w:rsidRPr="00D470F4">
        <w:rPr>
          <w:rFonts w:ascii="Times New Roman" w:hAnsi="Times New Roman" w:cs="Times New Roman"/>
          <w:color w:val="231F20"/>
          <w:sz w:val="24"/>
          <w:szCs w:val="24"/>
          <w:lang w:val="es"/>
        </w:rPr>
        <w:t>y el Banco Mundial.</w:t>
      </w:r>
    </w:p>
    <w:p w14:paraId="2BD31675" w14:textId="5DBE36BA" w:rsidR="00132D23" w:rsidRPr="00D470F4" w:rsidRDefault="00132D23" w:rsidP="00132D23">
      <w:pPr>
        <w:pStyle w:val="Textoindependiente"/>
        <w:spacing w:line="480" w:lineRule="auto"/>
        <w:ind w:firstLine="239"/>
        <w:rPr>
          <w:rFonts w:ascii="Times New Roman" w:hAnsi="Times New Roman" w:cs="Times New Roman"/>
          <w:sz w:val="24"/>
          <w:szCs w:val="24"/>
        </w:rPr>
      </w:pPr>
      <w:r w:rsidRPr="00D470F4">
        <w:rPr>
          <w:rFonts w:ascii="Times New Roman" w:hAnsi="Times New Roman" w:cs="Times New Roman"/>
          <w:color w:val="231F20"/>
          <w:sz w:val="24"/>
          <w:szCs w:val="24"/>
          <w:lang w:val="es"/>
        </w:rPr>
        <w:t xml:space="preserve">Las reformas del sector eléctrico orientadas al mercado </w:t>
      </w:r>
      <w:r w:rsidRPr="00D470F4">
        <w:rPr>
          <w:rFonts w:ascii="Times New Roman" w:hAnsi="Times New Roman" w:cs="Times New Roman"/>
          <w:color w:val="231F20"/>
          <w:w w:val="90"/>
          <w:sz w:val="24"/>
          <w:szCs w:val="24"/>
          <w:lang w:val="es"/>
        </w:rPr>
        <w:t>comenzaron como experimentos basados en la teoría</w:t>
      </w:r>
      <w:r w:rsidRPr="00D470F4">
        <w:rPr>
          <w:rFonts w:ascii="Times New Roman" w:hAnsi="Times New Roman" w:cs="Times New Roman"/>
          <w:sz w:val="24"/>
          <w:szCs w:val="24"/>
          <w:lang w:val="es"/>
        </w:rPr>
        <w:t xml:space="preserve"> económica</w:t>
      </w:r>
      <w:r w:rsidRPr="00D470F4">
        <w:rPr>
          <w:rFonts w:ascii="Times New Roman" w:hAnsi="Times New Roman" w:cs="Times New Roman"/>
          <w:color w:val="231F20"/>
          <w:w w:val="90"/>
          <w:sz w:val="24"/>
          <w:szCs w:val="24"/>
          <w:lang w:val="es"/>
        </w:rPr>
        <w:t xml:space="preserve">, retomados por los líderes políticos. A partir </w:t>
      </w:r>
      <w:r w:rsidRPr="00D470F4">
        <w:rPr>
          <w:rFonts w:ascii="Times New Roman" w:hAnsi="Times New Roman" w:cs="Times New Roman"/>
          <w:sz w:val="24"/>
          <w:szCs w:val="24"/>
          <w:lang w:val="es"/>
        </w:rPr>
        <w:t xml:space="preserve">de </w:t>
      </w:r>
      <w:r w:rsidRPr="00D470F4">
        <w:rPr>
          <w:rFonts w:ascii="Times New Roman" w:hAnsi="Times New Roman" w:cs="Times New Roman"/>
          <w:color w:val="231F20"/>
          <w:spacing w:val="-2"/>
          <w:w w:val="90"/>
          <w:sz w:val="24"/>
          <w:szCs w:val="24"/>
          <w:lang w:val="es"/>
        </w:rPr>
        <w:t>1978, Chile fue el primero en llevar a cabo</w:t>
      </w:r>
      <w:r w:rsidRPr="00D470F4">
        <w:rPr>
          <w:rFonts w:ascii="Times New Roman" w:hAnsi="Times New Roman" w:cs="Times New Roman"/>
          <w:sz w:val="24"/>
          <w:szCs w:val="24"/>
          <w:lang w:val="es"/>
        </w:rPr>
        <w:t xml:space="preserve"> reformas </w:t>
      </w:r>
      <w:r w:rsidRPr="00D470F4">
        <w:rPr>
          <w:rFonts w:ascii="Times New Roman" w:hAnsi="Times New Roman" w:cs="Times New Roman"/>
          <w:color w:val="231F20"/>
          <w:spacing w:val="-2"/>
          <w:w w:val="90"/>
          <w:sz w:val="24"/>
          <w:szCs w:val="24"/>
          <w:lang w:val="es"/>
        </w:rPr>
        <w:t>integrales</w:t>
      </w:r>
      <w:r w:rsidRPr="00D470F4">
        <w:rPr>
          <w:rFonts w:ascii="Times New Roman" w:hAnsi="Times New Roman" w:cs="Times New Roman"/>
          <w:sz w:val="24"/>
          <w:szCs w:val="24"/>
          <w:lang w:val="es"/>
        </w:rPr>
        <w:t xml:space="preserve"> </w:t>
      </w:r>
      <w:proofErr w:type="gramStart"/>
      <w:r w:rsidRPr="00D470F4">
        <w:rPr>
          <w:rFonts w:ascii="Times New Roman" w:hAnsi="Times New Roman" w:cs="Times New Roman"/>
          <w:sz w:val="24"/>
          <w:szCs w:val="24"/>
          <w:lang w:val="es"/>
        </w:rPr>
        <w:t xml:space="preserve">de </w:t>
      </w:r>
      <w:r w:rsidRPr="00D470F4">
        <w:rPr>
          <w:rFonts w:ascii="Times New Roman" w:hAnsi="Times New Roman" w:cs="Times New Roman"/>
          <w:color w:val="231F20"/>
          <w:w w:val="90"/>
          <w:sz w:val="24"/>
          <w:szCs w:val="24"/>
          <w:lang w:val="es"/>
        </w:rPr>
        <w:t xml:space="preserve"> mercado</w:t>
      </w:r>
      <w:proofErr w:type="gramEnd"/>
      <w:r w:rsidRPr="00D470F4">
        <w:rPr>
          <w:rFonts w:ascii="Times New Roman" w:hAnsi="Times New Roman" w:cs="Times New Roman"/>
          <w:color w:val="231F20"/>
          <w:w w:val="90"/>
          <w:sz w:val="24"/>
          <w:szCs w:val="24"/>
          <w:lang w:val="es"/>
        </w:rPr>
        <w:t xml:space="preserve"> en su sector eléctrico (Bacon 1995), fusionando elementos de acuerdos existentes en </w:t>
      </w:r>
      <w:r w:rsidRPr="00D470F4">
        <w:rPr>
          <w:rFonts w:ascii="Times New Roman" w:hAnsi="Times New Roman" w:cs="Times New Roman"/>
          <w:color w:val="231F20"/>
          <w:sz w:val="24"/>
          <w:szCs w:val="24"/>
          <w:lang w:val="es"/>
        </w:rPr>
        <w:t xml:space="preserve"> Bélgica, Francia y el </w:t>
      </w:r>
      <w:r w:rsidRPr="00D470F4">
        <w:rPr>
          <w:rFonts w:ascii="Times New Roman" w:hAnsi="Times New Roman" w:cs="Times New Roman"/>
          <w:color w:val="231F20"/>
          <w:spacing w:val="-6"/>
          <w:sz w:val="24"/>
          <w:szCs w:val="24"/>
          <w:lang w:val="es"/>
        </w:rPr>
        <w:t>Reino Unido (</w:t>
      </w:r>
      <w:proofErr w:type="spellStart"/>
      <w:r w:rsidRPr="00D470F4">
        <w:rPr>
          <w:rFonts w:ascii="Times New Roman" w:hAnsi="Times New Roman" w:cs="Times New Roman"/>
          <w:color w:val="231F20"/>
          <w:spacing w:val="-6"/>
          <w:sz w:val="24"/>
          <w:szCs w:val="24"/>
          <w:lang w:val="es"/>
        </w:rPr>
        <w:t>Pollitt</w:t>
      </w:r>
      <w:proofErr w:type="spellEnd"/>
      <w:r w:rsidRPr="00D470F4">
        <w:rPr>
          <w:rFonts w:ascii="Times New Roman" w:hAnsi="Times New Roman" w:cs="Times New Roman"/>
          <w:color w:val="231F20"/>
          <w:spacing w:val="-6"/>
          <w:sz w:val="24"/>
          <w:szCs w:val="24"/>
          <w:lang w:val="es"/>
        </w:rPr>
        <w:t xml:space="preserve"> 2004). Los fundamentos ideológicos</w:t>
      </w:r>
      <w:r w:rsidRPr="00D470F4">
        <w:rPr>
          <w:rFonts w:ascii="Times New Roman" w:hAnsi="Times New Roman" w:cs="Times New Roman"/>
          <w:sz w:val="24"/>
          <w:szCs w:val="24"/>
          <w:lang w:val="es"/>
        </w:rPr>
        <w:t xml:space="preserve">, </w:t>
      </w:r>
      <w:r w:rsidRPr="00D470F4">
        <w:rPr>
          <w:rFonts w:ascii="Times New Roman" w:hAnsi="Times New Roman" w:cs="Times New Roman"/>
          <w:color w:val="231F20"/>
          <w:w w:val="90"/>
          <w:sz w:val="24"/>
          <w:szCs w:val="24"/>
          <w:lang w:val="es"/>
        </w:rPr>
        <w:t xml:space="preserve">sin embargo, se remontan a los Estados Unidos, en particular, a Milton Friedman y Friedrich Hayek en la Universidad de Chicago. </w:t>
      </w:r>
      <w:r w:rsidRPr="00D470F4">
        <w:rPr>
          <w:rFonts w:ascii="Times New Roman" w:hAnsi="Times New Roman" w:cs="Times New Roman"/>
          <w:sz w:val="24"/>
          <w:szCs w:val="24"/>
          <w:lang w:val="es"/>
        </w:rPr>
        <w:t xml:space="preserve"> </w:t>
      </w:r>
      <w:r w:rsidRPr="00D470F4">
        <w:rPr>
          <w:rFonts w:ascii="Times New Roman" w:hAnsi="Times New Roman" w:cs="Times New Roman"/>
          <w:color w:val="231F20"/>
          <w:sz w:val="24"/>
          <w:szCs w:val="24"/>
          <w:lang w:val="es"/>
        </w:rPr>
        <w:t xml:space="preserve">Una generación de chilenos conocidos como </w:t>
      </w:r>
      <w:proofErr w:type="gramStart"/>
      <w:r w:rsidRPr="00D470F4">
        <w:rPr>
          <w:rFonts w:ascii="Times New Roman" w:hAnsi="Times New Roman" w:cs="Times New Roman"/>
          <w:color w:val="231F20"/>
          <w:spacing w:val="10"/>
          <w:sz w:val="24"/>
          <w:szCs w:val="24"/>
          <w:lang w:val="es"/>
        </w:rPr>
        <w:t xml:space="preserve">los </w:t>
      </w:r>
      <w:r w:rsidRPr="00D470F4">
        <w:rPr>
          <w:rFonts w:ascii="Times New Roman" w:hAnsi="Times New Roman" w:cs="Times New Roman"/>
          <w:sz w:val="24"/>
          <w:szCs w:val="24"/>
          <w:lang w:val="es"/>
        </w:rPr>
        <w:t xml:space="preserve"> "</w:t>
      </w:r>
      <w:proofErr w:type="gramEnd"/>
      <w:r w:rsidRPr="00D470F4">
        <w:rPr>
          <w:rFonts w:ascii="Times New Roman" w:hAnsi="Times New Roman" w:cs="Times New Roman"/>
          <w:color w:val="231F20"/>
          <w:w w:val="90"/>
          <w:sz w:val="24"/>
          <w:szCs w:val="24"/>
          <w:lang w:val="es"/>
        </w:rPr>
        <w:t xml:space="preserve">Chicago Boys" estudió economía allí en la década de 1950. Cuando Augusto Pinochet llegó al </w:t>
      </w:r>
      <w:proofErr w:type="gramStart"/>
      <w:r w:rsidRPr="00D470F4">
        <w:rPr>
          <w:rFonts w:ascii="Times New Roman" w:hAnsi="Times New Roman" w:cs="Times New Roman"/>
          <w:color w:val="231F20"/>
          <w:w w:val="90"/>
          <w:sz w:val="24"/>
          <w:szCs w:val="24"/>
          <w:lang w:val="es"/>
        </w:rPr>
        <w:t xml:space="preserve">poder </w:t>
      </w:r>
      <w:r w:rsidRPr="00D470F4">
        <w:rPr>
          <w:rFonts w:ascii="Times New Roman" w:hAnsi="Times New Roman" w:cs="Times New Roman"/>
          <w:sz w:val="24"/>
          <w:szCs w:val="24"/>
          <w:lang w:val="es"/>
        </w:rPr>
        <w:t xml:space="preserve"> en</w:t>
      </w:r>
      <w:proofErr w:type="gramEnd"/>
      <w:r w:rsidRPr="00D470F4">
        <w:rPr>
          <w:rFonts w:ascii="Times New Roman" w:hAnsi="Times New Roman" w:cs="Times New Roman"/>
          <w:sz w:val="24"/>
          <w:szCs w:val="24"/>
          <w:lang w:val="es"/>
        </w:rPr>
        <w:t xml:space="preserve"> </w:t>
      </w:r>
      <w:r w:rsidRPr="00D470F4">
        <w:rPr>
          <w:rFonts w:ascii="Times New Roman" w:hAnsi="Times New Roman" w:cs="Times New Roman"/>
          <w:color w:val="231F20"/>
          <w:sz w:val="24"/>
          <w:szCs w:val="24"/>
          <w:lang w:val="es"/>
        </w:rPr>
        <w:t xml:space="preserve">Chile en 1975, empoderó </w:t>
      </w:r>
      <w:r w:rsidRPr="00D470F4">
        <w:rPr>
          <w:rFonts w:ascii="Times New Roman" w:hAnsi="Times New Roman" w:cs="Times New Roman"/>
          <w:color w:val="231F20"/>
          <w:spacing w:val="9"/>
          <w:sz w:val="24"/>
          <w:szCs w:val="24"/>
          <w:lang w:val="es"/>
        </w:rPr>
        <w:t xml:space="preserve"> </w:t>
      </w:r>
      <w:r w:rsidRPr="00D470F4">
        <w:rPr>
          <w:rFonts w:ascii="Times New Roman" w:hAnsi="Times New Roman" w:cs="Times New Roman"/>
          <w:color w:val="231F20"/>
          <w:w w:val="90"/>
          <w:sz w:val="24"/>
          <w:szCs w:val="24"/>
          <w:lang w:val="es"/>
        </w:rPr>
        <w:t xml:space="preserve">a los funcionarios recién nombrados de este grupo para perseguir una </w:t>
      </w:r>
      <w:r w:rsidRPr="00D470F4">
        <w:rPr>
          <w:rFonts w:ascii="Times New Roman" w:hAnsi="Times New Roman" w:cs="Times New Roman"/>
          <w:color w:val="231F20"/>
          <w:spacing w:val="-4"/>
          <w:sz w:val="24"/>
          <w:szCs w:val="24"/>
          <w:lang w:val="es"/>
        </w:rPr>
        <w:t xml:space="preserve">"sociedad de mercado revolucionaria", incluso en </w:t>
      </w:r>
      <w:r w:rsidRPr="00D470F4">
        <w:rPr>
          <w:rFonts w:ascii="Times New Roman" w:hAnsi="Times New Roman" w:cs="Times New Roman"/>
          <w:color w:val="231F20"/>
          <w:spacing w:val="11"/>
          <w:sz w:val="24"/>
          <w:szCs w:val="24"/>
          <w:lang w:val="es"/>
        </w:rPr>
        <w:t xml:space="preserve"> </w:t>
      </w:r>
      <w:r w:rsidRPr="00D470F4">
        <w:rPr>
          <w:rFonts w:ascii="Times New Roman" w:hAnsi="Times New Roman" w:cs="Times New Roman"/>
          <w:color w:val="231F20"/>
          <w:sz w:val="24"/>
          <w:szCs w:val="24"/>
          <w:lang w:val="es"/>
        </w:rPr>
        <w:t xml:space="preserve">el sector eléctrico (Clarke 2017). A finales de la </w:t>
      </w:r>
      <w:r w:rsidRPr="00D470F4">
        <w:rPr>
          <w:rFonts w:ascii="Times New Roman" w:hAnsi="Times New Roman" w:cs="Times New Roman"/>
          <w:color w:val="231F20"/>
          <w:w w:val="90"/>
          <w:sz w:val="24"/>
          <w:szCs w:val="24"/>
          <w:lang w:val="es"/>
        </w:rPr>
        <w:t xml:space="preserve">década de 1960, Friedman había afirmado el éxito de las ideas de </w:t>
      </w:r>
      <w:r w:rsidRPr="00D470F4">
        <w:rPr>
          <w:rFonts w:ascii="Times New Roman" w:hAnsi="Times New Roman" w:cs="Times New Roman"/>
          <w:color w:val="231F20"/>
          <w:spacing w:val="-2"/>
          <w:sz w:val="24"/>
          <w:szCs w:val="24"/>
          <w:lang w:val="es"/>
        </w:rPr>
        <w:t xml:space="preserve">libre mercado como una contrarrevolución </w:t>
      </w:r>
      <w:proofErr w:type="gramStart"/>
      <w:r w:rsidRPr="00D470F4">
        <w:rPr>
          <w:rFonts w:ascii="Times New Roman" w:hAnsi="Times New Roman" w:cs="Times New Roman"/>
          <w:color w:val="231F20"/>
          <w:spacing w:val="-2"/>
          <w:sz w:val="24"/>
          <w:szCs w:val="24"/>
          <w:lang w:val="es"/>
        </w:rPr>
        <w:t xml:space="preserve">a </w:t>
      </w:r>
      <w:r w:rsidRPr="00D470F4">
        <w:rPr>
          <w:rFonts w:ascii="Times New Roman" w:hAnsi="Times New Roman" w:cs="Times New Roman"/>
          <w:sz w:val="24"/>
          <w:szCs w:val="24"/>
          <w:lang w:val="es"/>
        </w:rPr>
        <w:t xml:space="preserve"> la</w:t>
      </w:r>
      <w:proofErr w:type="gramEnd"/>
      <w:r w:rsidRPr="00D470F4">
        <w:rPr>
          <w:rFonts w:ascii="Times New Roman" w:hAnsi="Times New Roman" w:cs="Times New Roman"/>
          <w:sz w:val="24"/>
          <w:szCs w:val="24"/>
          <w:lang w:val="es"/>
        </w:rPr>
        <w:t xml:space="preserve"> </w:t>
      </w:r>
      <w:r w:rsidRPr="00D470F4">
        <w:rPr>
          <w:rFonts w:ascii="Times New Roman" w:hAnsi="Times New Roman" w:cs="Times New Roman"/>
          <w:color w:val="231F20"/>
          <w:spacing w:val="-6"/>
          <w:sz w:val="24"/>
          <w:szCs w:val="24"/>
          <w:lang w:val="es"/>
        </w:rPr>
        <w:t xml:space="preserve">economía keynesiana. La influencia de estas </w:t>
      </w:r>
      <w:r w:rsidRPr="00D470F4">
        <w:rPr>
          <w:rFonts w:ascii="Times New Roman" w:hAnsi="Times New Roman" w:cs="Times New Roman"/>
          <w:color w:val="231F20"/>
          <w:sz w:val="24"/>
          <w:szCs w:val="24"/>
          <w:lang w:val="es"/>
        </w:rPr>
        <w:t xml:space="preserve">ideas </w:t>
      </w:r>
      <w:r w:rsidRPr="00D470F4">
        <w:rPr>
          <w:rFonts w:ascii="Times New Roman" w:hAnsi="Times New Roman" w:cs="Times New Roman"/>
          <w:color w:val="231F20"/>
          <w:spacing w:val="9"/>
          <w:sz w:val="24"/>
          <w:szCs w:val="24"/>
          <w:lang w:val="es"/>
        </w:rPr>
        <w:t xml:space="preserve">alcanzó </w:t>
      </w:r>
      <w:r w:rsidRPr="00D470F4">
        <w:rPr>
          <w:rFonts w:ascii="Times New Roman" w:hAnsi="Times New Roman" w:cs="Times New Roman"/>
          <w:color w:val="231F20"/>
          <w:sz w:val="24"/>
          <w:szCs w:val="24"/>
          <w:lang w:val="es"/>
        </w:rPr>
        <w:t xml:space="preserve">nuevas </w:t>
      </w:r>
      <w:r w:rsidRPr="00D470F4">
        <w:rPr>
          <w:rFonts w:ascii="Times New Roman" w:hAnsi="Times New Roman" w:cs="Times New Roman"/>
          <w:color w:val="231F20"/>
          <w:spacing w:val="9"/>
          <w:sz w:val="24"/>
          <w:szCs w:val="24"/>
          <w:lang w:val="es"/>
        </w:rPr>
        <w:t xml:space="preserve">alturas </w:t>
      </w:r>
      <w:r w:rsidRPr="00D470F4">
        <w:rPr>
          <w:rFonts w:ascii="Times New Roman" w:hAnsi="Times New Roman" w:cs="Times New Roman"/>
          <w:color w:val="231F20"/>
          <w:sz w:val="24"/>
          <w:szCs w:val="24"/>
          <w:lang w:val="es"/>
        </w:rPr>
        <w:t xml:space="preserve">cuando </w:t>
      </w:r>
      <w:r w:rsidRPr="00D470F4">
        <w:rPr>
          <w:rFonts w:ascii="Times New Roman" w:hAnsi="Times New Roman" w:cs="Times New Roman"/>
          <w:color w:val="231F20"/>
          <w:spacing w:val="11"/>
          <w:sz w:val="24"/>
          <w:szCs w:val="24"/>
          <w:lang w:val="es"/>
        </w:rPr>
        <w:t xml:space="preserve">la primera </w:t>
      </w:r>
      <w:r w:rsidRPr="00D470F4">
        <w:rPr>
          <w:rFonts w:ascii="Times New Roman" w:hAnsi="Times New Roman" w:cs="Times New Roman"/>
          <w:color w:val="231F20"/>
          <w:sz w:val="24"/>
          <w:szCs w:val="24"/>
          <w:lang w:val="es"/>
        </w:rPr>
        <w:t xml:space="preserve">ministra Margaret Thatcher y el presidente </w:t>
      </w:r>
      <w:r w:rsidRPr="00D470F4">
        <w:rPr>
          <w:rFonts w:ascii="Times New Roman" w:hAnsi="Times New Roman" w:cs="Times New Roman"/>
          <w:color w:val="231F20"/>
          <w:w w:val="90"/>
          <w:sz w:val="24"/>
          <w:szCs w:val="24"/>
          <w:lang w:val="es"/>
        </w:rPr>
        <w:t xml:space="preserve">Ronald Reagan asumieron el cargo en 1979 y 1981, respectivamente. La búsqueda de Thatcher </w:t>
      </w:r>
      <w:r w:rsidRPr="00D470F4">
        <w:rPr>
          <w:rFonts w:ascii="Times New Roman" w:hAnsi="Times New Roman" w:cs="Times New Roman"/>
          <w:sz w:val="24"/>
          <w:szCs w:val="24"/>
          <w:lang w:val="es"/>
        </w:rPr>
        <w:t xml:space="preserve">de reformas de mercado </w:t>
      </w:r>
      <w:r w:rsidRPr="00D470F4">
        <w:rPr>
          <w:rFonts w:ascii="Times New Roman" w:hAnsi="Times New Roman" w:cs="Times New Roman"/>
          <w:color w:val="231F20"/>
          <w:w w:val="90"/>
          <w:sz w:val="24"/>
          <w:szCs w:val="24"/>
          <w:lang w:val="es"/>
        </w:rPr>
        <w:t>en toda la economía</w:t>
      </w:r>
      <w:r w:rsidRPr="00D470F4">
        <w:rPr>
          <w:rFonts w:ascii="Times New Roman" w:hAnsi="Times New Roman" w:cs="Times New Roman"/>
          <w:color w:val="231F20"/>
          <w:spacing w:val="-2"/>
          <w:sz w:val="24"/>
          <w:szCs w:val="24"/>
          <w:lang w:val="es"/>
        </w:rPr>
        <w:t xml:space="preserve"> incluyó la </w:t>
      </w:r>
      <w:proofErr w:type="gramStart"/>
      <w:r w:rsidRPr="00D470F4">
        <w:rPr>
          <w:rFonts w:ascii="Times New Roman" w:hAnsi="Times New Roman" w:cs="Times New Roman"/>
          <w:color w:val="231F20"/>
          <w:spacing w:val="-2"/>
          <w:sz w:val="24"/>
          <w:szCs w:val="24"/>
          <w:lang w:val="es"/>
        </w:rPr>
        <w:t xml:space="preserve">promulgación </w:t>
      </w:r>
      <w:r w:rsidRPr="00D470F4">
        <w:rPr>
          <w:rFonts w:ascii="Times New Roman" w:hAnsi="Times New Roman" w:cs="Times New Roman"/>
          <w:sz w:val="24"/>
          <w:szCs w:val="24"/>
          <w:lang w:val="es"/>
        </w:rPr>
        <w:t xml:space="preserve"> de</w:t>
      </w:r>
      <w:proofErr w:type="gramEnd"/>
      <w:r w:rsidRPr="00D470F4">
        <w:rPr>
          <w:rFonts w:ascii="Times New Roman" w:hAnsi="Times New Roman" w:cs="Times New Roman"/>
          <w:sz w:val="24"/>
          <w:szCs w:val="24"/>
          <w:lang w:val="es"/>
        </w:rPr>
        <w:t xml:space="preserve"> </w:t>
      </w:r>
      <w:r w:rsidRPr="00D470F4">
        <w:rPr>
          <w:rFonts w:ascii="Times New Roman" w:hAnsi="Times New Roman" w:cs="Times New Roman"/>
          <w:color w:val="231F20"/>
          <w:spacing w:val="-10"/>
          <w:sz w:val="24"/>
          <w:szCs w:val="24"/>
          <w:lang w:val="es"/>
        </w:rPr>
        <w:t xml:space="preserve">una reforma completa del sector eléctrico del Reino Unido para 1989, con </w:t>
      </w:r>
      <w:r w:rsidRPr="00D470F4">
        <w:rPr>
          <w:rFonts w:ascii="Times New Roman" w:hAnsi="Times New Roman" w:cs="Times New Roman"/>
          <w:color w:val="231F20"/>
          <w:spacing w:val="-2"/>
          <w:sz w:val="24"/>
          <w:szCs w:val="24"/>
          <w:lang w:val="es"/>
        </w:rPr>
        <w:t xml:space="preserve">un mercado </w:t>
      </w:r>
      <w:r w:rsidRPr="00D470F4">
        <w:rPr>
          <w:rFonts w:ascii="Times New Roman" w:hAnsi="Times New Roman" w:cs="Times New Roman"/>
          <w:color w:val="231F20"/>
          <w:spacing w:val="-2"/>
          <w:sz w:val="24"/>
          <w:szCs w:val="24"/>
          <w:lang w:val="es"/>
        </w:rPr>
        <w:lastRenderedPageBreak/>
        <w:t xml:space="preserve">mayorista de complejidad sin precedentes </w:t>
      </w:r>
      <w:r w:rsidRPr="00D470F4">
        <w:rPr>
          <w:rFonts w:ascii="Times New Roman" w:hAnsi="Times New Roman" w:cs="Times New Roman"/>
          <w:color w:val="231F20"/>
          <w:spacing w:val="-6"/>
          <w:sz w:val="24"/>
          <w:szCs w:val="24"/>
          <w:lang w:val="es"/>
        </w:rPr>
        <w:t xml:space="preserve"> (</w:t>
      </w:r>
      <w:proofErr w:type="spellStart"/>
      <w:r w:rsidRPr="00D470F4">
        <w:rPr>
          <w:rFonts w:ascii="Times New Roman" w:hAnsi="Times New Roman" w:cs="Times New Roman"/>
          <w:color w:val="231F20"/>
          <w:spacing w:val="-6"/>
          <w:sz w:val="24"/>
          <w:szCs w:val="24"/>
          <w:lang w:val="es"/>
        </w:rPr>
        <w:t>Erdogdu</w:t>
      </w:r>
      <w:proofErr w:type="spellEnd"/>
      <w:r w:rsidRPr="00D470F4">
        <w:rPr>
          <w:rFonts w:ascii="Times New Roman" w:hAnsi="Times New Roman" w:cs="Times New Roman"/>
          <w:color w:val="231F20"/>
          <w:spacing w:val="-6"/>
          <w:sz w:val="24"/>
          <w:szCs w:val="24"/>
          <w:lang w:val="es"/>
        </w:rPr>
        <w:t xml:space="preserve"> 2014). En los Estados Unidos</w:t>
      </w:r>
      <w:r w:rsidRPr="00D470F4">
        <w:rPr>
          <w:rFonts w:ascii="Times New Roman" w:hAnsi="Times New Roman" w:cs="Times New Roman"/>
          <w:sz w:val="24"/>
          <w:szCs w:val="24"/>
          <w:lang w:val="es"/>
        </w:rPr>
        <w:t xml:space="preserve">, la </w:t>
      </w:r>
      <w:r w:rsidRPr="00D470F4">
        <w:rPr>
          <w:rFonts w:ascii="Times New Roman" w:hAnsi="Times New Roman" w:cs="Times New Roman"/>
          <w:color w:val="231F20"/>
          <w:w w:val="90"/>
          <w:sz w:val="24"/>
          <w:szCs w:val="24"/>
          <w:lang w:val="es"/>
        </w:rPr>
        <w:t xml:space="preserve">Ley de Política Regulatoria de Servicios Públicos de 1978 </w:t>
      </w:r>
      <w:r w:rsidRPr="00D470F4">
        <w:rPr>
          <w:rFonts w:ascii="Times New Roman" w:hAnsi="Times New Roman" w:cs="Times New Roman"/>
          <w:sz w:val="24"/>
          <w:szCs w:val="24"/>
          <w:lang w:val="es"/>
        </w:rPr>
        <w:t xml:space="preserve">permitió a los productores </w:t>
      </w:r>
      <w:r w:rsidRPr="00D470F4">
        <w:rPr>
          <w:rFonts w:ascii="Times New Roman" w:hAnsi="Times New Roman" w:cs="Times New Roman"/>
          <w:color w:val="231F20"/>
          <w:spacing w:val="-8"/>
          <w:sz w:val="24"/>
          <w:szCs w:val="24"/>
          <w:lang w:val="es"/>
        </w:rPr>
        <w:t xml:space="preserve">de energía independientes relativamente eficientes </w:t>
      </w:r>
      <w:r w:rsidRPr="00D470F4">
        <w:rPr>
          <w:rFonts w:ascii="Times New Roman" w:hAnsi="Times New Roman" w:cs="Times New Roman"/>
          <w:color w:val="231F20"/>
          <w:spacing w:val="-4"/>
          <w:sz w:val="24"/>
          <w:szCs w:val="24"/>
          <w:lang w:val="es"/>
        </w:rPr>
        <w:t xml:space="preserve">servir a la red y, por lo tanto, conservar </w:t>
      </w:r>
      <w:r w:rsidRPr="00D470F4">
        <w:rPr>
          <w:rFonts w:ascii="Times New Roman" w:hAnsi="Times New Roman" w:cs="Times New Roman"/>
          <w:color w:val="231F20"/>
          <w:spacing w:val="-2"/>
          <w:w w:val="90"/>
          <w:sz w:val="24"/>
          <w:szCs w:val="24"/>
          <w:lang w:val="es"/>
        </w:rPr>
        <w:t xml:space="preserve">energía en respuesta a las crisis del petróleo. </w:t>
      </w:r>
      <w:r w:rsidRPr="00D470F4">
        <w:rPr>
          <w:rFonts w:ascii="Times New Roman" w:hAnsi="Times New Roman" w:cs="Times New Roman"/>
          <w:sz w:val="24"/>
          <w:szCs w:val="24"/>
          <w:lang w:val="es"/>
        </w:rPr>
        <w:t xml:space="preserve"> Sin embargo, al </w:t>
      </w:r>
      <w:r w:rsidRPr="00D470F4">
        <w:rPr>
          <w:rFonts w:ascii="Times New Roman" w:hAnsi="Times New Roman" w:cs="Times New Roman"/>
          <w:color w:val="231F20"/>
          <w:spacing w:val="-2"/>
          <w:w w:val="90"/>
          <w:sz w:val="24"/>
          <w:szCs w:val="24"/>
          <w:lang w:val="es"/>
        </w:rPr>
        <w:t>facilitar</w:t>
      </w:r>
      <w:r w:rsidRPr="00D470F4">
        <w:rPr>
          <w:rFonts w:ascii="Times New Roman" w:hAnsi="Times New Roman" w:cs="Times New Roman"/>
          <w:sz w:val="24"/>
          <w:szCs w:val="24"/>
          <w:lang w:val="es"/>
        </w:rPr>
        <w:t xml:space="preserve"> </w:t>
      </w:r>
      <w:proofErr w:type="gramStart"/>
      <w:r w:rsidRPr="00D470F4">
        <w:rPr>
          <w:rFonts w:ascii="Times New Roman" w:hAnsi="Times New Roman" w:cs="Times New Roman"/>
          <w:sz w:val="24"/>
          <w:szCs w:val="24"/>
          <w:lang w:val="es"/>
        </w:rPr>
        <w:t xml:space="preserve">la </w:t>
      </w:r>
      <w:r w:rsidRPr="00D470F4">
        <w:rPr>
          <w:rFonts w:ascii="Times New Roman" w:hAnsi="Times New Roman" w:cs="Times New Roman"/>
          <w:color w:val="231F20"/>
          <w:spacing w:val="-6"/>
          <w:sz w:val="24"/>
          <w:szCs w:val="24"/>
          <w:lang w:val="es"/>
        </w:rPr>
        <w:t xml:space="preserve"> competencia</w:t>
      </w:r>
      <w:proofErr w:type="gramEnd"/>
      <w:r w:rsidRPr="00D470F4">
        <w:rPr>
          <w:rFonts w:ascii="Times New Roman" w:hAnsi="Times New Roman" w:cs="Times New Roman"/>
          <w:color w:val="231F20"/>
          <w:spacing w:val="-6"/>
          <w:sz w:val="24"/>
          <w:szCs w:val="24"/>
          <w:lang w:val="es"/>
        </w:rPr>
        <w:t xml:space="preserve"> con los monopolios establecidos</w:t>
      </w:r>
      <w:r w:rsidRPr="00D470F4">
        <w:rPr>
          <w:rFonts w:ascii="Times New Roman" w:hAnsi="Times New Roman" w:cs="Times New Roman"/>
          <w:sz w:val="24"/>
          <w:szCs w:val="24"/>
          <w:lang w:val="es"/>
        </w:rPr>
        <w:t xml:space="preserve">, la </w:t>
      </w:r>
      <w:r w:rsidRPr="00D470F4">
        <w:rPr>
          <w:rFonts w:ascii="Times New Roman" w:hAnsi="Times New Roman" w:cs="Times New Roman"/>
          <w:color w:val="231F20"/>
          <w:w w:val="90"/>
          <w:sz w:val="24"/>
          <w:szCs w:val="24"/>
          <w:lang w:val="es"/>
        </w:rPr>
        <w:t xml:space="preserve">ley allanó el camino para una </w:t>
      </w:r>
      <w:r w:rsidRPr="00D470F4">
        <w:rPr>
          <w:rFonts w:ascii="Times New Roman" w:hAnsi="Times New Roman" w:cs="Times New Roman"/>
          <w:color w:val="231F20"/>
          <w:spacing w:val="-6"/>
          <w:sz w:val="24"/>
          <w:szCs w:val="24"/>
          <w:lang w:val="es"/>
        </w:rPr>
        <w:t xml:space="preserve">reestructuración más amplia posterior en línea con la </w:t>
      </w:r>
      <w:r w:rsidRPr="00D470F4">
        <w:rPr>
          <w:rFonts w:ascii="Times New Roman" w:hAnsi="Times New Roman" w:cs="Times New Roman"/>
          <w:color w:val="231F20"/>
          <w:w w:val="90"/>
          <w:sz w:val="24"/>
          <w:szCs w:val="24"/>
          <w:lang w:val="es"/>
        </w:rPr>
        <w:t xml:space="preserve">agenda económica liberal del presidente Reagan y su </w:t>
      </w:r>
      <w:r w:rsidRPr="00D470F4">
        <w:rPr>
          <w:rFonts w:ascii="Times New Roman" w:hAnsi="Times New Roman" w:cs="Times New Roman"/>
          <w:color w:val="231F20"/>
          <w:spacing w:val="-8"/>
          <w:sz w:val="24"/>
          <w:szCs w:val="24"/>
          <w:lang w:val="es"/>
        </w:rPr>
        <w:t>sucesor, el presidente George H. W. Bush.</w:t>
      </w:r>
    </w:p>
    <w:p w14:paraId="5C114FB5" w14:textId="0D0EE36E" w:rsidR="00132D23" w:rsidRPr="00D470F4" w:rsidRDefault="00132D23" w:rsidP="00132D23">
      <w:pPr>
        <w:pStyle w:val="Textoindependiente"/>
        <w:spacing w:line="480" w:lineRule="auto"/>
        <w:rPr>
          <w:rFonts w:ascii="Times New Roman" w:hAnsi="Times New Roman" w:cs="Times New Roman"/>
          <w:sz w:val="24"/>
          <w:szCs w:val="24"/>
        </w:rPr>
      </w:pPr>
      <w:r w:rsidRPr="00D470F4">
        <w:rPr>
          <w:rFonts w:ascii="Times New Roman" w:hAnsi="Times New Roman" w:cs="Times New Roman"/>
          <w:color w:val="231F20"/>
          <w:w w:val="90"/>
          <w:sz w:val="24"/>
          <w:szCs w:val="24"/>
          <w:lang w:val="es"/>
        </w:rPr>
        <w:t xml:space="preserve">En la década de 1990, las reformas orientadas </w:t>
      </w:r>
      <w:proofErr w:type="gramStart"/>
      <w:r w:rsidRPr="00D470F4">
        <w:rPr>
          <w:rFonts w:ascii="Times New Roman" w:hAnsi="Times New Roman" w:cs="Times New Roman"/>
          <w:color w:val="231F20"/>
          <w:w w:val="90"/>
          <w:sz w:val="24"/>
          <w:szCs w:val="24"/>
          <w:lang w:val="es"/>
        </w:rPr>
        <w:t>al</w:t>
      </w:r>
      <w:r w:rsidRPr="00D470F4">
        <w:rPr>
          <w:rFonts w:ascii="Times New Roman" w:hAnsi="Times New Roman" w:cs="Times New Roman"/>
          <w:color w:val="231F20"/>
          <w:spacing w:val="-5"/>
          <w:w w:val="90"/>
          <w:sz w:val="24"/>
          <w:szCs w:val="24"/>
          <w:lang w:val="es"/>
        </w:rPr>
        <w:t xml:space="preserve"> </w:t>
      </w:r>
      <w:r w:rsidRPr="00D470F4">
        <w:rPr>
          <w:rFonts w:ascii="Times New Roman" w:hAnsi="Times New Roman" w:cs="Times New Roman"/>
          <w:sz w:val="24"/>
          <w:szCs w:val="24"/>
          <w:lang w:val="es"/>
        </w:rPr>
        <w:t xml:space="preserve"> mercado</w:t>
      </w:r>
      <w:proofErr w:type="gramEnd"/>
      <w:r w:rsidRPr="00D470F4">
        <w:rPr>
          <w:rFonts w:ascii="Times New Roman" w:hAnsi="Times New Roman" w:cs="Times New Roman"/>
          <w:sz w:val="24"/>
          <w:szCs w:val="24"/>
          <w:lang w:val="es"/>
        </w:rPr>
        <w:t xml:space="preserve"> en </w:t>
      </w:r>
      <w:r w:rsidRPr="00D470F4">
        <w:rPr>
          <w:rFonts w:ascii="Times New Roman" w:hAnsi="Times New Roman" w:cs="Times New Roman"/>
          <w:color w:val="231F20"/>
          <w:w w:val="90"/>
          <w:sz w:val="24"/>
          <w:szCs w:val="24"/>
          <w:lang w:val="es"/>
        </w:rPr>
        <w:t xml:space="preserve"> el sector eléctrico se habían cristalizado en una norma global</w:t>
      </w:r>
      <w:r w:rsidRPr="00D470F4">
        <w:rPr>
          <w:rFonts w:ascii="Times New Roman" w:hAnsi="Times New Roman" w:cs="Times New Roman"/>
          <w:color w:val="231F20"/>
          <w:spacing w:val="-2"/>
          <w:sz w:val="24"/>
          <w:szCs w:val="24"/>
          <w:lang w:val="es"/>
        </w:rPr>
        <w:t xml:space="preserve">, aunque con formulaciones alternativas. </w:t>
      </w:r>
      <w:r w:rsidRPr="00D470F4">
        <w:rPr>
          <w:rFonts w:ascii="Times New Roman" w:hAnsi="Times New Roman" w:cs="Times New Roman"/>
          <w:sz w:val="24"/>
          <w:szCs w:val="24"/>
          <w:lang w:val="es"/>
        </w:rPr>
        <w:t xml:space="preserve"> </w:t>
      </w:r>
      <w:r w:rsidRPr="00D470F4">
        <w:rPr>
          <w:rFonts w:ascii="Times New Roman" w:hAnsi="Times New Roman" w:cs="Times New Roman"/>
          <w:color w:val="231F20"/>
          <w:sz w:val="24"/>
          <w:szCs w:val="24"/>
          <w:lang w:val="es"/>
        </w:rPr>
        <w:t xml:space="preserve">Las experiencias orientadas al mercado de los primeros reformadores implicaban un conjunto flexible de ideas. La </w:t>
      </w:r>
      <w:r w:rsidRPr="00D470F4">
        <w:rPr>
          <w:rFonts w:ascii="Times New Roman" w:hAnsi="Times New Roman" w:cs="Times New Roman"/>
          <w:color w:val="231F20"/>
          <w:spacing w:val="-4"/>
          <w:sz w:val="24"/>
          <w:szCs w:val="24"/>
          <w:lang w:val="es"/>
        </w:rPr>
        <w:t xml:space="preserve">literatura reformista los reunió en lo que </w:t>
      </w:r>
      <w:r w:rsidRPr="00D470F4">
        <w:rPr>
          <w:rFonts w:ascii="Times New Roman" w:hAnsi="Times New Roman" w:cs="Times New Roman"/>
          <w:color w:val="231F20"/>
          <w:sz w:val="24"/>
          <w:szCs w:val="24"/>
          <w:lang w:val="es"/>
        </w:rPr>
        <w:t>posteriormente se llamó</w:t>
      </w:r>
      <w:r w:rsidRPr="00D470F4">
        <w:rPr>
          <w:rFonts w:ascii="Times New Roman" w:hAnsi="Times New Roman" w:cs="Times New Roman"/>
          <w:sz w:val="24"/>
          <w:szCs w:val="24"/>
          <w:lang w:val="es"/>
        </w:rPr>
        <w:t xml:space="preserve"> un "</w:t>
      </w:r>
      <w:proofErr w:type="gramStart"/>
      <w:r w:rsidRPr="00D470F4">
        <w:rPr>
          <w:rFonts w:ascii="Times New Roman" w:hAnsi="Times New Roman" w:cs="Times New Roman"/>
          <w:sz w:val="24"/>
          <w:szCs w:val="24"/>
          <w:lang w:val="es"/>
        </w:rPr>
        <w:t xml:space="preserve">plan </w:t>
      </w:r>
      <w:r w:rsidRPr="00D470F4">
        <w:rPr>
          <w:rFonts w:ascii="Times New Roman" w:hAnsi="Times New Roman" w:cs="Times New Roman"/>
          <w:color w:val="231F20"/>
          <w:spacing w:val="-5"/>
          <w:sz w:val="24"/>
          <w:szCs w:val="24"/>
          <w:lang w:val="es"/>
        </w:rPr>
        <w:t xml:space="preserve"> para</w:t>
      </w:r>
      <w:proofErr w:type="gramEnd"/>
      <w:r w:rsidRPr="00D470F4">
        <w:rPr>
          <w:rFonts w:ascii="Times New Roman" w:hAnsi="Times New Roman" w:cs="Times New Roman"/>
          <w:sz w:val="24"/>
          <w:szCs w:val="24"/>
          <w:lang w:val="es"/>
        </w:rPr>
        <w:t xml:space="preserve"> la acción" (</w:t>
      </w:r>
      <w:r w:rsidRPr="00D470F4">
        <w:rPr>
          <w:rFonts w:ascii="Times New Roman" w:hAnsi="Times New Roman" w:cs="Times New Roman"/>
          <w:color w:val="231F20"/>
          <w:spacing w:val="9"/>
          <w:w w:val="95"/>
          <w:sz w:val="24"/>
          <w:szCs w:val="24"/>
          <w:lang w:val="es"/>
        </w:rPr>
        <w:t>Bacon</w:t>
      </w:r>
      <w:r w:rsidRPr="00D470F4">
        <w:rPr>
          <w:rFonts w:ascii="Times New Roman" w:hAnsi="Times New Roman" w:cs="Times New Roman"/>
          <w:color w:val="231F20"/>
          <w:w w:val="95"/>
          <w:sz w:val="24"/>
          <w:szCs w:val="24"/>
          <w:lang w:val="es"/>
        </w:rPr>
        <w:t xml:space="preserve"> 1995, 124), un</w:t>
      </w:r>
      <w:r w:rsidRPr="00D470F4">
        <w:rPr>
          <w:rFonts w:ascii="Times New Roman" w:hAnsi="Times New Roman" w:cs="Times New Roman"/>
          <w:sz w:val="24"/>
          <w:szCs w:val="24"/>
          <w:lang w:val="es"/>
        </w:rPr>
        <w:t xml:space="preserve"> "modelo estándar" (</w:t>
      </w:r>
      <w:proofErr w:type="spellStart"/>
      <w:r w:rsidRPr="00D470F4">
        <w:rPr>
          <w:rFonts w:ascii="Times New Roman" w:hAnsi="Times New Roman" w:cs="Times New Roman"/>
          <w:sz w:val="24"/>
          <w:szCs w:val="24"/>
          <w:lang w:val="es"/>
        </w:rPr>
        <w:t>Littlechild</w:t>
      </w:r>
      <w:proofErr w:type="spellEnd"/>
      <w:r w:rsidRPr="00D470F4">
        <w:rPr>
          <w:rFonts w:ascii="Times New Roman" w:hAnsi="Times New Roman" w:cs="Times New Roman"/>
          <w:sz w:val="24"/>
          <w:szCs w:val="24"/>
          <w:lang w:val="es"/>
        </w:rPr>
        <w:t xml:space="preserve"> 2001, 1), una "prescripción estándar" (Hunt 2002, 8) o una "arquitectura de </w:t>
      </w:r>
      <w:r w:rsidRPr="00D470F4">
        <w:rPr>
          <w:rFonts w:ascii="Times New Roman" w:hAnsi="Times New Roman" w:cs="Times New Roman"/>
          <w:color w:val="231F20"/>
          <w:spacing w:val="-2"/>
          <w:sz w:val="24"/>
          <w:szCs w:val="24"/>
          <w:lang w:val="es"/>
        </w:rPr>
        <w:t xml:space="preserve"> libros de texto</w:t>
      </w:r>
      <w:r w:rsidRPr="00D470F4">
        <w:rPr>
          <w:rFonts w:ascii="Times New Roman" w:hAnsi="Times New Roman" w:cs="Times New Roman"/>
          <w:color w:val="231F20"/>
          <w:sz w:val="24"/>
          <w:szCs w:val="24"/>
          <w:lang w:val="es"/>
        </w:rPr>
        <w:t>" (</w:t>
      </w:r>
      <w:proofErr w:type="spellStart"/>
      <w:r w:rsidRPr="00D470F4">
        <w:rPr>
          <w:rFonts w:ascii="Times New Roman" w:hAnsi="Times New Roman" w:cs="Times New Roman"/>
          <w:color w:val="231F20"/>
          <w:sz w:val="24"/>
          <w:szCs w:val="24"/>
          <w:lang w:val="es"/>
        </w:rPr>
        <w:t>Joskow</w:t>
      </w:r>
      <w:proofErr w:type="spellEnd"/>
      <w:r w:rsidRPr="00D470F4">
        <w:rPr>
          <w:rFonts w:ascii="Times New Roman" w:hAnsi="Times New Roman" w:cs="Times New Roman"/>
          <w:color w:val="231F20"/>
          <w:sz w:val="24"/>
          <w:szCs w:val="24"/>
          <w:lang w:val="es"/>
        </w:rPr>
        <w:t xml:space="preserve"> 2008, 11) de </w:t>
      </w:r>
      <w:r w:rsidRPr="00D470F4">
        <w:rPr>
          <w:rFonts w:ascii="Times New Roman" w:hAnsi="Times New Roman" w:cs="Times New Roman"/>
          <w:color w:val="231F20"/>
          <w:spacing w:val="9"/>
          <w:w w:val="90"/>
          <w:sz w:val="24"/>
          <w:szCs w:val="24"/>
          <w:lang w:val="es"/>
        </w:rPr>
        <w:t xml:space="preserve"> </w:t>
      </w:r>
      <w:r w:rsidRPr="00D470F4">
        <w:rPr>
          <w:rFonts w:ascii="Times New Roman" w:hAnsi="Times New Roman" w:cs="Times New Roman"/>
          <w:color w:val="231F20"/>
          <w:w w:val="95"/>
          <w:sz w:val="24"/>
          <w:szCs w:val="24"/>
          <w:lang w:val="es"/>
        </w:rPr>
        <w:t xml:space="preserve"> </w:t>
      </w:r>
      <w:r w:rsidRPr="00D470F4">
        <w:rPr>
          <w:rFonts w:ascii="Times New Roman" w:hAnsi="Times New Roman" w:cs="Times New Roman"/>
          <w:color w:val="231F20"/>
          <w:spacing w:val="-2"/>
          <w:w w:val="90"/>
          <w:sz w:val="24"/>
          <w:szCs w:val="24"/>
          <w:lang w:val="es"/>
        </w:rPr>
        <w:t xml:space="preserve"> </w:t>
      </w:r>
      <w:r w:rsidRPr="00D470F4">
        <w:rPr>
          <w:rFonts w:ascii="Times New Roman" w:hAnsi="Times New Roman" w:cs="Times New Roman"/>
          <w:color w:val="231F20"/>
          <w:sz w:val="24"/>
          <w:szCs w:val="24"/>
          <w:lang w:val="es"/>
        </w:rPr>
        <w:t xml:space="preserve"> </w:t>
      </w:r>
      <w:r w:rsidRPr="00D470F4">
        <w:rPr>
          <w:rFonts w:ascii="Times New Roman" w:hAnsi="Times New Roman" w:cs="Times New Roman"/>
          <w:color w:val="231F20"/>
          <w:w w:val="90"/>
          <w:sz w:val="24"/>
          <w:szCs w:val="24"/>
          <w:lang w:val="es"/>
        </w:rPr>
        <w:t>normas sectoriales. Otras caracterizaciones en la literatura</w:t>
      </w:r>
      <w:r w:rsidRPr="00D470F4">
        <w:rPr>
          <w:rFonts w:ascii="Times New Roman" w:hAnsi="Times New Roman" w:cs="Times New Roman"/>
          <w:color w:val="231F20"/>
          <w:sz w:val="24"/>
          <w:szCs w:val="24"/>
          <w:lang w:val="es"/>
        </w:rPr>
        <w:t xml:space="preserve"> son </w:t>
      </w:r>
      <w:r w:rsidRPr="00D470F4">
        <w:rPr>
          <w:rFonts w:ascii="Times New Roman" w:hAnsi="Times New Roman" w:cs="Times New Roman"/>
          <w:color w:val="231F20"/>
          <w:spacing w:val="11"/>
          <w:sz w:val="24"/>
          <w:szCs w:val="24"/>
          <w:lang w:val="es"/>
        </w:rPr>
        <w:t>normativas, incluidas</w:t>
      </w:r>
      <w:r w:rsidRPr="00D470F4">
        <w:rPr>
          <w:rFonts w:ascii="Times New Roman" w:hAnsi="Times New Roman" w:cs="Times New Roman"/>
          <w:color w:val="231F20"/>
          <w:spacing w:val="10"/>
          <w:sz w:val="24"/>
          <w:szCs w:val="24"/>
          <w:lang w:val="es"/>
        </w:rPr>
        <w:t xml:space="preserve"> las</w:t>
      </w:r>
      <w:r w:rsidRPr="00D470F4">
        <w:rPr>
          <w:rFonts w:ascii="Times New Roman" w:hAnsi="Times New Roman" w:cs="Times New Roman"/>
          <w:color w:val="231F20"/>
          <w:sz w:val="24"/>
          <w:szCs w:val="24"/>
          <w:lang w:val="es"/>
        </w:rPr>
        <w:t xml:space="preserve"> de </w:t>
      </w:r>
      <w:r w:rsidRPr="00D470F4">
        <w:rPr>
          <w:rFonts w:ascii="Times New Roman" w:hAnsi="Times New Roman" w:cs="Times New Roman"/>
          <w:color w:val="231F20"/>
          <w:spacing w:val="-4"/>
          <w:sz w:val="24"/>
          <w:szCs w:val="24"/>
          <w:lang w:val="es"/>
        </w:rPr>
        <w:t xml:space="preserve">Conway y Nicoletti (2006), BERD (2010) y </w:t>
      </w:r>
      <w:r w:rsidRPr="00D470F4">
        <w:rPr>
          <w:rFonts w:ascii="Times New Roman" w:hAnsi="Times New Roman" w:cs="Times New Roman"/>
          <w:color w:val="231F20"/>
          <w:spacing w:val="-6"/>
          <w:sz w:val="24"/>
          <w:szCs w:val="24"/>
          <w:lang w:val="es"/>
        </w:rPr>
        <w:t xml:space="preserve">ESMAP (1999). Los elementos centrales </w:t>
      </w:r>
      <w:r w:rsidRPr="00D470F4">
        <w:rPr>
          <w:rFonts w:ascii="Times New Roman" w:hAnsi="Times New Roman" w:cs="Times New Roman"/>
          <w:sz w:val="24"/>
          <w:szCs w:val="24"/>
          <w:lang w:val="es"/>
        </w:rPr>
        <w:t xml:space="preserve">del modelo de reforma de la </w:t>
      </w:r>
      <w:r w:rsidRPr="00D470F4">
        <w:rPr>
          <w:rFonts w:ascii="Times New Roman" w:hAnsi="Times New Roman" w:cs="Times New Roman"/>
          <w:color w:val="231F20"/>
          <w:sz w:val="24"/>
          <w:szCs w:val="24"/>
          <w:lang w:val="es"/>
        </w:rPr>
        <w:t xml:space="preserve">década de 1990 (descritos con más </w:t>
      </w:r>
      <w:r w:rsidRPr="00D470F4">
        <w:rPr>
          <w:rFonts w:ascii="Times New Roman" w:hAnsi="Times New Roman" w:cs="Times New Roman"/>
          <w:color w:val="231F20"/>
          <w:w w:val="90"/>
          <w:sz w:val="24"/>
          <w:szCs w:val="24"/>
          <w:lang w:val="es"/>
        </w:rPr>
        <w:t>detalle en la siguiente sección) implicaban la reestructuración</w:t>
      </w:r>
      <w:r w:rsidRPr="00D470F4">
        <w:rPr>
          <w:rFonts w:ascii="Times New Roman" w:hAnsi="Times New Roman" w:cs="Times New Roman"/>
          <w:sz w:val="24"/>
          <w:szCs w:val="24"/>
          <w:lang w:val="es"/>
        </w:rPr>
        <w:t xml:space="preserve"> de la </w:t>
      </w:r>
      <w:r w:rsidRPr="00D470F4">
        <w:rPr>
          <w:rFonts w:ascii="Times New Roman" w:hAnsi="Times New Roman" w:cs="Times New Roman"/>
          <w:color w:val="231F20"/>
          <w:spacing w:val="-2"/>
          <w:sz w:val="24"/>
          <w:szCs w:val="24"/>
          <w:lang w:val="es"/>
        </w:rPr>
        <w:t>empresa de servicios públicos establecida; la creación de</w:t>
      </w:r>
      <w:r w:rsidRPr="00D470F4">
        <w:rPr>
          <w:rFonts w:ascii="Times New Roman" w:hAnsi="Times New Roman" w:cs="Times New Roman"/>
          <w:sz w:val="24"/>
          <w:szCs w:val="24"/>
          <w:lang w:val="es"/>
        </w:rPr>
        <w:t xml:space="preserve"> </w:t>
      </w:r>
      <w:proofErr w:type="gramStart"/>
      <w:r w:rsidRPr="00D470F4">
        <w:rPr>
          <w:rFonts w:ascii="Times New Roman" w:hAnsi="Times New Roman" w:cs="Times New Roman"/>
          <w:sz w:val="24"/>
          <w:szCs w:val="24"/>
          <w:lang w:val="es"/>
        </w:rPr>
        <w:t xml:space="preserve">una </w:t>
      </w:r>
      <w:r w:rsidRPr="00D470F4">
        <w:rPr>
          <w:rFonts w:ascii="Times New Roman" w:hAnsi="Times New Roman" w:cs="Times New Roman"/>
          <w:color w:val="231F20"/>
          <w:w w:val="90"/>
          <w:sz w:val="24"/>
          <w:szCs w:val="24"/>
          <w:lang w:val="es"/>
        </w:rPr>
        <w:t xml:space="preserve"> entidad</w:t>
      </w:r>
      <w:proofErr w:type="gramEnd"/>
      <w:r w:rsidRPr="00D470F4">
        <w:rPr>
          <w:rFonts w:ascii="Times New Roman" w:hAnsi="Times New Roman" w:cs="Times New Roman"/>
          <w:color w:val="231F20"/>
          <w:w w:val="90"/>
          <w:sz w:val="24"/>
          <w:szCs w:val="24"/>
          <w:lang w:val="es"/>
        </w:rPr>
        <w:t xml:space="preserve"> reguladora independiente; la introducción de la propiedad del sector privado (o al menos </w:t>
      </w:r>
      <w:r w:rsidRPr="00D470F4">
        <w:rPr>
          <w:rFonts w:ascii="Times New Roman" w:hAnsi="Times New Roman" w:cs="Times New Roman"/>
          <w:sz w:val="24"/>
          <w:szCs w:val="24"/>
          <w:lang w:val="es"/>
        </w:rPr>
        <w:t xml:space="preserve"> la </w:t>
      </w:r>
      <w:r w:rsidRPr="00D470F4">
        <w:rPr>
          <w:rFonts w:ascii="Times New Roman" w:hAnsi="Times New Roman" w:cs="Times New Roman"/>
          <w:color w:val="231F20"/>
          <w:spacing w:val="-2"/>
          <w:sz w:val="24"/>
          <w:szCs w:val="24"/>
          <w:lang w:val="es"/>
        </w:rPr>
        <w:t xml:space="preserve"> </w:t>
      </w:r>
      <w:r w:rsidRPr="00D470F4">
        <w:rPr>
          <w:rFonts w:ascii="Times New Roman" w:hAnsi="Times New Roman" w:cs="Times New Roman"/>
          <w:color w:val="231F20"/>
          <w:w w:val="90"/>
          <w:sz w:val="24"/>
          <w:szCs w:val="24"/>
          <w:lang w:val="es"/>
        </w:rPr>
        <w:t>orientación</w:t>
      </w:r>
      <w:r w:rsidRPr="00D470F4">
        <w:rPr>
          <w:rFonts w:ascii="Times New Roman" w:hAnsi="Times New Roman" w:cs="Times New Roman"/>
          <w:sz w:val="24"/>
          <w:szCs w:val="24"/>
          <w:lang w:val="es"/>
        </w:rPr>
        <w:t xml:space="preserve"> comercial</w:t>
      </w:r>
      <w:r w:rsidRPr="00D470F4">
        <w:rPr>
          <w:rFonts w:ascii="Times New Roman" w:hAnsi="Times New Roman" w:cs="Times New Roman"/>
          <w:color w:val="231F20"/>
          <w:spacing w:val="-6"/>
          <w:sz w:val="24"/>
          <w:szCs w:val="24"/>
          <w:lang w:val="es"/>
        </w:rPr>
        <w:t>); y la apertura a</w:t>
      </w:r>
      <w:r w:rsidRPr="00D470F4">
        <w:rPr>
          <w:rFonts w:ascii="Times New Roman" w:hAnsi="Times New Roman" w:cs="Times New Roman"/>
          <w:color w:val="231F20"/>
          <w:spacing w:val="-7"/>
          <w:sz w:val="24"/>
          <w:szCs w:val="24"/>
          <w:lang w:val="es"/>
        </w:rPr>
        <w:t xml:space="preserve"> una </w:t>
      </w:r>
      <w:r w:rsidRPr="00D470F4">
        <w:rPr>
          <w:rFonts w:ascii="Times New Roman" w:hAnsi="Times New Roman" w:cs="Times New Roman"/>
          <w:color w:val="231F20"/>
          <w:spacing w:val="-6"/>
          <w:sz w:val="24"/>
          <w:szCs w:val="24"/>
          <w:lang w:val="es"/>
        </w:rPr>
        <w:t xml:space="preserve">competencia donde </w:t>
      </w:r>
      <w:r w:rsidRPr="00D470F4">
        <w:rPr>
          <w:rFonts w:ascii="Times New Roman" w:hAnsi="Times New Roman" w:cs="Times New Roman"/>
          <w:color w:val="231F20"/>
          <w:w w:val="90"/>
          <w:sz w:val="24"/>
          <w:szCs w:val="24"/>
          <w:lang w:val="es"/>
        </w:rPr>
        <w:t xml:space="preserve"> pertinente. Este conjunto completo de reformas estructurales se sustentó además en reformas de precios destinadas a lograr tarifas que reflejaran los costos, que serían garantizadas por la entidad reguladora, y sobre las cuales se basaban esencialmente la inversión del sector privado y la competencia en el mercado</w:t>
      </w:r>
      <w:r w:rsidRPr="00D470F4">
        <w:rPr>
          <w:rFonts w:ascii="Times New Roman" w:hAnsi="Times New Roman" w:cs="Times New Roman"/>
          <w:color w:val="231F20"/>
          <w:spacing w:val="-4"/>
          <w:sz w:val="24"/>
          <w:szCs w:val="24"/>
          <w:lang w:val="es"/>
        </w:rPr>
        <w:t>.</w:t>
      </w:r>
    </w:p>
    <w:p w14:paraId="1F2BBE5A" w14:textId="067103F0" w:rsidR="00132D23" w:rsidRPr="00D470F4" w:rsidRDefault="00132D23" w:rsidP="00132D23">
      <w:pPr>
        <w:pStyle w:val="Textoindependiente"/>
        <w:spacing w:line="480" w:lineRule="auto"/>
        <w:rPr>
          <w:rFonts w:ascii="Times New Roman" w:hAnsi="Times New Roman" w:cs="Times New Roman"/>
          <w:sz w:val="24"/>
          <w:szCs w:val="24"/>
        </w:rPr>
      </w:pPr>
      <w:r w:rsidRPr="00D470F4">
        <w:rPr>
          <w:rFonts w:ascii="Times New Roman" w:hAnsi="Times New Roman" w:cs="Times New Roman"/>
          <w:color w:val="231F20"/>
          <w:w w:val="90"/>
          <w:sz w:val="24"/>
          <w:szCs w:val="24"/>
          <w:lang w:val="es"/>
        </w:rPr>
        <w:t>Sin embargo, en la década de 2000, la intervención</w:t>
      </w:r>
      <w:r w:rsidRPr="00D470F4">
        <w:rPr>
          <w:rFonts w:ascii="Times New Roman" w:hAnsi="Times New Roman" w:cs="Times New Roman"/>
          <w:color w:val="231F20"/>
          <w:spacing w:val="-2"/>
          <w:w w:val="90"/>
          <w:sz w:val="24"/>
          <w:szCs w:val="24"/>
          <w:lang w:val="es"/>
        </w:rPr>
        <w:t xml:space="preserve"> del gobierno</w:t>
      </w:r>
      <w:r w:rsidRPr="00D470F4">
        <w:rPr>
          <w:rFonts w:ascii="Times New Roman" w:hAnsi="Times New Roman" w:cs="Times New Roman"/>
          <w:sz w:val="24"/>
          <w:szCs w:val="24"/>
          <w:lang w:val="es"/>
        </w:rPr>
        <w:t xml:space="preserve"> en </w:t>
      </w:r>
      <w:r w:rsidRPr="00D470F4">
        <w:rPr>
          <w:rFonts w:ascii="Times New Roman" w:hAnsi="Times New Roman" w:cs="Times New Roman"/>
          <w:color w:val="231F20"/>
          <w:spacing w:val="-2"/>
          <w:sz w:val="24"/>
          <w:szCs w:val="24"/>
          <w:lang w:val="es"/>
        </w:rPr>
        <w:t xml:space="preserve">el sector eléctrico resurgió en </w:t>
      </w:r>
      <w:r w:rsidRPr="00D470F4">
        <w:rPr>
          <w:rFonts w:ascii="Times New Roman" w:hAnsi="Times New Roman" w:cs="Times New Roman"/>
          <w:color w:val="231F20"/>
          <w:spacing w:val="-4"/>
          <w:sz w:val="24"/>
          <w:szCs w:val="24"/>
          <w:lang w:val="es"/>
        </w:rPr>
        <w:t>medio de la evolución de las preocupaciones políticas y las observaciones</w:t>
      </w:r>
      <w:r w:rsidRPr="00D470F4">
        <w:rPr>
          <w:rFonts w:ascii="Times New Roman" w:hAnsi="Times New Roman" w:cs="Times New Roman"/>
          <w:sz w:val="24"/>
          <w:szCs w:val="24"/>
          <w:lang w:val="es"/>
        </w:rPr>
        <w:t xml:space="preserve"> sobre las </w:t>
      </w:r>
      <w:r w:rsidRPr="00D470F4">
        <w:rPr>
          <w:rFonts w:ascii="Times New Roman" w:hAnsi="Times New Roman" w:cs="Times New Roman"/>
          <w:color w:val="231F20"/>
          <w:spacing w:val="9"/>
          <w:sz w:val="24"/>
          <w:szCs w:val="24"/>
          <w:lang w:val="es"/>
        </w:rPr>
        <w:t xml:space="preserve">limitaciones </w:t>
      </w:r>
      <w:r w:rsidRPr="00D470F4">
        <w:rPr>
          <w:rFonts w:ascii="Times New Roman" w:hAnsi="Times New Roman" w:cs="Times New Roman"/>
          <w:color w:val="231F20"/>
          <w:sz w:val="24"/>
          <w:szCs w:val="24"/>
          <w:lang w:val="es"/>
        </w:rPr>
        <w:t xml:space="preserve">percibidas </w:t>
      </w:r>
      <w:proofErr w:type="gramStart"/>
      <w:r w:rsidRPr="00D470F4">
        <w:rPr>
          <w:rFonts w:ascii="Times New Roman" w:hAnsi="Times New Roman" w:cs="Times New Roman"/>
          <w:color w:val="231F20"/>
          <w:spacing w:val="10"/>
          <w:sz w:val="24"/>
          <w:szCs w:val="24"/>
          <w:lang w:val="es"/>
        </w:rPr>
        <w:t xml:space="preserve">de </w:t>
      </w:r>
      <w:r w:rsidRPr="00D470F4">
        <w:rPr>
          <w:rFonts w:ascii="Times New Roman" w:hAnsi="Times New Roman" w:cs="Times New Roman"/>
          <w:sz w:val="24"/>
          <w:szCs w:val="24"/>
          <w:lang w:val="es"/>
        </w:rPr>
        <w:t xml:space="preserve"> las</w:t>
      </w:r>
      <w:proofErr w:type="gramEnd"/>
      <w:r w:rsidRPr="00D470F4">
        <w:rPr>
          <w:rFonts w:ascii="Times New Roman" w:hAnsi="Times New Roman" w:cs="Times New Roman"/>
          <w:sz w:val="24"/>
          <w:szCs w:val="24"/>
          <w:lang w:val="es"/>
        </w:rPr>
        <w:t xml:space="preserve"> </w:t>
      </w:r>
      <w:r w:rsidRPr="00D470F4">
        <w:rPr>
          <w:rFonts w:ascii="Times New Roman" w:hAnsi="Times New Roman" w:cs="Times New Roman"/>
          <w:color w:val="231F20"/>
          <w:w w:val="90"/>
          <w:sz w:val="24"/>
          <w:szCs w:val="24"/>
          <w:lang w:val="es"/>
        </w:rPr>
        <w:t xml:space="preserve">reformas orientadas al mercado. Esta intervención renovada </w:t>
      </w:r>
      <w:r w:rsidRPr="00D470F4">
        <w:rPr>
          <w:rFonts w:ascii="Times New Roman" w:hAnsi="Times New Roman" w:cs="Times New Roman"/>
          <w:color w:val="231F20"/>
          <w:w w:val="90"/>
          <w:sz w:val="24"/>
          <w:szCs w:val="24"/>
          <w:lang w:val="es"/>
        </w:rPr>
        <w:lastRenderedPageBreak/>
        <w:t xml:space="preserve">puede considerarse la cuarta fase de la reforma del </w:t>
      </w:r>
      <w:r w:rsidRPr="00D470F4">
        <w:rPr>
          <w:rFonts w:ascii="Times New Roman" w:hAnsi="Times New Roman" w:cs="Times New Roman"/>
          <w:color w:val="231F20"/>
          <w:sz w:val="24"/>
          <w:szCs w:val="24"/>
          <w:lang w:val="es"/>
        </w:rPr>
        <w:t xml:space="preserve">sector eléctrico, con un "nuevo debate ... </w:t>
      </w:r>
      <w:r w:rsidRPr="00D470F4">
        <w:rPr>
          <w:rFonts w:ascii="Times New Roman" w:hAnsi="Times New Roman" w:cs="Times New Roman"/>
          <w:sz w:val="24"/>
          <w:szCs w:val="24"/>
          <w:lang w:val="es"/>
        </w:rPr>
        <w:t xml:space="preserve"> </w:t>
      </w:r>
      <w:r w:rsidRPr="00D470F4">
        <w:rPr>
          <w:rFonts w:ascii="Times New Roman" w:hAnsi="Times New Roman" w:cs="Times New Roman"/>
          <w:color w:val="231F20"/>
          <w:w w:val="90"/>
          <w:sz w:val="24"/>
          <w:szCs w:val="24"/>
          <w:lang w:val="es"/>
        </w:rPr>
        <w:t xml:space="preserve">sobre la necesidad de intervención en el mercado" </w:t>
      </w:r>
      <w:r w:rsidRPr="00D470F4">
        <w:rPr>
          <w:rFonts w:ascii="Times New Roman" w:hAnsi="Times New Roman" w:cs="Times New Roman"/>
          <w:color w:val="231F20"/>
          <w:sz w:val="24"/>
          <w:szCs w:val="24"/>
          <w:lang w:val="es"/>
        </w:rPr>
        <w:t>(</w:t>
      </w:r>
      <w:proofErr w:type="spellStart"/>
      <w:r w:rsidRPr="00D470F4">
        <w:rPr>
          <w:rFonts w:ascii="Times New Roman" w:hAnsi="Times New Roman" w:cs="Times New Roman"/>
          <w:color w:val="231F20"/>
          <w:sz w:val="24"/>
          <w:szCs w:val="24"/>
          <w:lang w:val="es"/>
        </w:rPr>
        <w:t>Bhattacharyya</w:t>
      </w:r>
      <w:proofErr w:type="spellEnd"/>
      <w:r w:rsidRPr="00D470F4">
        <w:rPr>
          <w:rFonts w:ascii="Times New Roman" w:hAnsi="Times New Roman" w:cs="Times New Roman"/>
          <w:color w:val="231F20"/>
          <w:sz w:val="24"/>
          <w:szCs w:val="24"/>
          <w:lang w:val="es"/>
        </w:rPr>
        <w:t xml:space="preserve"> 2011, 720). Una preocupación </w:t>
      </w:r>
      <w:r w:rsidRPr="00D470F4">
        <w:rPr>
          <w:rFonts w:ascii="Times New Roman" w:hAnsi="Times New Roman" w:cs="Times New Roman"/>
          <w:color w:val="231F20"/>
          <w:spacing w:val="-4"/>
          <w:sz w:val="24"/>
          <w:szCs w:val="24"/>
          <w:lang w:val="es"/>
        </w:rPr>
        <w:t xml:space="preserve">se refería a la seguridad del suministro, incluso en </w:t>
      </w:r>
      <w:r w:rsidRPr="00D470F4">
        <w:rPr>
          <w:rFonts w:ascii="Times New Roman" w:hAnsi="Times New Roman" w:cs="Times New Roman"/>
          <w:color w:val="231F20"/>
          <w:sz w:val="24"/>
          <w:szCs w:val="24"/>
          <w:lang w:val="es"/>
        </w:rPr>
        <w:t xml:space="preserve">países de altos ingresos como el </w:t>
      </w:r>
      <w:r w:rsidRPr="00D470F4">
        <w:rPr>
          <w:rFonts w:ascii="Times New Roman" w:hAnsi="Times New Roman" w:cs="Times New Roman"/>
          <w:color w:val="231F20"/>
          <w:spacing w:val="-2"/>
          <w:w w:val="90"/>
          <w:sz w:val="24"/>
          <w:szCs w:val="24"/>
          <w:lang w:val="es"/>
        </w:rPr>
        <w:t xml:space="preserve">Reino Unido, ya que las plantas viejas llegaban al final de su </w:t>
      </w:r>
      <w:r w:rsidRPr="00D470F4">
        <w:rPr>
          <w:rFonts w:ascii="Times New Roman" w:hAnsi="Times New Roman" w:cs="Times New Roman"/>
          <w:color w:val="231F20"/>
          <w:sz w:val="24"/>
          <w:szCs w:val="24"/>
          <w:lang w:val="es"/>
        </w:rPr>
        <w:t xml:space="preserve">vida útil. La crisis eléctrica de California de 2000-01 </w:t>
      </w:r>
      <w:r w:rsidRPr="00D470F4">
        <w:rPr>
          <w:rFonts w:ascii="Times New Roman" w:hAnsi="Times New Roman" w:cs="Times New Roman"/>
          <w:color w:val="231F20"/>
          <w:w w:val="90"/>
          <w:sz w:val="24"/>
          <w:szCs w:val="24"/>
          <w:lang w:val="es"/>
        </w:rPr>
        <w:t>reveló fallas sorprendentes de la regulación del mercado y del sector (Hunt 2002). Aunque estos fracasos no son intrínsecos a las reformas modelo, la crisis contribuyó a una amplia preocupación</w:t>
      </w:r>
      <w:r w:rsidRPr="00D470F4">
        <w:rPr>
          <w:rFonts w:ascii="Times New Roman" w:hAnsi="Times New Roman" w:cs="Times New Roman"/>
          <w:sz w:val="24"/>
          <w:szCs w:val="24"/>
          <w:lang w:val="es"/>
        </w:rPr>
        <w:t xml:space="preserve">, en primer lugar, por la influencia de los actores privados en el </w:t>
      </w:r>
      <w:r w:rsidRPr="00D470F4">
        <w:rPr>
          <w:rFonts w:ascii="Times New Roman" w:hAnsi="Times New Roman" w:cs="Times New Roman"/>
          <w:color w:val="231F20"/>
          <w:sz w:val="24"/>
          <w:szCs w:val="24"/>
          <w:lang w:val="es"/>
        </w:rPr>
        <w:t xml:space="preserve">sector y, en segundo lugar, por la </w:t>
      </w:r>
      <w:r w:rsidRPr="00D470F4">
        <w:rPr>
          <w:rFonts w:ascii="Times New Roman" w:hAnsi="Times New Roman" w:cs="Times New Roman"/>
          <w:color w:val="231F20"/>
          <w:spacing w:val="-6"/>
          <w:sz w:val="24"/>
          <w:szCs w:val="24"/>
          <w:lang w:val="es"/>
        </w:rPr>
        <w:t xml:space="preserve">desaceleración mundial en el ritmo </w:t>
      </w:r>
      <w:r w:rsidRPr="00D470F4">
        <w:rPr>
          <w:rFonts w:ascii="Times New Roman" w:hAnsi="Times New Roman" w:cs="Times New Roman"/>
          <w:sz w:val="24"/>
          <w:szCs w:val="24"/>
          <w:lang w:val="es"/>
        </w:rPr>
        <w:t xml:space="preserve">de las reformas </w:t>
      </w:r>
      <w:r w:rsidRPr="00D470F4">
        <w:rPr>
          <w:rFonts w:ascii="Times New Roman" w:hAnsi="Times New Roman" w:cs="Times New Roman"/>
          <w:color w:val="231F20"/>
          <w:w w:val="90"/>
          <w:sz w:val="24"/>
          <w:szCs w:val="24"/>
          <w:lang w:val="es"/>
        </w:rPr>
        <w:t xml:space="preserve">de </w:t>
      </w:r>
      <w:r w:rsidRPr="00D470F4">
        <w:rPr>
          <w:rFonts w:ascii="Times New Roman" w:hAnsi="Times New Roman" w:cs="Times New Roman"/>
          <w:sz w:val="24"/>
          <w:szCs w:val="24"/>
          <w:lang w:val="es"/>
        </w:rPr>
        <w:t xml:space="preserve">mercado posteriores </w:t>
      </w:r>
      <w:r w:rsidRPr="00D470F4">
        <w:rPr>
          <w:rFonts w:ascii="Times New Roman" w:hAnsi="Times New Roman" w:cs="Times New Roman"/>
          <w:color w:val="231F20"/>
          <w:w w:val="90"/>
          <w:sz w:val="24"/>
          <w:szCs w:val="24"/>
          <w:lang w:val="es"/>
        </w:rPr>
        <w:t>(</w:t>
      </w:r>
      <w:proofErr w:type="spellStart"/>
      <w:r w:rsidRPr="00D470F4">
        <w:rPr>
          <w:rFonts w:ascii="Times New Roman" w:hAnsi="Times New Roman" w:cs="Times New Roman"/>
          <w:color w:val="231F20"/>
          <w:w w:val="90"/>
          <w:sz w:val="24"/>
          <w:szCs w:val="24"/>
          <w:lang w:val="es"/>
        </w:rPr>
        <w:t>Bhattacharyya</w:t>
      </w:r>
      <w:proofErr w:type="spellEnd"/>
      <w:r w:rsidRPr="00D470F4">
        <w:rPr>
          <w:rFonts w:ascii="Times New Roman" w:hAnsi="Times New Roman" w:cs="Times New Roman"/>
          <w:color w:val="231F20"/>
          <w:w w:val="90"/>
          <w:sz w:val="24"/>
          <w:szCs w:val="24"/>
          <w:lang w:val="es"/>
        </w:rPr>
        <w:t xml:space="preserve"> 2011). Más recientemente, el interés internacional en el acceso universal</w:t>
      </w:r>
      <w:r w:rsidRPr="00D470F4">
        <w:rPr>
          <w:rFonts w:ascii="Times New Roman" w:hAnsi="Times New Roman" w:cs="Times New Roman"/>
          <w:sz w:val="24"/>
          <w:szCs w:val="24"/>
          <w:lang w:val="es"/>
        </w:rPr>
        <w:t xml:space="preserve"> y la </w:t>
      </w:r>
      <w:r w:rsidRPr="00D470F4">
        <w:rPr>
          <w:rFonts w:ascii="Times New Roman" w:hAnsi="Times New Roman" w:cs="Times New Roman"/>
          <w:color w:val="231F20"/>
          <w:sz w:val="24"/>
          <w:szCs w:val="24"/>
          <w:lang w:val="es"/>
        </w:rPr>
        <w:t xml:space="preserve">energía limpia ha alcanzado nuevas alturas, como </w:t>
      </w:r>
      <w:r w:rsidRPr="00D470F4">
        <w:rPr>
          <w:rFonts w:ascii="Times New Roman" w:hAnsi="Times New Roman" w:cs="Times New Roman"/>
          <w:color w:val="231F20"/>
          <w:spacing w:val="-2"/>
          <w:w w:val="90"/>
          <w:sz w:val="24"/>
          <w:szCs w:val="24"/>
          <w:lang w:val="es"/>
        </w:rPr>
        <w:t xml:space="preserve">se refleja en los ODS y el Acuerdo de París. </w:t>
      </w:r>
      <w:r w:rsidRPr="00D470F4">
        <w:rPr>
          <w:rFonts w:ascii="Times New Roman" w:hAnsi="Times New Roman" w:cs="Times New Roman"/>
          <w:sz w:val="24"/>
          <w:szCs w:val="24"/>
          <w:lang w:val="es"/>
        </w:rPr>
        <w:t xml:space="preserve"> </w:t>
      </w:r>
      <w:r w:rsidRPr="00D470F4">
        <w:rPr>
          <w:rFonts w:ascii="Times New Roman" w:hAnsi="Times New Roman" w:cs="Times New Roman"/>
          <w:color w:val="231F20"/>
          <w:w w:val="85"/>
          <w:sz w:val="24"/>
          <w:szCs w:val="24"/>
          <w:lang w:val="es"/>
        </w:rPr>
        <w:t>Estos acuerdos establecen una agenda política global para</w:t>
      </w:r>
      <w:r w:rsidRPr="00D470F4">
        <w:rPr>
          <w:rFonts w:ascii="Times New Roman" w:hAnsi="Times New Roman" w:cs="Times New Roman"/>
          <w:color w:val="231F20"/>
          <w:spacing w:val="-5"/>
          <w:w w:val="85"/>
          <w:sz w:val="24"/>
          <w:szCs w:val="24"/>
          <w:lang w:val="es"/>
        </w:rPr>
        <w:t xml:space="preserve"> la</w:t>
      </w:r>
    </w:p>
    <w:p w14:paraId="6C32563D" w14:textId="7923761E" w:rsidR="00132D23" w:rsidRPr="00D470F4" w:rsidRDefault="00132D23" w:rsidP="00132D23">
      <w:pPr>
        <w:spacing w:before="7" w:line="480" w:lineRule="auto"/>
        <w:rPr>
          <w:rFonts w:ascii="Times New Roman" w:hAnsi="Times New Roman" w:cs="Times New Roman"/>
          <w:sz w:val="24"/>
          <w:szCs w:val="24"/>
        </w:rPr>
      </w:pPr>
      <w:r w:rsidRPr="00D470F4">
        <w:rPr>
          <w:rFonts w:ascii="Times New Roman" w:hAnsi="Times New Roman" w:cs="Times New Roman"/>
          <w:color w:val="231F20"/>
          <w:spacing w:val="-4"/>
          <w:w w:val="90"/>
          <w:sz w:val="24"/>
          <w:szCs w:val="24"/>
          <w:lang w:val="es"/>
        </w:rPr>
        <w:t xml:space="preserve">Es probable que el sector energético se mantenga durante décadas. </w:t>
      </w:r>
      <w:r w:rsidRPr="00D470F4">
        <w:rPr>
          <w:rFonts w:ascii="Times New Roman" w:hAnsi="Times New Roman" w:cs="Times New Roman"/>
          <w:color w:val="231F20"/>
          <w:w w:val="90"/>
          <w:sz w:val="24"/>
          <w:szCs w:val="24"/>
          <w:lang w:val="es"/>
        </w:rPr>
        <w:t>Al mismo tiempo, la tecnología está avanzando rápidamente en energía solar fotovoltaica, turbinas eólicas</w:t>
      </w:r>
      <w:r w:rsidRPr="00D470F4">
        <w:rPr>
          <w:rFonts w:ascii="Times New Roman" w:hAnsi="Times New Roman" w:cs="Times New Roman"/>
          <w:sz w:val="24"/>
          <w:szCs w:val="24"/>
          <w:lang w:val="es"/>
        </w:rPr>
        <w:t xml:space="preserve">, almacenamiento de energía, </w:t>
      </w:r>
      <w:r w:rsidRPr="00D470F4">
        <w:rPr>
          <w:rFonts w:ascii="Times New Roman" w:hAnsi="Times New Roman" w:cs="Times New Roman"/>
          <w:color w:val="231F20"/>
          <w:spacing w:val="-4"/>
          <w:w w:val="90"/>
          <w:sz w:val="24"/>
          <w:szCs w:val="24"/>
          <w:lang w:val="es"/>
        </w:rPr>
        <w:t xml:space="preserve">microrredes, recursos distribuidos, </w:t>
      </w:r>
      <w:r w:rsidRPr="00D470F4">
        <w:rPr>
          <w:rFonts w:ascii="Times New Roman" w:hAnsi="Times New Roman" w:cs="Times New Roman"/>
          <w:sz w:val="24"/>
          <w:szCs w:val="24"/>
          <w:lang w:val="es"/>
        </w:rPr>
        <w:t xml:space="preserve">vehículos </w:t>
      </w:r>
      <w:r w:rsidRPr="00D470F4">
        <w:rPr>
          <w:rFonts w:ascii="Times New Roman" w:hAnsi="Times New Roman" w:cs="Times New Roman"/>
          <w:color w:val="231F20"/>
          <w:spacing w:val="-4"/>
          <w:w w:val="90"/>
          <w:sz w:val="24"/>
          <w:szCs w:val="24"/>
          <w:lang w:val="es"/>
        </w:rPr>
        <w:t>eléctricos</w:t>
      </w:r>
      <w:r w:rsidRPr="00D470F4">
        <w:rPr>
          <w:rFonts w:ascii="Times New Roman" w:hAnsi="Times New Roman" w:cs="Times New Roman"/>
          <w:sz w:val="24"/>
          <w:szCs w:val="24"/>
          <w:lang w:val="es"/>
        </w:rPr>
        <w:t xml:space="preserve"> y tecnologías </w:t>
      </w:r>
      <w:r w:rsidRPr="00D470F4">
        <w:rPr>
          <w:rFonts w:ascii="Times New Roman" w:hAnsi="Times New Roman" w:cs="Times New Roman"/>
          <w:color w:val="231F20"/>
          <w:spacing w:val="-2"/>
          <w:w w:val="90"/>
          <w:sz w:val="24"/>
          <w:szCs w:val="24"/>
          <w:lang w:val="es"/>
        </w:rPr>
        <w:t>de información y comunicación</w:t>
      </w:r>
      <w:r w:rsidRPr="00D470F4">
        <w:rPr>
          <w:rFonts w:ascii="Times New Roman" w:hAnsi="Times New Roman" w:cs="Times New Roman"/>
          <w:sz w:val="24"/>
          <w:szCs w:val="24"/>
          <w:lang w:val="es"/>
        </w:rPr>
        <w:t xml:space="preserve"> </w:t>
      </w:r>
      <w:proofErr w:type="gramStart"/>
      <w:r w:rsidRPr="00D470F4">
        <w:rPr>
          <w:rFonts w:ascii="Times New Roman" w:hAnsi="Times New Roman" w:cs="Times New Roman"/>
          <w:sz w:val="24"/>
          <w:szCs w:val="24"/>
          <w:lang w:val="es"/>
        </w:rPr>
        <w:t xml:space="preserve">relacionadas </w:t>
      </w:r>
      <w:r w:rsidRPr="00D470F4">
        <w:rPr>
          <w:rFonts w:ascii="Times New Roman" w:hAnsi="Times New Roman" w:cs="Times New Roman"/>
          <w:color w:val="231F20"/>
          <w:spacing w:val="-2"/>
          <w:sz w:val="24"/>
          <w:szCs w:val="24"/>
          <w:lang w:val="es"/>
        </w:rPr>
        <w:t xml:space="preserve"> .</w:t>
      </w:r>
      <w:proofErr w:type="gramEnd"/>
    </w:p>
    <w:p w14:paraId="6223504E" w14:textId="77777777" w:rsidR="00132D23" w:rsidRPr="00D470F4" w:rsidRDefault="00132D23" w:rsidP="00132D23">
      <w:pPr>
        <w:pStyle w:val="Textoindependiente"/>
        <w:spacing w:before="11" w:line="480" w:lineRule="auto"/>
        <w:rPr>
          <w:rFonts w:ascii="Times New Roman" w:hAnsi="Times New Roman" w:cs="Times New Roman"/>
          <w:sz w:val="24"/>
          <w:szCs w:val="24"/>
        </w:rPr>
      </w:pPr>
    </w:p>
    <w:p w14:paraId="7FCC9AC5" w14:textId="77777777" w:rsidR="00132D23" w:rsidRPr="00D470F4" w:rsidRDefault="00132D23" w:rsidP="00132D23">
      <w:pPr>
        <w:pStyle w:val="Ttulo4"/>
        <w:spacing w:line="480" w:lineRule="auto"/>
        <w:rPr>
          <w:rFonts w:ascii="Times New Roman" w:hAnsi="Times New Roman" w:cs="Times New Roman"/>
          <w:i w:val="0"/>
          <w:color w:val="auto"/>
          <w:sz w:val="24"/>
          <w:szCs w:val="24"/>
        </w:rPr>
      </w:pPr>
      <w:bookmarkStart w:id="18" w:name="_TOC_250061"/>
      <w:r w:rsidRPr="00D470F4">
        <w:rPr>
          <w:rFonts w:ascii="Times New Roman" w:hAnsi="Times New Roman" w:cs="Times New Roman"/>
          <w:i w:val="0"/>
          <w:color w:val="auto"/>
          <w:sz w:val="24"/>
          <w:szCs w:val="24"/>
          <w:lang w:val="es"/>
        </w:rPr>
        <w:t>EL MODELO DE REFORMA DEL SECTOR ELÉCTRICO DE LA DÉCADA DE 1990</w:t>
      </w:r>
      <w:bookmarkEnd w:id="18"/>
    </w:p>
    <w:p w14:paraId="675A80FC" w14:textId="77777777" w:rsidR="00132D23" w:rsidRPr="00D470F4" w:rsidRDefault="00132D23" w:rsidP="00132D23">
      <w:pPr>
        <w:pStyle w:val="Textoindependiente"/>
        <w:spacing w:before="10" w:line="480" w:lineRule="auto"/>
        <w:rPr>
          <w:rFonts w:ascii="Times New Roman" w:hAnsi="Times New Roman" w:cs="Times New Roman"/>
          <w:sz w:val="24"/>
          <w:szCs w:val="24"/>
        </w:rPr>
      </w:pPr>
      <w:r w:rsidRPr="00D470F4">
        <w:rPr>
          <w:rFonts w:ascii="Times New Roman" w:hAnsi="Times New Roman" w:cs="Times New Roman"/>
          <w:color w:val="231F20"/>
          <w:sz w:val="24"/>
          <w:szCs w:val="24"/>
          <w:lang w:val="es"/>
        </w:rPr>
        <w:t xml:space="preserve">Las reformas del sector eléctrico en la década de 1990 fueron </w:t>
      </w:r>
      <w:r w:rsidRPr="00D470F4">
        <w:rPr>
          <w:rFonts w:ascii="Times New Roman" w:hAnsi="Times New Roman" w:cs="Times New Roman"/>
          <w:color w:val="231F20"/>
          <w:w w:val="90"/>
          <w:sz w:val="24"/>
          <w:szCs w:val="24"/>
          <w:lang w:val="es"/>
        </w:rPr>
        <w:t xml:space="preserve">impulsadas por una serie de factores internos y externos </w:t>
      </w:r>
      <w:r w:rsidRPr="00D470F4">
        <w:rPr>
          <w:rFonts w:ascii="Times New Roman" w:hAnsi="Times New Roman" w:cs="Times New Roman"/>
          <w:color w:val="231F20"/>
          <w:sz w:val="24"/>
          <w:szCs w:val="24"/>
          <w:lang w:val="es"/>
        </w:rPr>
        <w:t xml:space="preserve">que variaron de un país a otro </w:t>
      </w:r>
      <w:r w:rsidRPr="00D470F4">
        <w:rPr>
          <w:rFonts w:ascii="Times New Roman" w:hAnsi="Times New Roman" w:cs="Times New Roman"/>
          <w:color w:val="231F20"/>
          <w:w w:val="90"/>
          <w:sz w:val="24"/>
          <w:szCs w:val="24"/>
          <w:lang w:val="es"/>
        </w:rPr>
        <w:t xml:space="preserve">(Bacon 1995; Bacon y </w:t>
      </w:r>
      <w:proofErr w:type="spellStart"/>
      <w:r w:rsidRPr="00D470F4">
        <w:rPr>
          <w:rFonts w:ascii="Times New Roman" w:hAnsi="Times New Roman" w:cs="Times New Roman"/>
          <w:color w:val="231F20"/>
          <w:w w:val="90"/>
          <w:sz w:val="24"/>
          <w:szCs w:val="24"/>
          <w:lang w:val="es"/>
        </w:rPr>
        <w:t>Besant</w:t>
      </w:r>
      <w:proofErr w:type="spellEnd"/>
      <w:r w:rsidRPr="00D470F4">
        <w:rPr>
          <w:rFonts w:ascii="Times New Roman" w:hAnsi="Times New Roman" w:cs="Times New Roman"/>
          <w:color w:val="231F20"/>
          <w:w w:val="90"/>
          <w:sz w:val="24"/>
          <w:szCs w:val="24"/>
          <w:lang w:val="es"/>
        </w:rPr>
        <w:t xml:space="preserve">-Jones 2001; ESMAP 1999; </w:t>
      </w:r>
      <w:proofErr w:type="spellStart"/>
      <w:r w:rsidRPr="00D470F4">
        <w:rPr>
          <w:rFonts w:ascii="Times New Roman" w:hAnsi="Times New Roman" w:cs="Times New Roman"/>
          <w:color w:val="231F20"/>
          <w:w w:val="90"/>
          <w:sz w:val="24"/>
          <w:szCs w:val="24"/>
          <w:lang w:val="es"/>
        </w:rPr>
        <w:t>Jamasb</w:t>
      </w:r>
      <w:proofErr w:type="spellEnd"/>
      <w:r w:rsidRPr="00D470F4">
        <w:rPr>
          <w:rFonts w:ascii="Times New Roman" w:hAnsi="Times New Roman" w:cs="Times New Roman"/>
          <w:color w:val="231F20"/>
          <w:w w:val="90"/>
          <w:sz w:val="24"/>
          <w:szCs w:val="24"/>
          <w:lang w:val="es"/>
        </w:rPr>
        <w:t xml:space="preserve">, Nepal y </w:t>
      </w:r>
      <w:proofErr w:type="spellStart"/>
      <w:r w:rsidRPr="00D470F4">
        <w:rPr>
          <w:rFonts w:ascii="Times New Roman" w:hAnsi="Times New Roman" w:cs="Times New Roman"/>
          <w:color w:val="231F20"/>
          <w:w w:val="90"/>
          <w:sz w:val="24"/>
          <w:szCs w:val="24"/>
          <w:lang w:val="es"/>
        </w:rPr>
        <w:t>Timilsina</w:t>
      </w:r>
      <w:proofErr w:type="spellEnd"/>
      <w:r w:rsidRPr="00D470F4">
        <w:rPr>
          <w:rFonts w:ascii="Times New Roman" w:hAnsi="Times New Roman" w:cs="Times New Roman"/>
          <w:color w:val="231F20"/>
          <w:spacing w:val="-4"/>
          <w:sz w:val="24"/>
          <w:szCs w:val="24"/>
          <w:lang w:val="es"/>
        </w:rPr>
        <w:t xml:space="preserve"> 2015; </w:t>
      </w:r>
      <w:proofErr w:type="spellStart"/>
      <w:r w:rsidRPr="00D470F4">
        <w:rPr>
          <w:rFonts w:ascii="Times New Roman" w:hAnsi="Times New Roman" w:cs="Times New Roman"/>
          <w:color w:val="231F20"/>
          <w:spacing w:val="-4"/>
          <w:sz w:val="24"/>
          <w:szCs w:val="24"/>
          <w:lang w:val="es"/>
        </w:rPr>
        <w:t>Joskow</w:t>
      </w:r>
      <w:proofErr w:type="spellEnd"/>
      <w:r w:rsidRPr="00D470F4">
        <w:rPr>
          <w:rFonts w:ascii="Times New Roman" w:hAnsi="Times New Roman" w:cs="Times New Roman"/>
          <w:color w:val="231F20"/>
          <w:spacing w:val="-4"/>
          <w:sz w:val="24"/>
          <w:szCs w:val="24"/>
          <w:lang w:val="es"/>
        </w:rPr>
        <w:t xml:space="preserve"> 2008; </w:t>
      </w:r>
      <w:proofErr w:type="spellStart"/>
      <w:r w:rsidRPr="00D470F4">
        <w:rPr>
          <w:rFonts w:ascii="Times New Roman" w:hAnsi="Times New Roman" w:cs="Times New Roman"/>
          <w:color w:val="231F20"/>
          <w:spacing w:val="-4"/>
          <w:sz w:val="24"/>
          <w:szCs w:val="24"/>
          <w:lang w:val="es"/>
        </w:rPr>
        <w:t>Wamukonya</w:t>
      </w:r>
      <w:proofErr w:type="spellEnd"/>
      <w:r w:rsidRPr="00D470F4">
        <w:rPr>
          <w:rFonts w:ascii="Times New Roman" w:hAnsi="Times New Roman" w:cs="Times New Roman"/>
          <w:color w:val="231F20"/>
          <w:spacing w:val="-4"/>
          <w:sz w:val="24"/>
          <w:szCs w:val="24"/>
          <w:lang w:val="es"/>
        </w:rPr>
        <w:t xml:space="preserve"> 2003).</w:t>
      </w:r>
    </w:p>
    <w:p w14:paraId="1613227C" w14:textId="77777777" w:rsidR="00132D23" w:rsidRPr="00D470F4" w:rsidRDefault="00132D23" w:rsidP="00132D23">
      <w:pPr>
        <w:pStyle w:val="Textoindependiente"/>
        <w:spacing w:line="480" w:lineRule="auto"/>
        <w:ind w:firstLine="239"/>
        <w:rPr>
          <w:rFonts w:ascii="Times New Roman" w:hAnsi="Times New Roman" w:cs="Times New Roman"/>
          <w:sz w:val="24"/>
          <w:szCs w:val="24"/>
        </w:rPr>
      </w:pPr>
      <w:r w:rsidRPr="00D470F4">
        <w:rPr>
          <w:rFonts w:ascii="Times New Roman" w:hAnsi="Times New Roman" w:cs="Times New Roman"/>
          <w:color w:val="231F20"/>
          <w:w w:val="90"/>
          <w:sz w:val="24"/>
          <w:szCs w:val="24"/>
          <w:lang w:val="es"/>
        </w:rPr>
        <w:t xml:space="preserve">En los países en desarrollo, el principal impulsor de </w:t>
      </w:r>
      <w:r w:rsidRPr="00D470F4">
        <w:rPr>
          <w:rFonts w:ascii="Times New Roman" w:hAnsi="Times New Roman" w:cs="Times New Roman"/>
          <w:color w:val="231F20"/>
          <w:spacing w:val="-6"/>
          <w:sz w:val="24"/>
          <w:szCs w:val="24"/>
          <w:lang w:val="es"/>
        </w:rPr>
        <w:t xml:space="preserve">la reforma fue el mal desempeño de las empresas estatales </w:t>
      </w:r>
      <w:r w:rsidRPr="00D470F4">
        <w:rPr>
          <w:rFonts w:ascii="Times New Roman" w:hAnsi="Times New Roman" w:cs="Times New Roman"/>
          <w:color w:val="231F20"/>
          <w:w w:val="90"/>
          <w:sz w:val="24"/>
          <w:szCs w:val="24"/>
          <w:lang w:val="es"/>
        </w:rPr>
        <w:t xml:space="preserve">y las consecuencias fiscales asociadas (Bacon </w:t>
      </w:r>
      <w:r w:rsidRPr="00D470F4">
        <w:rPr>
          <w:rFonts w:ascii="Times New Roman" w:hAnsi="Times New Roman" w:cs="Times New Roman"/>
          <w:color w:val="231F20"/>
          <w:sz w:val="24"/>
          <w:szCs w:val="24"/>
          <w:lang w:val="es"/>
        </w:rPr>
        <w:t xml:space="preserve">2018). Los países en desarrollo se enfrentan a una creciente </w:t>
      </w:r>
      <w:r w:rsidRPr="00D470F4">
        <w:rPr>
          <w:rFonts w:ascii="Times New Roman" w:hAnsi="Times New Roman" w:cs="Times New Roman"/>
          <w:color w:val="231F20"/>
          <w:spacing w:val="-8"/>
          <w:sz w:val="24"/>
          <w:szCs w:val="24"/>
          <w:lang w:val="es"/>
        </w:rPr>
        <w:t xml:space="preserve">demanda de electricidad, así como a bajos niveles de </w:t>
      </w:r>
      <w:r w:rsidRPr="00D470F4">
        <w:rPr>
          <w:rFonts w:ascii="Times New Roman" w:hAnsi="Times New Roman" w:cs="Times New Roman"/>
          <w:color w:val="231F20"/>
          <w:spacing w:val="-6"/>
          <w:sz w:val="24"/>
          <w:szCs w:val="24"/>
          <w:lang w:val="es"/>
        </w:rPr>
        <w:t xml:space="preserve">electrificación. Marcadas por altos costos y baja </w:t>
      </w:r>
      <w:r w:rsidRPr="00D470F4">
        <w:rPr>
          <w:rFonts w:ascii="Times New Roman" w:hAnsi="Times New Roman" w:cs="Times New Roman"/>
          <w:color w:val="231F20"/>
          <w:w w:val="90"/>
          <w:sz w:val="24"/>
          <w:szCs w:val="24"/>
          <w:lang w:val="es"/>
        </w:rPr>
        <w:t xml:space="preserve">eficiencia operativa, las empresas estatales </w:t>
      </w:r>
      <w:r w:rsidRPr="00D470F4">
        <w:rPr>
          <w:rFonts w:ascii="Times New Roman" w:hAnsi="Times New Roman" w:cs="Times New Roman"/>
          <w:color w:val="231F20"/>
          <w:w w:val="90"/>
          <w:sz w:val="24"/>
          <w:szCs w:val="24"/>
          <w:lang w:val="es"/>
        </w:rPr>
        <w:lastRenderedPageBreak/>
        <w:t>demostraron ser desiguales a la demanda, lo que llevó a un enorme</w:t>
      </w:r>
      <w:r w:rsidRPr="00D470F4">
        <w:rPr>
          <w:rFonts w:ascii="Times New Roman" w:hAnsi="Times New Roman" w:cs="Times New Roman"/>
          <w:sz w:val="24"/>
          <w:szCs w:val="24"/>
          <w:lang w:val="es"/>
        </w:rPr>
        <w:t xml:space="preserve"> déficit </w:t>
      </w:r>
      <w:proofErr w:type="gramStart"/>
      <w:r w:rsidRPr="00D470F4">
        <w:rPr>
          <w:rFonts w:ascii="Times New Roman" w:hAnsi="Times New Roman" w:cs="Times New Roman"/>
          <w:sz w:val="24"/>
          <w:szCs w:val="24"/>
          <w:lang w:val="es"/>
        </w:rPr>
        <w:t xml:space="preserve">de </w:t>
      </w:r>
      <w:r w:rsidRPr="00D470F4">
        <w:rPr>
          <w:rFonts w:ascii="Times New Roman" w:hAnsi="Times New Roman" w:cs="Times New Roman"/>
          <w:color w:val="231F20"/>
          <w:w w:val="90"/>
          <w:sz w:val="24"/>
          <w:szCs w:val="24"/>
          <w:lang w:val="es"/>
        </w:rPr>
        <w:t xml:space="preserve"> oferta</w:t>
      </w:r>
      <w:proofErr w:type="gramEnd"/>
      <w:r w:rsidRPr="00D470F4">
        <w:rPr>
          <w:rFonts w:ascii="Times New Roman" w:hAnsi="Times New Roman" w:cs="Times New Roman"/>
          <w:color w:val="231F20"/>
          <w:w w:val="90"/>
          <w:sz w:val="24"/>
          <w:szCs w:val="24"/>
          <w:lang w:val="es"/>
        </w:rPr>
        <w:t xml:space="preserve"> y demanda, electrificación estática y </w:t>
      </w:r>
      <w:r w:rsidRPr="00D470F4">
        <w:rPr>
          <w:rFonts w:ascii="Times New Roman" w:hAnsi="Times New Roman" w:cs="Times New Roman"/>
          <w:color w:val="231F20"/>
          <w:spacing w:val="-2"/>
          <w:w w:val="90"/>
          <w:sz w:val="24"/>
          <w:szCs w:val="24"/>
          <w:lang w:val="es"/>
        </w:rPr>
        <w:t>apagones y caídas de tensión generalizados. Los subsidios al sector</w:t>
      </w:r>
      <w:r w:rsidRPr="00D470F4">
        <w:rPr>
          <w:rFonts w:ascii="Times New Roman" w:hAnsi="Times New Roman" w:cs="Times New Roman"/>
          <w:color w:val="231F20"/>
          <w:w w:val="90"/>
          <w:sz w:val="24"/>
          <w:szCs w:val="24"/>
          <w:lang w:val="es"/>
        </w:rPr>
        <w:t xml:space="preserve"> se multiplicaron a medida que los gobiernos mantenían los aranceles </w:t>
      </w:r>
      <w:r w:rsidRPr="00D470F4">
        <w:rPr>
          <w:rFonts w:ascii="Times New Roman" w:hAnsi="Times New Roman" w:cs="Times New Roman"/>
          <w:color w:val="231F20"/>
          <w:spacing w:val="-6"/>
          <w:sz w:val="24"/>
          <w:szCs w:val="24"/>
          <w:lang w:val="es"/>
        </w:rPr>
        <w:t xml:space="preserve">por debajo de los niveles de recuperación de costos para evitar aumentos políticamente </w:t>
      </w:r>
      <w:r w:rsidRPr="00D470F4">
        <w:rPr>
          <w:rFonts w:ascii="Times New Roman" w:hAnsi="Times New Roman" w:cs="Times New Roman"/>
          <w:color w:val="231F20"/>
          <w:sz w:val="24"/>
          <w:szCs w:val="24"/>
          <w:lang w:val="es"/>
        </w:rPr>
        <w:t xml:space="preserve">impopulares. La creciente carga fiscal </w:t>
      </w:r>
      <w:r w:rsidRPr="00D470F4">
        <w:rPr>
          <w:rFonts w:ascii="Times New Roman" w:hAnsi="Times New Roman" w:cs="Times New Roman"/>
          <w:color w:val="231F20"/>
          <w:spacing w:val="-2"/>
          <w:w w:val="90"/>
          <w:sz w:val="24"/>
          <w:szCs w:val="24"/>
          <w:lang w:val="es"/>
        </w:rPr>
        <w:t xml:space="preserve">privó al sector del capital necesario </w:t>
      </w:r>
      <w:r w:rsidRPr="00D470F4">
        <w:rPr>
          <w:rFonts w:ascii="Times New Roman" w:hAnsi="Times New Roman" w:cs="Times New Roman"/>
          <w:color w:val="231F20"/>
          <w:sz w:val="24"/>
          <w:szCs w:val="24"/>
          <w:lang w:val="es"/>
        </w:rPr>
        <w:t>para invertir en capacidad de generación y extensión de la red</w:t>
      </w:r>
      <w:r w:rsidRPr="00D470F4">
        <w:rPr>
          <w:rFonts w:ascii="Times New Roman" w:hAnsi="Times New Roman" w:cs="Times New Roman"/>
          <w:color w:val="231F20"/>
          <w:w w:val="90"/>
          <w:sz w:val="24"/>
          <w:szCs w:val="24"/>
          <w:lang w:val="es"/>
        </w:rPr>
        <w:t xml:space="preserve">. Para poner esta situación en perspectiva, el déficit </w:t>
      </w:r>
      <w:proofErr w:type="spellStart"/>
      <w:r w:rsidRPr="00D470F4">
        <w:rPr>
          <w:rFonts w:ascii="Times New Roman" w:hAnsi="Times New Roman" w:cs="Times New Roman"/>
          <w:color w:val="231F20"/>
          <w:w w:val="90"/>
          <w:sz w:val="24"/>
          <w:szCs w:val="24"/>
          <w:lang w:val="es"/>
        </w:rPr>
        <w:t>cuasifiscal</w:t>
      </w:r>
      <w:proofErr w:type="spellEnd"/>
      <w:r w:rsidRPr="00D470F4">
        <w:rPr>
          <w:rFonts w:ascii="Times New Roman" w:hAnsi="Times New Roman" w:cs="Times New Roman"/>
          <w:color w:val="231F20"/>
          <w:w w:val="90"/>
          <w:sz w:val="24"/>
          <w:szCs w:val="24"/>
          <w:lang w:val="es"/>
        </w:rPr>
        <w:t xml:space="preserve"> del sector eléctrico como resultado de operaciones ineficientes y precios inferiores de la electricidad se volvió macroeconómicamente </w:t>
      </w:r>
      <w:r w:rsidRPr="00D470F4">
        <w:rPr>
          <w:rFonts w:ascii="Times New Roman" w:hAnsi="Times New Roman" w:cs="Times New Roman"/>
          <w:color w:val="231F20"/>
          <w:spacing w:val="-2"/>
          <w:sz w:val="24"/>
          <w:szCs w:val="24"/>
          <w:lang w:val="es"/>
        </w:rPr>
        <w:t xml:space="preserve">significativo; se ha estimado que tiene un </w:t>
      </w:r>
      <w:r w:rsidRPr="00D470F4">
        <w:rPr>
          <w:rFonts w:ascii="Times New Roman" w:hAnsi="Times New Roman" w:cs="Times New Roman"/>
          <w:color w:val="231F20"/>
          <w:sz w:val="24"/>
          <w:szCs w:val="24"/>
          <w:lang w:val="es"/>
        </w:rPr>
        <w:t xml:space="preserve">valor medio de alrededor del 1 por ciento del producto interno bruto </w:t>
      </w:r>
      <w:r w:rsidRPr="00D470F4">
        <w:rPr>
          <w:rFonts w:ascii="Times New Roman" w:hAnsi="Times New Roman" w:cs="Times New Roman"/>
          <w:color w:val="231F20"/>
          <w:w w:val="90"/>
          <w:sz w:val="24"/>
          <w:szCs w:val="24"/>
          <w:lang w:val="es"/>
        </w:rPr>
        <w:t xml:space="preserve">en una </w:t>
      </w:r>
      <w:proofErr w:type="gramStart"/>
      <w:r w:rsidRPr="00D470F4">
        <w:rPr>
          <w:rFonts w:ascii="Times New Roman" w:hAnsi="Times New Roman" w:cs="Times New Roman"/>
          <w:color w:val="231F20"/>
          <w:w w:val="90"/>
          <w:sz w:val="24"/>
          <w:szCs w:val="24"/>
          <w:lang w:val="es"/>
        </w:rPr>
        <w:t xml:space="preserve">serie </w:t>
      </w:r>
      <w:r w:rsidRPr="00D470F4">
        <w:rPr>
          <w:rFonts w:ascii="Times New Roman" w:hAnsi="Times New Roman" w:cs="Times New Roman"/>
          <w:sz w:val="24"/>
          <w:szCs w:val="24"/>
          <w:lang w:val="es"/>
        </w:rPr>
        <w:t xml:space="preserve"> de</w:t>
      </w:r>
      <w:proofErr w:type="gramEnd"/>
      <w:r w:rsidRPr="00D470F4">
        <w:rPr>
          <w:rFonts w:ascii="Times New Roman" w:hAnsi="Times New Roman" w:cs="Times New Roman"/>
          <w:sz w:val="24"/>
          <w:szCs w:val="24"/>
          <w:lang w:val="es"/>
        </w:rPr>
        <w:t xml:space="preserve"> países en </w:t>
      </w:r>
      <w:r w:rsidRPr="00D470F4">
        <w:rPr>
          <w:rFonts w:ascii="Times New Roman" w:hAnsi="Times New Roman" w:cs="Times New Roman"/>
          <w:color w:val="231F20"/>
          <w:sz w:val="24"/>
          <w:szCs w:val="24"/>
          <w:lang w:val="es"/>
        </w:rPr>
        <w:t xml:space="preserve">desarrollo de África y Oriente </w:t>
      </w:r>
      <w:r w:rsidRPr="00D470F4">
        <w:rPr>
          <w:rFonts w:ascii="Times New Roman" w:hAnsi="Times New Roman" w:cs="Times New Roman"/>
          <w:color w:val="231F20"/>
          <w:spacing w:val="10"/>
          <w:sz w:val="24"/>
          <w:szCs w:val="24"/>
          <w:lang w:val="es"/>
        </w:rPr>
        <w:t xml:space="preserve"> </w:t>
      </w:r>
      <w:r w:rsidRPr="00D470F4">
        <w:rPr>
          <w:rFonts w:ascii="Times New Roman" w:hAnsi="Times New Roman" w:cs="Times New Roman"/>
          <w:color w:val="231F20"/>
          <w:w w:val="90"/>
          <w:sz w:val="24"/>
          <w:szCs w:val="24"/>
          <w:lang w:val="es"/>
        </w:rPr>
        <w:t>Medio. (</w:t>
      </w:r>
      <w:proofErr w:type="spellStart"/>
      <w:r w:rsidRPr="00D470F4">
        <w:rPr>
          <w:rFonts w:ascii="Times New Roman" w:hAnsi="Times New Roman" w:cs="Times New Roman"/>
          <w:color w:val="231F20"/>
          <w:w w:val="90"/>
          <w:sz w:val="24"/>
          <w:szCs w:val="24"/>
          <w:lang w:val="es"/>
        </w:rPr>
        <w:t>Alleyne</w:t>
      </w:r>
      <w:proofErr w:type="spellEnd"/>
      <w:r w:rsidRPr="00D470F4">
        <w:rPr>
          <w:rFonts w:ascii="Times New Roman" w:hAnsi="Times New Roman" w:cs="Times New Roman"/>
          <w:color w:val="231F20"/>
          <w:w w:val="90"/>
          <w:sz w:val="24"/>
          <w:szCs w:val="24"/>
          <w:lang w:val="es"/>
        </w:rPr>
        <w:t xml:space="preserve"> 2013; Briceño-Garmendia, </w:t>
      </w:r>
      <w:proofErr w:type="spellStart"/>
      <w:r w:rsidRPr="00D470F4">
        <w:rPr>
          <w:rFonts w:ascii="Times New Roman" w:hAnsi="Times New Roman" w:cs="Times New Roman"/>
          <w:color w:val="231F20"/>
          <w:w w:val="90"/>
          <w:sz w:val="24"/>
          <w:szCs w:val="24"/>
          <w:lang w:val="es"/>
        </w:rPr>
        <w:t>Smits</w:t>
      </w:r>
      <w:proofErr w:type="spellEnd"/>
      <w:r w:rsidRPr="00D470F4">
        <w:rPr>
          <w:rFonts w:ascii="Times New Roman" w:hAnsi="Times New Roman" w:cs="Times New Roman"/>
          <w:color w:val="231F20"/>
          <w:w w:val="90"/>
          <w:sz w:val="24"/>
          <w:szCs w:val="24"/>
          <w:lang w:val="es"/>
        </w:rPr>
        <w:t xml:space="preserve"> y Foster 2009; </w:t>
      </w:r>
      <w:proofErr w:type="spellStart"/>
      <w:r w:rsidRPr="00D470F4">
        <w:rPr>
          <w:rFonts w:ascii="Times New Roman" w:hAnsi="Times New Roman" w:cs="Times New Roman"/>
          <w:color w:val="231F20"/>
          <w:w w:val="90"/>
          <w:sz w:val="24"/>
          <w:szCs w:val="24"/>
          <w:lang w:val="es"/>
        </w:rPr>
        <w:t>Camos</w:t>
      </w:r>
      <w:proofErr w:type="spellEnd"/>
      <w:r w:rsidRPr="00D470F4">
        <w:rPr>
          <w:rFonts w:ascii="Times New Roman" w:hAnsi="Times New Roman" w:cs="Times New Roman"/>
          <w:color w:val="231F20"/>
          <w:w w:val="90"/>
          <w:sz w:val="24"/>
          <w:szCs w:val="24"/>
          <w:lang w:val="es"/>
        </w:rPr>
        <w:t xml:space="preserve"> y otros 2017; </w:t>
      </w:r>
      <w:proofErr w:type="spellStart"/>
      <w:r w:rsidRPr="00D470F4">
        <w:rPr>
          <w:rFonts w:ascii="Times New Roman" w:hAnsi="Times New Roman" w:cs="Times New Roman"/>
          <w:color w:val="231F20"/>
          <w:w w:val="90"/>
          <w:sz w:val="24"/>
          <w:szCs w:val="24"/>
          <w:lang w:val="es"/>
        </w:rPr>
        <w:t>Trimble</w:t>
      </w:r>
      <w:proofErr w:type="spellEnd"/>
      <w:r w:rsidRPr="00D470F4">
        <w:rPr>
          <w:rFonts w:ascii="Times New Roman" w:hAnsi="Times New Roman" w:cs="Times New Roman"/>
          <w:color w:val="231F20"/>
          <w:w w:val="90"/>
          <w:sz w:val="24"/>
          <w:szCs w:val="24"/>
          <w:lang w:val="es"/>
        </w:rPr>
        <w:t xml:space="preserve"> y otros 2016).</w:t>
      </w:r>
      <w:r w:rsidRPr="00D470F4">
        <w:rPr>
          <w:rFonts w:ascii="Times New Roman" w:hAnsi="Times New Roman" w:cs="Times New Roman"/>
          <w:sz w:val="24"/>
          <w:szCs w:val="24"/>
          <w:lang w:val="es"/>
        </w:rPr>
        <w:t xml:space="preserve"> </w:t>
      </w:r>
      <w:r w:rsidRPr="00D470F4">
        <w:rPr>
          <w:rFonts w:ascii="Times New Roman" w:hAnsi="Times New Roman" w:cs="Times New Roman"/>
          <w:color w:val="231F20"/>
          <w:w w:val="90"/>
          <w:sz w:val="24"/>
          <w:szCs w:val="24"/>
          <w:lang w:val="es"/>
        </w:rPr>
        <w:t xml:space="preserve"> La voluntad del Gobierno</w:t>
      </w:r>
      <w:r w:rsidRPr="00D470F4">
        <w:rPr>
          <w:rFonts w:ascii="Times New Roman" w:hAnsi="Times New Roman" w:cs="Times New Roman"/>
          <w:sz w:val="24"/>
          <w:szCs w:val="24"/>
          <w:lang w:val="es"/>
        </w:rPr>
        <w:t xml:space="preserve"> </w:t>
      </w:r>
      <w:proofErr w:type="gramStart"/>
      <w:r w:rsidRPr="00D470F4">
        <w:rPr>
          <w:rFonts w:ascii="Times New Roman" w:hAnsi="Times New Roman" w:cs="Times New Roman"/>
          <w:sz w:val="24"/>
          <w:szCs w:val="24"/>
          <w:lang w:val="es"/>
        </w:rPr>
        <w:t xml:space="preserve">de </w:t>
      </w:r>
      <w:r w:rsidRPr="00D470F4">
        <w:rPr>
          <w:rFonts w:ascii="Times New Roman" w:hAnsi="Times New Roman" w:cs="Times New Roman"/>
          <w:color w:val="231F20"/>
          <w:w w:val="90"/>
          <w:sz w:val="24"/>
          <w:szCs w:val="24"/>
          <w:lang w:val="es"/>
        </w:rPr>
        <w:t xml:space="preserve"> permitir</w:t>
      </w:r>
      <w:proofErr w:type="gramEnd"/>
      <w:r w:rsidRPr="00D470F4">
        <w:rPr>
          <w:rFonts w:ascii="Times New Roman" w:hAnsi="Times New Roman" w:cs="Times New Roman"/>
          <w:color w:val="231F20"/>
          <w:w w:val="90"/>
          <w:sz w:val="24"/>
          <w:szCs w:val="24"/>
          <w:lang w:val="es"/>
        </w:rPr>
        <w:t xml:space="preserve"> el empeoramiento de los resultados financieros no proporcionó ningún incentivo para que las empresas de servicios públicos redujeran costos y mejoraran la eficiencia. El empeoramiento de la situación fiscal a través</w:t>
      </w:r>
      <w:r w:rsidRPr="00D470F4">
        <w:rPr>
          <w:rFonts w:ascii="Times New Roman" w:hAnsi="Times New Roman" w:cs="Times New Roman"/>
          <w:sz w:val="24"/>
          <w:szCs w:val="24"/>
          <w:lang w:val="es"/>
        </w:rPr>
        <w:t xml:space="preserve"> de un shock de costos </w:t>
      </w:r>
      <w:proofErr w:type="gramStart"/>
      <w:r w:rsidRPr="00D470F4">
        <w:rPr>
          <w:rFonts w:ascii="Times New Roman" w:hAnsi="Times New Roman" w:cs="Times New Roman"/>
          <w:sz w:val="24"/>
          <w:szCs w:val="24"/>
          <w:lang w:val="es"/>
        </w:rPr>
        <w:t xml:space="preserve">externos, </w:t>
      </w:r>
      <w:r w:rsidRPr="00D470F4">
        <w:rPr>
          <w:rFonts w:ascii="Times New Roman" w:hAnsi="Times New Roman" w:cs="Times New Roman"/>
          <w:color w:val="231F20"/>
          <w:spacing w:val="-4"/>
          <w:sz w:val="24"/>
          <w:szCs w:val="24"/>
          <w:lang w:val="es"/>
        </w:rPr>
        <w:t xml:space="preserve"> como</w:t>
      </w:r>
      <w:proofErr w:type="gramEnd"/>
      <w:r w:rsidRPr="00D470F4">
        <w:rPr>
          <w:rFonts w:ascii="Times New Roman" w:hAnsi="Times New Roman" w:cs="Times New Roman"/>
          <w:color w:val="231F20"/>
          <w:spacing w:val="-4"/>
          <w:sz w:val="24"/>
          <w:szCs w:val="24"/>
          <w:lang w:val="es"/>
        </w:rPr>
        <w:t xml:space="preserve"> un aumento del precio del petróleo o una </w:t>
      </w:r>
      <w:r w:rsidRPr="00D470F4">
        <w:rPr>
          <w:rFonts w:ascii="Times New Roman" w:hAnsi="Times New Roman" w:cs="Times New Roman"/>
          <w:color w:val="231F20"/>
          <w:sz w:val="24"/>
          <w:szCs w:val="24"/>
          <w:lang w:val="es"/>
        </w:rPr>
        <w:t xml:space="preserve">devaluación de la moneda, a veces proporcionó el impulso final para la </w:t>
      </w:r>
      <w:r w:rsidRPr="00D470F4">
        <w:rPr>
          <w:rFonts w:ascii="Times New Roman" w:hAnsi="Times New Roman" w:cs="Times New Roman"/>
          <w:color w:val="231F20"/>
          <w:spacing w:val="-2"/>
          <w:w w:val="90"/>
          <w:sz w:val="24"/>
          <w:szCs w:val="24"/>
          <w:lang w:val="es"/>
        </w:rPr>
        <w:t xml:space="preserve">reforma. En otros casos, </w:t>
      </w:r>
      <w:proofErr w:type="gramStart"/>
      <w:r w:rsidRPr="00D470F4">
        <w:rPr>
          <w:rFonts w:ascii="Times New Roman" w:hAnsi="Times New Roman" w:cs="Times New Roman"/>
          <w:color w:val="231F20"/>
          <w:spacing w:val="-2"/>
          <w:w w:val="90"/>
          <w:sz w:val="24"/>
          <w:szCs w:val="24"/>
          <w:lang w:val="es"/>
        </w:rPr>
        <w:t xml:space="preserve">los </w:t>
      </w:r>
      <w:r w:rsidRPr="00D470F4">
        <w:rPr>
          <w:rFonts w:ascii="Times New Roman" w:hAnsi="Times New Roman" w:cs="Times New Roman"/>
          <w:color w:val="231F20"/>
          <w:w w:val="85"/>
          <w:sz w:val="24"/>
          <w:szCs w:val="24"/>
          <w:lang w:val="es"/>
        </w:rPr>
        <w:t xml:space="preserve"> catalizadores</w:t>
      </w:r>
      <w:proofErr w:type="gramEnd"/>
      <w:r w:rsidRPr="00D470F4">
        <w:rPr>
          <w:rFonts w:ascii="Times New Roman" w:hAnsi="Times New Roman" w:cs="Times New Roman"/>
          <w:color w:val="231F20"/>
          <w:w w:val="85"/>
          <w:sz w:val="24"/>
          <w:szCs w:val="24"/>
          <w:lang w:val="es"/>
        </w:rPr>
        <w:t xml:space="preserve"> inmediatos fueron crisis de deuda más amplias y </w:t>
      </w:r>
      <w:r w:rsidRPr="00D470F4">
        <w:rPr>
          <w:rFonts w:ascii="Times New Roman" w:hAnsi="Times New Roman" w:cs="Times New Roman"/>
          <w:sz w:val="24"/>
          <w:szCs w:val="24"/>
          <w:lang w:val="es"/>
        </w:rPr>
        <w:t xml:space="preserve"> las </w:t>
      </w:r>
      <w:r w:rsidRPr="00D470F4">
        <w:rPr>
          <w:rFonts w:ascii="Times New Roman" w:hAnsi="Times New Roman" w:cs="Times New Roman"/>
          <w:color w:val="231F20"/>
          <w:w w:val="85"/>
          <w:sz w:val="24"/>
          <w:szCs w:val="24"/>
          <w:lang w:val="es"/>
        </w:rPr>
        <w:t>consiguientes</w:t>
      </w:r>
      <w:r w:rsidRPr="00D470F4">
        <w:rPr>
          <w:rFonts w:ascii="Times New Roman" w:hAnsi="Times New Roman" w:cs="Times New Roman"/>
          <w:color w:val="231F20"/>
          <w:w w:val="90"/>
          <w:sz w:val="24"/>
          <w:szCs w:val="24"/>
          <w:lang w:val="es"/>
        </w:rPr>
        <w:t xml:space="preserve"> reformas del sector eléctrico como condición previa para </w:t>
      </w:r>
      <w:r w:rsidRPr="00D470F4">
        <w:rPr>
          <w:rFonts w:ascii="Times New Roman" w:hAnsi="Times New Roman" w:cs="Times New Roman"/>
          <w:color w:val="231F20"/>
          <w:spacing w:val="-6"/>
          <w:sz w:val="24"/>
          <w:szCs w:val="24"/>
          <w:lang w:val="es"/>
        </w:rPr>
        <w:t>el acceso a la financiación multilateral.</w:t>
      </w:r>
    </w:p>
    <w:p w14:paraId="771EA7D7" w14:textId="77777777" w:rsidR="00132D23" w:rsidRPr="00D470F4" w:rsidRDefault="00132D23" w:rsidP="00132D23">
      <w:pPr>
        <w:pStyle w:val="Textoindependiente"/>
        <w:spacing w:line="480" w:lineRule="auto"/>
        <w:ind w:firstLine="239"/>
        <w:rPr>
          <w:rFonts w:ascii="Times New Roman" w:hAnsi="Times New Roman" w:cs="Times New Roman"/>
          <w:sz w:val="24"/>
          <w:szCs w:val="24"/>
        </w:rPr>
      </w:pPr>
      <w:r w:rsidRPr="00D470F4">
        <w:rPr>
          <w:rFonts w:ascii="Times New Roman" w:hAnsi="Times New Roman" w:cs="Times New Roman"/>
          <w:color w:val="231F20"/>
          <w:sz w:val="24"/>
          <w:szCs w:val="24"/>
          <w:lang w:val="es"/>
        </w:rPr>
        <w:t xml:space="preserve">En las economías en transición, la </w:t>
      </w:r>
      <w:r w:rsidRPr="00D470F4">
        <w:rPr>
          <w:rFonts w:ascii="Times New Roman" w:hAnsi="Times New Roman" w:cs="Times New Roman"/>
          <w:color w:val="231F20"/>
          <w:spacing w:val="-8"/>
          <w:sz w:val="24"/>
          <w:szCs w:val="24"/>
          <w:lang w:val="es"/>
        </w:rPr>
        <w:t xml:space="preserve">reforma del sector eléctrico fue parte de un esfuerzo más amplio para crear una economía de </w:t>
      </w:r>
      <w:r w:rsidRPr="00D470F4">
        <w:rPr>
          <w:rFonts w:ascii="Times New Roman" w:hAnsi="Times New Roman" w:cs="Times New Roman"/>
          <w:color w:val="231F20"/>
          <w:sz w:val="24"/>
          <w:szCs w:val="24"/>
          <w:lang w:val="es"/>
        </w:rPr>
        <w:t xml:space="preserve">mercado (Bacon 2018). El sector </w:t>
      </w:r>
      <w:r w:rsidRPr="00D470F4">
        <w:rPr>
          <w:rFonts w:ascii="Times New Roman" w:hAnsi="Times New Roman" w:cs="Times New Roman"/>
          <w:color w:val="231F20"/>
          <w:w w:val="90"/>
          <w:sz w:val="24"/>
          <w:szCs w:val="24"/>
          <w:lang w:val="es"/>
        </w:rPr>
        <w:t>enfrentó diferentes desafíos en estos países, que tendían a tener un exceso</w:t>
      </w:r>
      <w:r w:rsidRPr="00D470F4">
        <w:rPr>
          <w:rFonts w:ascii="Times New Roman" w:hAnsi="Times New Roman" w:cs="Times New Roman"/>
          <w:sz w:val="24"/>
          <w:szCs w:val="24"/>
          <w:lang w:val="es"/>
        </w:rPr>
        <w:t xml:space="preserve"> </w:t>
      </w:r>
      <w:proofErr w:type="gramStart"/>
      <w:r w:rsidRPr="00D470F4">
        <w:rPr>
          <w:rFonts w:ascii="Times New Roman" w:hAnsi="Times New Roman" w:cs="Times New Roman"/>
          <w:sz w:val="24"/>
          <w:szCs w:val="24"/>
          <w:lang w:val="es"/>
        </w:rPr>
        <w:t xml:space="preserve">de </w:t>
      </w:r>
      <w:r w:rsidRPr="00D470F4">
        <w:rPr>
          <w:rFonts w:ascii="Times New Roman" w:hAnsi="Times New Roman" w:cs="Times New Roman"/>
          <w:color w:val="231F20"/>
          <w:w w:val="90"/>
          <w:sz w:val="24"/>
          <w:szCs w:val="24"/>
          <w:lang w:val="es"/>
        </w:rPr>
        <w:t xml:space="preserve"> capacidad</w:t>
      </w:r>
      <w:proofErr w:type="gramEnd"/>
      <w:r w:rsidRPr="00D470F4">
        <w:rPr>
          <w:rFonts w:ascii="Times New Roman" w:hAnsi="Times New Roman" w:cs="Times New Roman"/>
          <w:sz w:val="24"/>
          <w:szCs w:val="24"/>
          <w:lang w:val="es"/>
        </w:rPr>
        <w:t xml:space="preserve"> de generación </w:t>
      </w:r>
      <w:r w:rsidRPr="00D470F4">
        <w:rPr>
          <w:rFonts w:ascii="Times New Roman" w:hAnsi="Times New Roman" w:cs="Times New Roman"/>
          <w:color w:val="231F20"/>
          <w:w w:val="90"/>
          <w:sz w:val="24"/>
          <w:szCs w:val="24"/>
          <w:lang w:val="es"/>
        </w:rPr>
        <w:t xml:space="preserve"> y altas tasas de acceso. Sin embargo, </w:t>
      </w:r>
      <w:r w:rsidRPr="00D470F4">
        <w:rPr>
          <w:rFonts w:ascii="Times New Roman" w:hAnsi="Times New Roman" w:cs="Times New Roman"/>
          <w:color w:val="231F20"/>
          <w:spacing w:val="-2"/>
          <w:w w:val="90"/>
          <w:sz w:val="24"/>
          <w:szCs w:val="24"/>
          <w:lang w:val="es"/>
        </w:rPr>
        <w:t xml:space="preserve">todavía cobraban precios muy por debajo de los costos de reemplazo </w:t>
      </w:r>
      <w:r w:rsidRPr="00D470F4">
        <w:rPr>
          <w:rFonts w:ascii="Times New Roman" w:hAnsi="Times New Roman" w:cs="Times New Roman"/>
          <w:color w:val="231F20"/>
          <w:spacing w:val="9"/>
          <w:sz w:val="24"/>
          <w:szCs w:val="24"/>
          <w:lang w:val="es"/>
        </w:rPr>
        <w:t>y</w:t>
      </w:r>
      <w:r w:rsidRPr="00D470F4">
        <w:rPr>
          <w:rFonts w:ascii="Times New Roman" w:hAnsi="Times New Roman" w:cs="Times New Roman"/>
          <w:color w:val="231F20"/>
          <w:spacing w:val="12"/>
          <w:sz w:val="24"/>
          <w:szCs w:val="24"/>
          <w:lang w:val="es"/>
        </w:rPr>
        <w:t xml:space="preserve"> luchaban</w:t>
      </w:r>
      <w:r w:rsidRPr="00D470F4">
        <w:rPr>
          <w:rFonts w:ascii="Times New Roman" w:hAnsi="Times New Roman" w:cs="Times New Roman"/>
          <w:color w:val="231F20"/>
          <w:sz w:val="24"/>
          <w:szCs w:val="24"/>
          <w:lang w:val="es"/>
        </w:rPr>
        <w:t xml:space="preserve"> por </w:t>
      </w:r>
      <w:r w:rsidRPr="00D470F4">
        <w:rPr>
          <w:rFonts w:ascii="Times New Roman" w:hAnsi="Times New Roman" w:cs="Times New Roman"/>
          <w:color w:val="231F20"/>
          <w:spacing w:val="12"/>
          <w:sz w:val="24"/>
          <w:szCs w:val="24"/>
          <w:lang w:val="es"/>
        </w:rPr>
        <w:t>mantener</w:t>
      </w:r>
      <w:r w:rsidRPr="00D470F4">
        <w:rPr>
          <w:rFonts w:ascii="Times New Roman" w:hAnsi="Times New Roman" w:cs="Times New Roman"/>
          <w:color w:val="231F20"/>
          <w:spacing w:val="11"/>
          <w:sz w:val="24"/>
          <w:szCs w:val="24"/>
          <w:lang w:val="es"/>
        </w:rPr>
        <w:t xml:space="preserve"> su</w:t>
      </w:r>
      <w:r w:rsidRPr="00D470F4">
        <w:rPr>
          <w:rFonts w:ascii="Times New Roman" w:hAnsi="Times New Roman" w:cs="Times New Roman"/>
          <w:sz w:val="24"/>
          <w:szCs w:val="24"/>
          <w:lang w:val="es"/>
        </w:rPr>
        <w:t xml:space="preserve"> </w:t>
      </w:r>
      <w:proofErr w:type="gramStart"/>
      <w:r w:rsidRPr="00D470F4">
        <w:rPr>
          <w:rFonts w:ascii="Times New Roman" w:hAnsi="Times New Roman" w:cs="Times New Roman"/>
          <w:sz w:val="24"/>
          <w:szCs w:val="24"/>
          <w:lang w:val="es"/>
        </w:rPr>
        <w:t xml:space="preserve">infraestructura </w:t>
      </w:r>
      <w:r w:rsidRPr="00D470F4">
        <w:rPr>
          <w:rFonts w:ascii="Times New Roman" w:hAnsi="Times New Roman" w:cs="Times New Roman"/>
          <w:color w:val="231F20"/>
          <w:spacing w:val="14"/>
          <w:sz w:val="24"/>
          <w:szCs w:val="24"/>
          <w:lang w:val="es"/>
        </w:rPr>
        <w:t xml:space="preserve"> envejecida</w:t>
      </w:r>
      <w:proofErr w:type="gramEnd"/>
      <w:r w:rsidRPr="00D470F4">
        <w:rPr>
          <w:rFonts w:ascii="Times New Roman" w:hAnsi="Times New Roman" w:cs="Times New Roman"/>
          <w:color w:val="231F20"/>
          <w:spacing w:val="-4"/>
          <w:sz w:val="24"/>
          <w:szCs w:val="24"/>
          <w:lang w:val="es"/>
        </w:rPr>
        <w:t xml:space="preserve">. Más allá de estas </w:t>
      </w:r>
      <w:r w:rsidRPr="00D470F4">
        <w:rPr>
          <w:rFonts w:ascii="Times New Roman" w:hAnsi="Times New Roman" w:cs="Times New Roman"/>
          <w:color w:val="231F20"/>
          <w:spacing w:val="-2"/>
          <w:w w:val="90"/>
          <w:sz w:val="24"/>
          <w:szCs w:val="24"/>
          <w:lang w:val="es"/>
        </w:rPr>
        <w:t>cuestiones sectoriales, estaba la estrategia general de reforma</w:t>
      </w:r>
      <w:r w:rsidRPr="00D470F4">
        <w:rPr>
          <w:rFonts w:ascii="Times New Roman" w:hAnsi="Times New Roman" w:cs="Times New Roman"/>
          <w:sz w:val="24"/>
          <w:szCs w:val="24"/>
          <w:lang w:val="es"/>
        </w:rPr>
        <w:t xml:space="preserve"> de la </w:t>
      </w:r>
      <w:r w:rsidRPr="00D470F4">
        <w:rPr>
          <w:rFonts w:ascii="Times New Roman" w:hAnsi="Times New Roman" w:cs="Times New Roman"/>
          <w:color w:val="231F20"/>
          <w:spacing w:val="-2"/>
          <w:w w:val="90"/>
          <w:sz w:val="24"/>
          <w:szCs w:val="24"/>
          <w:lang w:val="es"/>
        </w:rPr>
        <w:t>creación</w:t>
      </w:r>
      <w:r w:rsidRPr="00D470F4">
        <w:rPr>
          <w:rFonts w:ascii="Times New Roman" w:hAnsi="Times New Roman" w:cs="Times New Roman"/>
          <w:sz w:val="24"/>
          <w:szCs w:val="24"/>
          <w:lang w:val="es"/>
        </w:rPr>
        <w:t xml:space="preserve"> </w:t>
      </w:r>
      <w:proofErr w:type="gramStart"/>
      <w:r w:rsidRPr="00D470F4">
        <w:rPr>
          <w:rFonts w:ascii="Times New Roman" w:hAnsi="Times New Roman" w:cs="Times New Roman"/>
          <w:sz w:val="24"/>
          <w:szCs w:val="24"/>
          <w:lang w:val="es"/>
        </w:rPr>
        <w:t xml:space="preserve">de </w:t>
      </w:r>
      <w:r w:rsidRPr="00D470F4">
        <w:rPr>
          <w:rFonts w:ascii="Times New Roman" w:hAnsi="Times New Roman" w:cs="Times New Roman"/>
          <w:color w:val="231F20"/>
          <w:w w:val="90"/>
          <w:sz w:val="24"/>
          <w:szCs w:val="24"/>
          <w:lang w:val="es"/>
        </w:rPr>
        <w:t xml:space="preserve"> una</w:t>
      </w:r>
      <w:proofErr w:type="gramEnd"/>
      <w:r w:rsidRPr="00D470F4">
        <w:rPr>
          <w:rFonts w:ascii="Times New Roman" w:hAnsi="Times New Roman" w:cs="Times New Roman"/>
          <w:color w:val="231F20"/>
          <w:w w:val="90"/>
          <w:sz w:val="24"/>
          <w:szCs w:val="24"/>
          <w:lang w:val="es"/>
        </w:rPr>
        <w:t xml:space="preserve"> economía de mercado basada en</w:t>
      </w:r>
      <w:r w:rsidRPr="00D470F4">
        <w:rPr>
          <w:rFonts w:ascii="Times New Roman" w:hAnsi="Times New Roman" w:cs="Times New Roman"/>
          <w:sz w:val="24"/>
          <w:szCs w:val="24"/>
          <w:lang w:val="es"/>
        </w:rPr>
        <w:t xml:space="preserve"> la </w:t>
      </w:r>
      <w:r w:rsidRPr="00D470F4">
        <w:rPr>
          <w:rFonts w:ascii="Times New Roman" w:hAnsi="Times New Roman" w:cs="Times New Roman"/>
          <w:color w:val="231F20"/>
          <w:w w:val="90"/>
          <w:sz w:val="24"/>
          <w:szCs w:val="24"/>
          <w:lang w:val="es"/>
        </w:rPr>
        <w:t xml:space="preserve"> propiedad</w:t>
      </w:r>
      <w:r w:rsidRPr="00D470F4">
        <w:rPr>
          <w:rFonts w:ascii="Times New Roman" w:hAnsi="Times New Roman" w:cs="Times New Roman"/>
          <w:sz w:val="24"/>
          <w:szCs w:val="24"/>
          <w:lang w:val="es"/>
        </w:rPr>
        <w:t xml:space="preserve"> privada </w:t>
      </w:r>
      <w:r w:rsidRPr="00D470F4">
        <w:rPr>
          <w:rFonts w:ascii="Times New Roman" w:hAnsi="Times New Roman" w:cs="Times New Roman"/>
          <w:color w:val="231F20"/>
          <w:w w:val="90"/>
          <w:sz w:val="24"/>
          <w:szCs w:val="24"/>
          <w:lang w:val="es"/>
        </w:rPr>
        <w:t xml:space="preserve"> y la competencia. Otro incentivo fue </w:t>
      </w:r>
      <w:r w:rsidRPr="00D470F4">
        <w:rPr>
          <w:rFonts w:ascii="Times New Roman" w:hAnsi="Times New Roman" w:cs="Times New Roman"/>
          <w:sz w:val="24"/>
          <w:szCs w:val="24"/>
          <w:lang w:val="es"/>
        </w:rPr>
        <w:t xml:space="preserve">el </w:t>
      </w:r>
      <w:r w:rsidRPr="00D470F4">
        <w:rPr>
          <w:rFonts w:ascii="Times New Roman" w:hAnsi="Times New Roman" w:cs="Times New Roman"/>
          <w:color w:val="231F20"/>
          <w:spacing w:val="-6"/>
          <w:sz w:val="24"/>
          <w:szCs w:val="24"/>
          <w:lang w:val="es"/>
        </w:rPr>
        <w:t xml:space="preserve">deseo de algunos países de </w:t>
      </w:r>
      <w:r w:rsidRPr="00D470F4">
        <w:rPr>
          <w:rFonts w:ascii="Times New Roman" w:hAnsi="Times New Roman" w:cs="Times New Roman"/>
          <w:color w:val="231F20"/>
          <w:sz w:val="24"/>
          <w:szCs w:val="24"/>
          <w:lang w:val="es"/>
        </w:rPr>
        <w:t xml:space="preserve">adherirse </w:t>
      </w:r>
      <w:r w:rsidRPr="00D470F4">
        <w:rPr>
          <w:rFonts w:ascii="Times New Roman" w:hAnsi="Times New Roman" w:cs="Times New Roman"/>
          <w:sz w:val="24"/>
          <w:szCs w:val="24"/>
          <w:lang w:val="es"/>
        </w:rPr>
        <w:t xml:space="preserve">a la Unión Europea, </w:t>
      </w:r>
      <w:r w:rsidRPr="00D470F4">
        <w:rPr>
          <w:rFonts w:ascii="Times New Roman" w:hAnsi="Times New Roman" w:cs="Times New Roman"/>
          <w:color w:val="231F20"/>
          <w:spacing w:val="-8"/>
          <w:sz w:val="24"/>
          <w:szCs w:val="24"/>
          <w:lang w:val="es"/>
        </w:rPr>
        <w:t xml:space="preserve">cuya adhesión les obligaría a armonizar el sector eléctrico </w:t>
      </w:r>
      <w:r w:rsidRPr="00D470F4">
        <w:rPr>
          <w:rFonts w:ascii="Times New Roman" w:hAnsi="Times New Roman" w:cs="Times New Roman"/>
          <w:color w:val="231F20"/>
          <w:w w:val="90"/>
          <w:sz w:val="24"/>
          <w:szCs w:val="24"/>
          <w:lang w:val="es"/>
        </w:rPr>
        <w:lastRenderedPageBreak/>
        <w:t>con las directivas de la Unión Europea.</w:t>
      </w:r>
    </w:p>
    <w:p w14:paraId="6E19D72B" w14:textId="77777777" w:rsidR="00132D23" w:rsidRPr="00D470F4" w:rsidRDefault="00132D23" w:rsidP="00132D23">
      <w:pPr>
        <w:pStyle w:val="Textoindependiente"/>
        <w:spacing w:line="480" w:lineRule="auto"/>
        <w:rPr>
          <w:rFonts w:ascii="Times New Roman" w:hAnsi="Times New Roman" w:cs="Times New Roman"/>
          <w:sz w:val="24"/>
          <w:szCs w:val="24"/>
        </w:rPr>
      </w:pPr>
      <w:r w:rsidRPr="00D470F4">
        <w:rPr>
          <w:rFonts w:ascii="Times New Roman" w:hAnsi="Times New Roman" w:cs="Times New Roman"/>
          <w:color w:val="231F20"/>
          <w:w w:val="95"/>
          <w:sz w:val="24"/>
          <w:szCs w:val="24"/>
          <w:lang w:val="es"/>
        </w:rPr>
        <w:t>En</w:t>
      </w:r>
      <w:r w:rsidRPr="00D470F4">
        <w:rPr>
          <w:rFonts w:ascii="Times New Roman" w:hAnsi="Times New Roman" w:cs="Times New Roman"/>
          <w:color w:val="231F20"/>
          <w:spacing w:val="9"/>
          <w:w w:val="95"/>
          <w:sz w:val="24"/>
          <w:szCs w:val="24"/>
          <w:lang w:val="es"/>
        </w:rPr>
        <w:t xml:space="preserve"> los países desarrollados,</w:t>
      </w:r>
      <w:r w:rsidRPr="00D470F4">
        <w:rPr>
          <w:rFonts w:ascii="Times New Roman" w:hAnsi="Times New Roman" w:cs="Times New Roman"/>
          <w:sz w:val="24"/>
          <w:szCs w:val="24"/>
          <w:lang w:val="es"/>
        </w:rPr>
        <w:t xml:space="preserve"> la reforma del </w:t>
      </w:r>
      <w:r w:rsidRPr="00D470F4">
        <w:rPr>
          <w:rFonts w:ascii="Times New Roman" w:hAnsi="Times New Roman" w:cs="Times New Roman"/>
          <w:color w:val="231F20"/>
          <w:spacing w:val="9"/>
          <w:w w:val="90"/>
          <w:sz w:val="24"/>
          <w:szCs w:val="24"/>
          <w:lang w:val="es"/>
        </w:rPr>
        <w:t>sector</w:t>
      </w:r>
      <w:r w:rsidRPr="00D470F4">
        <w:rPr>
          <w:rFonts w:ascii="Times New Roman" w:hAnsi="Times New Roman" w:cs="Times New Roman"/>
          <w:color w:val="231F20"/>
          <w:w w:val="95"/>
          <w:sz w:val="24"/>
          <w:szCs w:val="24"/>
          <w:lang w:val="es"/>
        </w:rPr>
        <w:t xml:space="preserve"> eléctrico</w:t>
      </w:r>
      <w:r w:rsidRPr="00D470F4">
        <w:rPr>
          <w:rFonts w:ascii="Times New Roman" w:hAnsi="Times New Roman" w:cs="Times New Roman"/>
          <w:color w:val="231F20"/>
          <w:spacing w:val="-8"/>
          <w:sz w:val="24"/>
          <w:szCs w:val="24"/>
          <w:lang w:val="es"/>
        </w:rPr>
        <w:t xml:space="preserve"> se consideró un medio para reducir los precios </w:t>
      </w:r>
      <w:r w:rsidRPr="00D470F4">
        <w:rPr>
          <w:rFonts w:ascii="Times New Roman" w:hAnsi="Times New Roman" w:cs="Times New Roman"/>
          <w:sz w:val="24"/>
          <w:szCs w:val="24"/>
          <w:lang w:val="es"/>
        </w:rPr>
        <w:t xml:space="preserve">para </w:t>
      </w:r>
      <w:r w:rsidRPr="00D470F4">
        <w:rPr>
          <w:rFonts w:ascii="Times New Roman" w:hAnsi="Times New Roman" w:cs="Times New Roman"/>
          <w:color w:val="231F20"/>
          <w:spacing w:val="-6"/>
          <w:sz w:val="24"/>
          <w:szCs w:val="24"/>
          <w:lang w:val="es"/>
        </w:rPr>
        <w:t xml:space="preserve">los consumidores al tiempo que recaudaba ingresos para el </w:t>
      </w:r>
      <w:r w:rsidRPr="00D470F4">
        <w:rPr>
          <w:rFonts w:ascii="Times New Roman" w:hAnsi="Times New Roman" w:cs="Times New Roman"/>
          <w:color w:val="231F20"/>
          <w:spacing w:val="-2"/>
          <w:sz w:val="24"/>
          <w:szCs w:val="24"/>
          <w:lang w:val="es"/>
        </w:rPr>
        <w:t xml:space="preserve">tesoro nacional (Bacon 2018). Los países desarrollados </w:t>
      </w:r>
      <w:r w:rsidRPr="00D470F4">
        <w:rPr>
          <w:rFonts w:ascii="Times New Roman" w:hAnsi="Times New Roman" w:cs="Times New Roman"/>
          <w:color w:val="231F20"/>
          <w:w w:val="90"/>
          <w:sz w:val="24"/>
          <w:szCs w:val="24"/>
          <w:lang w:val="es"/>
        </w:rPr>
        <w:t xml:space="preserve">no suelen sufrir muchos de los graves problemas operacionales y financieros a los </w:t>
      </w:r>
      <w:r w:rsidRPr="00D470F4">
        <w:rPr>
          <w:rFonts w:ascii="Times New Roman" w:hAnsi="Times New Roman" w:cs="Times New Roman"/>
          <w:color w:val="231F20"/>
          <w:spacing w:val="17"/>
          <w:sz w:val="24"/>
          <w:szCs w:val="24"/>
          <w:lang w:val="es"/>
        </w:rPr>
        <w:t xml:space="preserve">que se enfrenta </w:t>
      </w:r>
      <w:r w:rsidRPr="00D470F4">
        <w:rPr>
          <w:rFonts w:ascii="Times New Roman" w:hAnsi="Times New Roman" w:cs="Times New Roman"/>
          <w:color w:val="231F20"/>
          <w:spacing w:val="14"/>
          <w:sz w:val="24"/>
          <w:szCs w:val="24"/>
          <w:lang w:val="es"/>
        </w:rPr>
        <w:t xml:space="preserve">el </w:t>
      </w:r>
      <w:r w:rsidRPr="00D470F4">
        <w:rPr>
          <w:rFonts w:ascii="Times New Roman" w:hAnsi="Times New Roman" w:cs="Times New Roman"/>
          <w:color w:val="231F20"/>
          <w:spacing w:val="17"/>
          <w:sz w:val="24"/>
          <w:szCs w:val="24"/>
          <w:lang w:val="es"/>
        </w:rPr>
        <w:t xml:space="preserve">sector </w:t>
      </w:r>
      <w:r w:rsidRPr="00D470F4">
        <w:rPr>
          <w:rFonts w:ascii="Times New Roman" w:hAnsi="Times New Roman" w:cs="Times New Roman"/>
          <w:color w:val="231F20"/>
          <w:spacing w:val="16"/>
          <w:sz w:val="24"/>
          <w:szCs w:val="24"/>
          <w:lang w:val="es"/>
        </w:rPr>
        <w:t xml:space="preserve">eléctrico </w:t>
      </w:r>
      <w:r w:rsidRPr="00D470F4">
        <w:rPr>
          <w:rFonts w:ascii="Times New Roman" w:hAnsi="Times New Roman" w:cs="Times New Roman"/>
          <w:color w:val="231F20"/>
          <w:spacing w:val="18"/>
          <w:sz w:val="24"/>
          <w:szCs w:val="24"/>
          <w:lang w:val="es"/>
        </w:rPr>
        <w:t xml:space="preserve">en otros lugares. </w:t>
      </w:r>
      <w:r w:rsidRPr="00D470F4">
        <w:rPr>
          <w:rFonts w:ascii="Times New Roman" w:hAnsi="Times New Roman" w:cs="Times New Roman"/>
          <w:sz w:val="24"/>
          <w:szCs w:val="24"/>
          <w:lang w:val="es"/>
        </w:rPr>
        <w:t xml:space="preserve"> </w:t>
      </w:r>
      <w:r w:rsidRPr="00D470F4">
        <w:rPr>
          <w:rFonts w:ascii="Times New Roman" w:hAnsi="Times New Roman" w:cs="Times New Roman"/>
          <w:color w:val="231F20"/>
          <w:sz w:val="24"/>
          <w:szCs w:val="24"/>
          <w:lang w:val="es"/>
        </w:rPr>
        <w:t>En consecuencia, la motivación para la</w:t>
      </w:r>
      <w:r w:rsidRPr="00D470F4">
        <w:rPr>
          <w:rFonts w:ascii="Times New Roman" w:hAnsi="Times New Roman" w:cs="Times New Roman"/>
          <w:color w:val="231F20"/>
          <w:spacing w:val="-15"/>
          <w:sz w:val="24"/>
          <w:szCs w:val="24"/>
          <w:lang w:val="es"/>
        </w:rPr>
        <w:t xml:space="preserve"> </w:t>
      </w:r>
      <w:r w:rsidRPr="00D470F4">
        <w:rPr>
          <w:rFonts w:ascii="Times New Roman" w:hAnsi="Times New Roman" w:cs="Times New Roman"/>
          <w:color w:val="231F20"/>
          <w:sz w:val="24"/>
          <w:szCs w:val="24"/>
          <w:lang w:val="es"/>
        </w:rPr>
        <w:t xml:space="preserve">reforma fue </w:t>
      </w:r>
      <w:r w:rsidRPr="00D470F4">
        <w:rPr>
          <w:rFonts w:ascii="Times New Roman" w:hAnsi="Times New Roman" w:cs="Times New Roman"/>
          <w:color w:val="231F20"/>
          <w:w w:val="90"/>
          <w:sz w:val="24"/>
          <w:szCs w:val="24"/>
          <w:lang w:val="es"/>
        </w:rPr>
        <w:t>diferente. El advenimiento de nuevas tecnologías</w:t>
      </w:r>
      <w:r w:rsidRPr="00D470F4">
        <w:rPr>
          <w:rFonts w:ascii="Times New Roman" w:hAnsi="Times New Roman" w:cs="Times New Roman"/>
          <w:sz w:val="24"/>
          <w:szCs w:val="24"/>
          <w:lang w:val="es"/>
        </w:rPr>
        <w:t xml:space="preserve">, </w:t>
      </w:r>
      <w:r w:rsidRPr="00D470F4">
        <w:rPr>
          <w:rFonts w:ascii="Times New Roman" w:hAnsi="Times New Roman" w:cs="Times New Roman"/>
          <w:color w:val="231F20"/>
          <w:w w:val="90"/>
          <w:sz w:val="24"/>
          <w:szCs w:val="24"/>
          <w:lang w:val="es"/>
        </w:rPr>
        <w:t>en particular</w:t>
      </w:r>
      <w:r w:rsidRPr="00D470F4">
        <w:rPr>
          <w:rFonts w:ascii="Times New Roman" w:hAnsi="Times New Roman" w:cs="Times New Roman"/>
          <w:color w:val="231F20"/>
          <w:spacing w:val="-4"/>
          <w:sz w:val="24"/>
          <w:szCs w:val="24"/>
          <w:lang w:val="es"/>
        </w:rPr>
        <w:t xml:space="preserve"> CCGT, que podían reducir los costos de generación y no requerían unidades muy grandes para </w:t>
      </w:r>
      <w:r w:rsidRPr="00D470F4">
        <w:rPr>
          <w:rFonts w:ascii="Times New Roman" w:hAnsi="Times New Roman" w:cs="Times New Roman"/>
          <w:color w:val="231F20"/>
          <w:sz w:val="24"/>
          <w:szCs w:val="24"/>
          <w:lang w:val="es"/>
        </w:rPr>
        <w:t xml:space="preserve">cosechar los beneficios de las economías de escala, redujo la solidez de los argumentos para permitir un monopolio integrado verticalmente. </w:t>
      </w:r>
      <w:r w:rsidRPr="00D470F4">
        <w:rPr>
          <w:rFonts w:ascii="Times New Roman" w:hAnsi="Times New Roman" w:cs="Times New Roman"/>
          <w:sz w:val="24"/>
          <w:szCs w:val="24"/>
          <w:lang w:val="es"/>
        </w:rPr>
        <w:t xml:space="preserve"> </w:t>
      </w:r>
      <w:r w:rsidRPr="00D470F4">
        <w:rPr>
          <w:rFonts w:ascii="Times New Roman" w:hAnsi="Times New Roman" w:cs="Times New Roman"/>
          <w:color w:val="231F20"/>
          <w:w w:val="90"/>
          <w:sz w:val="24"/>
          <w:szCs w:val="24"/>
          <w:lang w:val="es"/>
        </w:rPr>
        <w:t xml:space="preserve">Sin economías de escala, las plantas y las empresas podrían ser más pequeñas, abriendo el campo para múltiples jugadores y competencia, una vez que el capital privado </w:t>
      </w:r>
      <w:r w:rsidRPr="00D470F4">
        <w:rPr>
          <w:rFonts w:ascii="Times New Roman" w:hAnsi="Times New Roman" w:cs="Times New Roman"/>
          <w:color w:val="231F20"/>
          <w:spacing w:val="-4"/>
          <w:sz w:val="24"/>
          <w:szCs w:val="24"/>
          <w:lang w:val="es"/>
        </w:rPr>
        <w:t xml:space="preserve">pudiera ingresar a la industria. La esperanza era </w:t>
      </w:r>
      <w:r w:rsidRPr="00D470F4">
        <w:rPr>
          <w:rFonts w:ascii="Times New Roman" w:hAnsi="Times New Roman" w:cs="Times New Roman"/>
          <w:sz w:val="24"/>
          <w:szCs w:val="24"/>
          <w:lang w:val="es"/>
        </w:rPr>
        <w:t xml:space="preserve">que la </w:t>
      </w:r>
      <w:r w:rsidRPr="00D470F4">
        <w:rPr>
          <w:rFonts w:ascii="Times New Roman" w:hAnsi="Times New Roman" w:cs="Times New Roman"/>
          <w:color w:val="231F20"/>
          <w:spacing w:val="-8"/>
          <w:sz w:val="24"/>
          <w:szCs w:val="24"/>
          <w:lang w:val="es"/>
        </w:rPr>
        <w:t xml:space="preserve">competencia ofreciera precios más bajos, mejor </w:t>
      </w:r>
      <w:r w:rsidRPr="00D470F4">
        <w:rPr>
          <w:rFonts w:ascii="Times New Roman" w:hAnsi="Times New Roman" w:cs="Times New Roman"/>
          <w:color w:val="231F20"/>
          <w:sz w:val="24"/>
          <w:szCs w:val="24"/>
          <w:lang w:val="es"/>
        </w:rPr>
        <w:t>calidad y más opciones para los consumidores, mientras que la privatización asociada de los</w:t>
      </w:r>
      <w:r w:rsidRPr="00D470F4">
        <w:rPr>
          <w:rFonts w:ascii="Times New Roman" w:hAnsi="Times New Roman" w:cs="Times New Roman"/>
          <w:sz w:val="24"/>
          <w:szCs w:val="24"/>
          <w:lang w:val="es"/>
        </w:rPr>
        <w:t xml:space="preserve"> </w:t>
      </w:r>
      <w:proofErr w:type="gramStart"/>
      <w:r w:rsidRPr="00D470F4">
        <w:rPr>
          <w:rFonts w:ascii="Times New Roman" w:hAnsi="Times New Roman" w:cs="Times New Roman"/>
          <w:sz w:val="24"/>
          <w:szCs w:val="24"/>
          <w:lang w:val="es"/>
        </w:rPr>
        <w:t xml:space="preserve">activos </w:t>
      </w:r>
      <w:r w:rsidRPr="00D470F4">
        <w:rPr>
          <w:rFonts w:ascii="Times New Roman" w:hAnsi="Times New Roman" w:cs="Times New Roman"/>
          <w:color w:val="231F20"/>
          <w:sz w:val="24"/>
          <w:szCs w:val="24"/>
          <w:lang w:val="es"/>
        </w:rPr>
        <w:t xml:space="preserve"> estatales</w:t>
      </w:r>
      <w:proofErr w:type="gramEnd"/>
      <w:r w:rsidRPr="00D470F4">
        <w:rPr>
          <w:rFonts w:ascii="Times New Roman" w:hAnsi="Times New Roman" w:cs="Times New Roman"/>
          <w:color w:val="231F20"/>
          <w:w w:val="90"/>
          <w:sz w:val="24"/>
          <w:szCs w:val="24"/>
          <w:lang w:val="es"/>
        </w:rPr>
        <w:t xml:space="preserve"> fortalecería la </w:t>
      </w:r>
      <w:r w:rsidRPr="00D470F4">
        <w:rPr>
          <w:rFonts w:ascii="Times New Roman" w:hAnsi="Times New Roman" w:cs="Times New Roman"/>
          <w:color w:val="231F20"/>
          <w:spacing w:val="14"/>
          <w:sz w:val="24"/>
          <w:szCs w:val="24"/>
          <w:lang w:val="es"/>
        </w:rPr>
        <w:t>posición</w:t>
      </w:r>
      <w:r w:rsidRPr="00D470F4">
        <w:rPr>
          <w:rFonts w:ascii="Times New Roman" w:hAnsi="Times New Roman" w:cs="Times New Roman"/>
          <w:sz w:val="24"/>
          <w:szCs w:val="24"/>
          <w:lang w:val="es"/>
        </w:rPr>
        <w:t xml:space="preserve"> financiera </w:t>
      </w:r>
      <w:r w:rsidRPr="00D470F4">
        <w:rPr>
          <w:rFonts w:ascii="Times New Roman" w:hAnsi="Times New Roman" w:cs="Times New Roman"/>
          <w:color w:val="231F20"/>
          <w:sz w:val="24"/>
          <w:szCs w:val="24"/>
          <w:lang w:val="es"/>
        </w:rPr>
        <w:t xml:space="preserve"> del</w:t>
      </w:r>
      <w:r w:rsidRPr="00D470F4">
        <w:rPr>
          <w:rFonts w:ascii="Times New Roman" w:hAnsi="Times New Roman" w:cs="Times New Roman"/>
          <w:color w:val="231F20"/>
          <w:spacing w:val="10"/>
          <w:sz w:val="24"/>
          <w:szCs w:val="24"/>
          <w:lang w:val="es"/>
        </w:rPr>
        <w:t xml:space="preserve"> </w:t>
      </w:r>
      <w:r w:rsidRPr="00D470F4">
        <w:rPr>
          <w:rFonts w:ascii="Times New Roman" w:hAnsi="Times New Roman" w:cs="Times New Roman"/>
          <w:color w:val="231F20"/>
          <w:spacing w:val="13"/>
          <w:sz w:val="24"/>
          <w:szCs w:val="24"/>
          <w:lang w:val="es"/>
        </w:rPr>
        <w:t xml:space="preserve"> Estado.</w:t>
      </w:r>
      <w:r w:rsidRPr="00D470F4">
        <w:rPr>
          <w:rFonts w:ascii="Times New Roman" w:hAnsi="Times New Roman" w:cs="Times New Roman"/>
          <w:sz w:val="24"/>
          <w:szCs w:val="24"/>
          <w:lang w:val="es"/>
        </w:rPr>
        <w:t xml:space="preserve"> </w:t>
      </w:r>
      <w:r w:rsidRPr="00D470F4">
        <w:rPr>
          <w:rFonts w:ascii="Times New Roman" w:hAnsi="Times New Roman" w:cs="Times New Roman"/>
          <w:color w:val="231F20"/>
          <w:sz w:val="24"/>
          <w:szCs w:val="24"/>
          <w:lang w:val="es"/>
        </w:rPr>
        <w:t xml:space="preserve"> Una</w:t>
      </w:r>
      <w:r w:rsidRPr="00D470F4">
        <w:rPr>
          <w:rFonts w:ascii="Times New Roman" w:hAnsi="Times New Roman" w:cs="Times New Roman"/>
          <w:color w:val="231F20"/>
          <w:spacing w:val="10"/>
          <w:sz w:val="24"/>
          <w:szCs w:val="24"/>
          <w:lang w:val="es"/>
        </w:rPr>
        <w:t xml:space="preserve"> consecuencia</w:t>
      </w:r>
      <w:r w:rsidRPr="00D470F4">
        <w:rPr>
          <w:rFonts w:ascii="Times New Roman" w:hAnsi="Times New Roman" w:cs="Times New Roman"/>
          <w:color w:val="231F20"/>
          <w:spacing w:val="-2"/>
          <w:sz w:val="24"/>
          <w:szCs w:val="24"/>
          <w:lang w:val="es"/>
        </w:rPr>
        <w:t xml:space="preserve"> no deseada</w:t>
      </w:r>
      <w:r w:rsidRPr="00D470F4">
        <w:rPr>
          <w:rFonts w:ascii="Times New Roman" w:hAnsi="Times New Roman" w:cs="Times New Roman"/>
          <w:sz w:val="24"/>
          <w:szCs w:val="24"/>
          <w:lang w:val="es"/>
        </w:rPr>
        <w:t xml:space="preserve"> de la </w:t>
      </w:r>
      <w:r w:rsidRPr="00D470F4">
        <w:rPr>
          <w:rFonts w:ascii="Times New Roman" w:hAnsi="Times New Roman" w:cs="Times New Roman"/>
          <w:color w:val="231F20"/>
          <w:spacing w:val="11"/>
          <w:sz w:val="24"/>
          <w:szCs w:val="24"/>
          <w:lang w:val="es"/>
        </w:rPr>
        <w:t>desregulación</w:t>
      </w:r>
      <w:r w:rsidRPr="00D470F4">
        <w:rPr>
          <w:rFonts w:ascii="Times New Roman" w:hAnsi="Times New Roman" w:cs="Times New Roman"/>
          <w:color w:val="231F20"/>
          <w:spacing w:val="10"/>
          <w:sz w:val="24"/>
          <w:szCs w:val="24"/>
          <w:lang w:val="es"/>
        </w:rPr>
        <w:t xml:space="preserve"> energética</w:t>
      </w:r>
      <w:r w:rsidRPr="00D470F4">
        <w:rPr>
          <w:rFonts w:ascii="Times New Roman" w:hAnsi="Times New Roman" w:cs="Times New Roman"/>
          <w:color w:val="231F20"/>
          <w:spacing w:val="12"/>
          <w:sz w:val="24"/>
          <w:szCs w:val="24"/>
          <w:lang w:val="es"/>
        </w:rPr>
        <w:t xml:space="preserve"> en </w:t>
      </w:r>
      <w:r w:rsidRPr="00D470F4">
        <w:rPr>
          <w:rFonts w:ascii="Times New Roman" w:hAnsi="Times New Roman" w:cs="Times New Roman"/>
          <w:color w:val="231F20"/>
          <w:spacing w:val="-6"/>
          <w:sz w:val="24"/>
          <w:szCs w:val="24"/>
          <w:lang w:val="es"/>
        </w:rPr>
        <w:t>los países miembros de la OCDE fue la creación</w:t>
      </w:r>
      <w:r w:rsidRPr="00D470F4">
        <w:rPr>
          <w:rFonts w:ascii="Times New Roman" w:hAnsi="Times New Roman" w:cs="Times New Roman"/>
          <w:sz w:val="24"/>
          <w:szCs w:val="24"/>
          <w:lang w:val="es"/>
        </w:rPr>
        <w:t xml:space="preserve"> </w:t>
      </w:r>
      <w:proofErr w:type="gramStart"/>
      <w:r w:rsidRPr="00D470F4">
        <w:rPr>
          <w:rFonts w:ascii="Times New Roman" w:hAnsi="Times New Roman" w:cs="Times New Roman"/>
          <w:sz w:val="24"/>
          <w:szCs w:val="24"/>
          <w:lang w:val="es"/>
        </w:rPr>
        <w:t xml:space="preserve">de </w:t>
      </w:r>
      <w:r w:rsidRPr="00D470F4">
        <w:rPr>
          <w:rFonts w:ascii="Times New Roman" w:hAnsi="Times New Roman" w:cs="Times New Roman"/>
          <w:color w:val="231F20"/>
          <w:spacing w:val="-6"/>
          <w:sz w:val="24"/>
          <w:szCs w:val="24"/>
          <w:lang w:val="es"/>
        </w:rPr>
        <w:t xml:space="preserve"> una</w:t>
      </w:r>
      <w:proofErr w:type="gramEnd"/>
      <w:r w:rsidRPr="00D470F4">
        <w:rPr>
          <w:rFonts w:ascii="Times New Roman" w:hAnsi="Times New Roman" w:cs="Times New Roman"/>
          <w:color w:val="231F20"/>
          <w:spacing w:val="-6"/>
          <w:sz w:val="24"/>
          <w:szCs w:val="24"/>
          <w:lang w:val="es"/>
        </w:rPr>
        <w:t xml:space="preserve"> nueva generación de multinacionales energéticas. </w:t>
      </w:r>
      <w:r w:rsidRPr="00D470F4">
        <w:rPr>
          <w:rFonts w:ascii="Times New Roman" w:hAnsi="Times New Roman" w:cs="Times New Roman"/>
          <w:color w:val="231F20"/>
          <w:sz w:val="24"/>
          <w:szCs w:val="24"/>
          <w:lang w:val="es"/>
        </w:rPr>
        <w:t xml:space="preserve"> </w:t>
      </w:r>
      <w:r w:rsidRPr="00D470F4">
        <w:rPr>
          <w:rFonts w:ascii="Times New Roman" w:hAnsi="Times New Roman" w:cs="Times New Roman"/>
          <w:sz w:val="24"/>
          <w:szCs w:val="24"/>
          <w:lang w:val="es"/>
        </w:rPr>
        <w:t xml:space="preserve"> </w:t>
      </w:r>
      <w:r w:rsidRPr="00D470F4">
        <w:rPr>
          <w:rFonts w:ascii="Times New Roman" w:hAnsi="Times New Roman" w:cs="Times New Roman"/>
          <w:color w:val="231F20"/>
          <w:w w:val="90"/>
          <w:sz w:val="24"/>
          <w:szCs w:val="24"/>
          <w:lang w:val="es"/>
        </w:rPr>
        <w:t>Este nuevo tipo de multinacional eventualmente</w:t>
      </w:r>
      <w:r w:rsidRPr="00D470F4">
        <w:rPr>
          <w:rFonts w:ascii="Times New Roman" w:hAnsi="Times New Roman" w:cs="Times New Roman"/>
          <w:color w:val="231F20"/>
          <w:spacing w:val="-4"/>
          <w:sz w:val="24"/>
          <w:szCs w:val="24"/>
          <w:lang w:val="es"/>
        </w:rPr>
        <w:t xml:space="preserve"> iría en busca de oportunidades de inversión </w:t>
      </w:r>
      <w:r w:rsidRPr="00D470F4">
        <w:rPr>
          <w:rFonts w:ascii="Times New Roman" w:hAnsi="Times New Roman" w:cs="Times New Roman"/>
          <w:sz w:val="24"/>
          <w:szCs w:val="24"/>
          <w:lang w:val="es"/>
        </w:rPr>
        <w:t xml:space="preserve">en </w:t>
      </w:r>
      <w:r w:rsidRPr="00D470F4">
        <w:rPr>
          <w:rFonts w:ascii="Times New Roman" w:hAnsi="Times New Roman" w:cs="Times New Roman"/>
          <w:color w:val="231F20"/>
          <w:w w:val="90"/>
          <w:sz w:val="24"/>
          <w:szCs w:val="24"/>
          <w:lang w:val="es"/>
        </w:rPr>
        <w:t xml:space="preserve">el extranjero a medida que la reforma del sector eléctrico se arraigara en las </w:t>
      </w:r>
      <w:r w:rsidRPr="00D470F4">
        <w:rPr>
          <w:rFonts w:ascii="Times New Roman" w:hAnsi="Times New Roman" w:cs="Times New Roman"/>
          <w:color w:val="231F20"/>
          <w:sz w:val="24"/>
          <w:szCs w:val="24"/>
          <w:lang w:val="es"/>
        </w:rPr>
        <w:t>economías emergentes.</w:t>
      </w:r>
    </w:p>
    <w:p w14:paraId="70607465" w14:textId="77777777" w:rsidR="00132D23" w:rsidRPr="00D470F4" w:rsidRDefault="00132D23" w:rsidP="00132D23">
      <w:pPr>
        <w:pStyle w:val="Textoindependiente"/>
        <w:spacing w:line="480" w:lineRule="auto"/>
        <w:rPr>
          <w:rFonts w:ascii="Times New Roman" w:hAnsi="Times New Roman" w:cs="Times New Roman"/>
          <w:sz w:val="24"/>
          <w:szCs w:val="24"/>
        </w:rPr>
      </w:pPr>
      <w:r w:rsidRPr="00D470F4">
        <w:rPr>
          <w:rFonts w:ascii="Times New Roman" w:hAnsi="Times New Roman" w:cs="Times New Roman"/>
          <w:color w:val="231F20"/>
          <w:w w:val="90"/>
          <w:sz w:val="24"/>
          <w:szCs w:val="24"/>
          <w:lang w:val="es"/>
        </w:rPr>
        <w:t>El modelo de reforma del sector eléctrico de la década de 1990 comprende</w:t>
      </w:r>
      <w:r w:rsidRPr="00D470F4">
        <w:rPr>
          <w:rFonts w:ascii="Times New Roman" w:hAnsi="Times New Roman" w:cs="Times New Roman"/>
          <w:color w:val="231F20"/>
          <w:spacing w:val="-2"/>
          <w:sz w:val="24"/>
          <w:szCs w:val="24"/>
          <w:lang w:val="es"/>
        </w:rPr>
        <w:t xml:space="preserve"> un paquete de cuatro reformas estructurales (Foster et al. 2017):</w:t>
      </w:r>
    </w:p>
    <w:p w14:paraId="3F5E368F" w14:textId="77777777" w:rsidR="00132D23" w:rsidRPr="00D470F4" w:rsidRDefault="00132D23" w:rsidP="00132D23">
      <w:pPr>
        <w:pStyle w:val="Prrafodelista"/>
        <w:widowControl w:val="0"/>
        <w:numPr>
          <w:ilvl w:val="0"/>
          <w:numId w:val="4"/>
        </w:numPr>
        <w:tabs>
          <w:tab w:val="left" w:pos="539"/>
        </w:tabs>
        <w:autoSpaceDE w:val="0"/>
        <w:autoSpaceDN w:val="0"/>
        <w:spacing w:before="130" w:after="0" w:line="480" w:lineRule="auto"/>
        <w:ind w:left="0"/>
        <w:contextualSpacing w:val="0"/>
        <w:jc w:val="both"/>
        <w:rPr>
          <w:rFonts w:ascii="Times New Roman" w:hAnsi="Times New Roman" w:cs="Times New Roman"/>
          <w:sz w:val="24"/>
          <w:szCs w:val="24"/>
        </w:rPr>
      </w:pPr>
      <w:r w:rsidRPr="00D470F4">
        <w:rPr>
          <w:rFonts w:ascii="Times New Roman" w:hAnsi="Times New Roman" w:cs="Times New Roman"/>
          <w:color w:val="231F20"/>
          <w:w w:val="90"/>
          <w:sz w:val="24"/>
          <w:szCs w:val="24"/>
          <w:lang w:val="es"/>
        </w:rPr>
        <w:t>La primera de las acciones estructurales es la</w:t>
      </w:r>
      <w:r w:rsidRPr="00D470F4">
        <w:rPr>
          <w:rFonts w:ascii="Times New Roman" w:hAnsi="Times New Roman" w:cs="Times New Roman"/>
          <w:i/>
          <w:color w:val="231F20"/>
          <w:w w:val="90"/>
          <w:sz w:val="24"/>
          <w:szCs w:val="24"/>
          <w:lang w:val="es"/>
        </w:rPr>
        <w:t xml:space="preserve"> regulación</w:t>
      </w:r>
      <w:r w:rsidRPr="00D470F4">
        <w:rPr>
          <w:rFonts w:ascii="Times New Roman" w:hAnsi="Times New Roman" w:cs="Times New Roman"/>
          <w:color w:val="231F20"/>
          <w:w w:val="90"/>
          <w:sz w:val="24"/>
          <w:szCs w:val="24"/>
          <w:lang w:val="es"/>
        </w:rPr>
        <w:t>, que requiere una</w:t>
      </w:r>
      <w:r w:rsidRPr="00D470F4">
        <w:rPr>
          <w:rFonts w:ascii="Times New Roman" w:hAnsi="Times New Roman" w:cs="Times New Roman"/>
          <w:sz w:val="24"/>
          <w:szCs w:val="24"/>
          <w:lang w:val="es"/>
        </w:rPr>
        <w:t xml:space="preserve"> entidad </w:t>
      </w:r>
      <w:r w:rsidRPr="00D470F4">
        <w:rPr>
          <w:rFonts w:ascii="Times New Roman" w:hAnsi="Times New Roman" w:cs="Times New Roman"/>
          <w:color w:val="231F20"/>
          <w:w w:val="90"/>
          <w:sz w:val="24"/>
          <w:szCs w:val="24"/>
          <w:lang w:val="es"/>
        </w:rPr>
        <w:t>reguladora</w:t>
      </w:r>
      <w:r w:rsidRPr="00D470F4">
        <w:rPr>
          <w:rFonts w:ascii="Times New Roman" w:hAnsi="Times New Roman" w:cs="Times New Roman"/>
          <w:sz w:val="24"/>
          <w:szCs w:val="24"/>
          <w:lang w:val="es"/>
        </w:rPr>
        <w:t xml:space="preserve"> </w:t>
      </w:r>
      <w:proofErr w:type="gramStart"/>
      <w:r w:rsidRPr="00D470F4">
        <w:rPr>
          <w:rFonts w:ascii="Times New Roman" w:hAnsi="Times New Roman" w:cs="Times New Roman"/>
          <w:sz w:val="24"/>
          <w:szCs w:val="24"/>
          <w:lang w:val="es"/>
        </w:rPr>
        <w:t xml:space="preserve">autónoma </w:t>
      </w:r>
      <w:r w:rsidRPr="00D470F4">
        <w:rPr>
          <w:rFonts w:ascii="Times New Roman" w:hAnsi="Times New Roman" w:cs="Times New Roman"/>
          <w:color w:val="231F20"/>
          <w:spacing w:val="-8"/>
          <w:sz w:val="24"/>
          <w:szCs w:val="24"/>
          <w:lang w:val="es"/>
        </w:rPr>
        <w:t xml:space="preserve"> capaz</w:t>
      </w:r>
      <w:proofErr w:type="gramEnd"/>
      <w:r w:rsidRPr="00D470F4">
        <w:rPr>
          <w:rFonts w:ascii="Times New Roman" w:hAnsi="Times New Roman" w:cs="Times New Roman"/>
          <w:color w:val="231F20"/>
          <w:spacing w:val="-8"/>
          <w:sz w:val="24"/>
          <w:szCs w:val="24"/>
          <w:lang w:val="es"/>
        </w:rPr>
        <w:t xml:space="preserve"> tanto de proporcionar un grado </w:t>
      </w:r>
      <w:r w:rsidRPr="00D470F4">
        <w:rPr>
          <w:rFonts w:ascii="Times New Roman" w:hAnsi="Times New Roman" w:cs="Times New Roman"/>
          <w:sz w:val="24"/>
          <w:szCs w:val="24"/>
          <w:lang w:val="es"/>
        </w:rPr>
        <w:t xml:space="preserve"> de </w:t>
      </w:r>
      <w:r w:rsidRPr="00D470F4">
        <w:rPr>
          <w:rFonts w:ascii="Times New Roman" w:hAnsi="Times New Roman" w:cs="Times New Roman"/>
          <w:color w:val="231F20"/>
          <w:w w:val="90"/>
          <w:sz w:val="24"/>
          <w:szCs w:val="24"/>
          <w:lang w:val="es"/>
        </w:rPr>
        <w:t>independencia política como de responsabilizar a las empresas de servicios públicos por su desempeño operativo y financiero</w:t>
      </w:r>
      <w:r w:rsidRPr="00D470F4">
        <w:rPr>
          <w:rFonts w:ascii="Times New Roman" w:hAnsi="Times New Roman" w:cs="Times New Roman"/>
          <w:color w:val="231F20"/>
          <w:sz w:val="24"/>
          <w:szCs w:val="24"/>
          <w:lang w:val="es"/>
        </w:rPr>
        <w:t>.</w:t>
      </w:r>
    </w:p>
    <w:p w14:paraId="1C5FED22" w14:textId="77777777" w:rsidR="00132D23" w:rsidRPr="00D470F4" w:rsidRDefault="00132D23" w:rsidP="00132D23">
      <w:pPr>
        <w:pStyle w:val="Prrafodelista"/>
        <w:widowControl w:val="0"/>
        <w:numPr>
          <w:ilvl w:val="0"/>
          <w:numId w:val="4"/>
        </w:numPr>
        <w:tabs>
          <w:tab w:val="left" w:pos="539"/>
        </w:tabs>
        <w:autoSpaceDE w:val="0"/>
        <w:autoSpaceDN w:val="0"/>
        <w:spacing w:after="0" w:line="480" w:lineRule="auto"/>
        <w:ind w:left="0"/>
        <w:contextualSpacing w:val="0"/>
        <w:jc w:val="both"/>
        <w:rPr>
          <w:rFonts w:ascii="Times New Roman" w:hAnsi="Times New Roman" w:cs="Times New Roman"/>
          <w:sz w:val="24"/>
          <w:szCs w:val="24"/>
        </w:rPr>
      </w:pPr>
      <w:r w:rsidRPr="00D470F4">
        <w:rPr>
          <w:rFonts w:ascii="Times New Roman" w:hAnsi="Times New Roman" w:cs="Times New Roman"/>
          <w:color w:val="231F20"/>
          <w:w w:val="90"/>
          <w:sz w:val="24"/>
          <w:szCs w:val="24"/>
          <w:lang w:val="es"/>
        </w:rPr>
        <w:t xml:space="preserve">El segundo es la </w:t>
      </w:r>
      <w:r w:rsidRPr="00D470F4">
        <w:rPr>
          <w:rFonts w:ascii="Times New Roman" w:hAnsi="Times New Roman" w:cs="Times New Roman"/>
          <w:i/>
          <w:color w:val="231F20"/>
          <w:w w:val="90"/>
          <w:sz w:val="24"/>
          <w:szCs w:val="24"/>
          <w:lang w:val="es"/>
        </w:rPr>
        <w:t>reestructuración</w:t>
      </w:r>
      <w:r w:rsidRPr="00D470F4">
        <w:rPr>
          <w:rFonts w:ascii="Times New Roman" w:hAnsi="Times New Roman" w:cs="Times New Roman"/>
          <w:color w:val="231F20"/>
          <w:w w:val="90"/>
          <w:sz w:val="24"/>
          <w:szCs w:val="24"/>
          <w:lang w:val="es"/>
        </w:rPr>
        <w:t xml:space="preserve">, que implica pasos hacia la eventual separación vertical y horizontal total </w:t>
      </w:r>
      <w:r w:rsidRPr="00D470F4">
        <w:rPr>
          <w:rFonts w:ascii="Times New Roman" w:hAnsi="Times New Roman" w:cs="Times New Roman"/>
          <w:color w:val="231F20"/>
          <w:spacing w:val="-2"/>
          <w:sz w:val="24"/>
          <w:szCs w:val="24"/>
          <w:lang w:val="es"/>
        </w:rPr>
        <w:t xml:space="preserve">del </w:t>
      </w:r>
      <w:r w:rsidRPr="00D470F4">
        <w:rPr>
          <w:rFonts w:ascii="Times New Roman" w:hAnsi="Times New Roman" w:cs="Times New Roman"/>
          <w:color w:val="231F20"/>
          <w:sz w:val="24"/>
          <w:szCs w:val="24"/>
          <w:lang w:val="es"/>
        </w:rPr>
        <w:t>monopolio estatal establecido.</w:t>
      </w:r>
    </w:p>
    <w:p w14:paraId="2718FB62" w14:textId="77777777" w:rsidR="00132D23" w:rsidRPr="00D470F4" w:rsidRDefault="00132D23" w:rsidP="00132D23">
      <w:pPr>
        <w:pStyle w:val="Prrafodelista"/>
        <w:widowControl w:val="0"/>
        <w:numPr>
          <w:ilvl w:val="0"/>
          <w:numId w:val="4"/>
        </w:numPr>
        <w:tabs>
          <w:tab w:val="left" w:pos="539"/>
        </w:tabs>
        <w:autoSpaceDE w:val="0"/>
        <w:autoSpaceDN w:val="0"/>
        <w:spacing w:after="0" w:line="480" w:lineRule="auto"/>
        <w:ind w:left="0"/>
        <w:contextualSpacing w:val="0"/>
        <w:jc w:val="both"/>
        <w:rPr>
          <w:rFonts w:ascii="Times New Roman" w:hAnsi="Times New Roman" w:cs="Times New Roman"/>
          <w:sz w:val="24"/>
          <w:szCs w:val="24"/>
        </w:rPr>
      </w:pPr>
      <w:r w:rsidRPr="00D470F4">
        <w:rPr>
          <w:rFonts w:ascii="Times New Roman" w:hAnsi="Times New Roman" w:cs="Times New Roman"/>
          <w:color w:val="231F20"/>
          <w:w w:val="85"/>
          <w:sz w:val="24"/>
          <w:szCs w:val="24"/>
          <w:lang w:val="es"/>
        </w:rPr>
        <w:lastRenderedPageBreak/>
        <w:t>El tercero es la</w:t>
      </w:r>
      <w:r w:rsidRPr="00D470F4">
        <w:rPr>
          <w:rFonts w:ascii="Times New Roman" w:hAnsi="Times New Roman" w:cs="Times New Roman"/>
          <w:i/>
          <w:color w:val="231F20"/>
          <w:w w:val="85"/>
          <w:sz w:val="24"/>
          <w:szCs w:val="24"/>
          <w:lang w:val="es"/>
        </w:rPr>
        <w:t xml:space="preserve"> participación del sector privado</w:t>
      </w:r>
      <w:r w:rsidRPr="00D470F4">
        <w:rPr>
          <w:rFonts w:ascii="Times New Roman" w:hAnsi="Times New Roman" w:cs="Times New Roman"/>
          <w:color w:val="231F20"/>
          <w:w w:val="85"/>
          <w:sz w:val="24"/>
          <w:szCs w:val="24"/>
          <w:lang w:val="es"/>
        </w:rPr>
        <w:t xml:space="preserve">, </w:t>
      </w:r>
      <w:r w:rsidRPr="00D470F4">
        <w:rPr>
          <w:rFonts w:ascii="Times New Roman" w:hAnsi="Times New Roman" w:cs="Times New Roman"/>
          <w:sz w:val="24"/>
          <w:szCs w:val="24"/>
          <w:lang w:val="es"/>
        </w:rPr>
        <w:t xml:space="preserve">que </w:t>
      </w:r>
      <w:r w:rsidRPr="00D470F4">
        <w:rPr>
          <w:rFonts w:ascii="Times New Roman" w:hAnsi="Times New Roman" w:cs="Times New Roman"/>
          <w:color w:val="231F20"/>
          <w:w w:val="90"/>
          <w:sz w:val="24"/>
          <w:szCs w:val="24"/>
          <w:lang w:val="es"/>
        </w:rPr>
        <w:t xml:space="preserve">aporta gestión privada y capital al </w:t>
      </w:r>
      <w:r w:rsidRPr="00D470F4">
        <w:rPr>
          <w:rFonts w:ascii="Times New Roman" w:hAnsi="Times New Roman" w:cs="Times New Roman"/>
          <w:color w:val="231F20"/>
          <w:spacing w:val="-2"/>
          <w:sz w:val="24"/>
          <w:szCs w:val="24"/>
          <w:lang w:val="es"/>
        </w:rPr>
        <w:t xml:space="preserve">sector para impulsar la eficiencia operativa y la </w:t>
      </w:r>
      <w:r w:rsidRPr="00D470F4">
        <w:rPr>
          <w:rFonts w:ascii="Times New Roman" w:hAnsi="Times New Roman" w:cs="Times New Roman"/>
          <w:color w:val="231F20"/>
          <w:sz w:val="24"/>
          <w:szCs w:val="24"/>
          <w:lang w:val="es"/>
        </w:rPr>
        <w:t xml:space="preserve">inversión (que a menudo implicaba un </w:t>
      </w:r>
      <w:r w:rsidRPr="00D470F4">
        <w:rPr>
          <w:rFonts w:ascii="Times New Roman" w:hAnsi="Times New Roman" w:cs="Times New Roman"/>
          <w:color w:val="231F20"/>
          <w:spacing w:val="-4"/>
          <w:sz w:val="24"/>
          <w:szCs w:val="24"/>
          <w:lang w:val="es"/>
        </w:rPr>
        <w:t xml:space="preserve">paso previo de </w:t>
      </w:r>
      <w:proofErr w:type="spellStart"/>
      <w:r w:rsidRPr="00D470F4">
        <w:rPr>
          <w:rFonts w:ascii="Times New Roman" w:hAnsi="Times New Roman" w:cs="Times New Roman"/>
          <w:color w:val="231F20"/>
          <w:spacing w:val="-4"/>
          <w:sz w:val="24"/>
          <w:szCs w:val="24"/>
          <w:lang w:val="es"/>
        </w:rPr>
        <w:t>corporativización</w:t>
      </w:r>
      <w:proofErr w:type="spellEnd"/>
      <w:r w:rsidRPr="00D470F4">
        <w:rPr>
          <w:rFonts w:ascii="Times New Roman" w:hAnsi="Times New Roman" w:cs="Times New Roman"/>
          <w:color w:val="231F20"/>
          <w:spacing w:val="-4"/>
          <w:sz w:val="24"/>
          <w:szCs w:val="24"/>
          <w:lang w:val="es"/>
        </w:rPr>
        <w:t xml:space="preserve"> de las empresas estatales).</w:t>
      </w:r>
    </w:p>
    <w:p w14:paraId="0470A3C4" w14:textId="77777777" w:rsidR="00132D23" w:rsidRPr="00D470F4" w:rsidRDefault="00132D23" w:rsidP="00132D23">
      <w:pPr>
        <w:pStyle w:val="Prrafodelista"/>
        <w:widowControl w:val="0"/>
        <w:numPr>
          <w:ilvl w:val="0"/>
          <w:numId w:val="4"/>
        </w:numPr>
        <w:tabs>
          <w:tab w:val="left" w:pos="539"/>
        </w:tabs>
        <w:autoSpaceDE w:val="0"/>
        <w:autoSpaceDN w:val="0"/>
        <w:spacing w:after="0" w:line="480" w:lineRule="auto"/>
        <w:ind w:left="0"/>
        <w:contextualSpacing w:val="0"/>
        <w:jc w:val="both"/>
        <w:rPr>
          <w:rFonts w:ascii="Times New Roman" w:hAnsi="Times New Roman" w:cs="Times New Roman"/>
          <w:sz w:val="24"/>
          <w:szCs w:val="24"/>
        </w:rPr>
      </w:pPr>
      <w:r w:rsidRPr="00D470F4">
        <w:rPr>
          <w:rFonts w:ascii="Times New Roman" w:hAnsi="Times New Roman" w:cs="Times New Roman"/>
          <w:color w:val="231F20"/>
          <w:w w:val="90"/>
          <w:sz w:val="24"/>
          <w:szCs w:val="24"/>
          <w:lang w:val="es"/>
        </w:rPr>
        <w:t xml:space="preserve">El cuarto elemento es la competencia, que inicialmente permite a los </w:t>
      </w:r>
      <w:r w:rsidRPr="00D470F4">
        <w:rPr>
          <w:rFonts w:ascii="Times New Roman" w:hAnsi="Times New Roman" w:cs="Times New Roman"/>
          <w:color w:val="231F20"/>
          <w:sz w:val="24"/>
          <w:szCs w:val="24"/>
          <w:lang w:val="es"/>
        </w:rPr>
        <w:t xml:space="preserve">generadores competir para abastecer a una empresa monopolista </w:t>
      </w:r>
      <w:r w:rsidRPr="00D470F4">
        <w:rPr>
          <w:rFonts w:ascii="Times New Roman" w:hAnsi="Times New Roman" w:cs="Times New Roman"/>
          <w:sz w:val="24"/>
          <w:szCs w:val="24"/>
          <w:lang w:val="es"/>
        </w:rPr>
        <w:t xml:space="preserve">y, </w:t>
      </w:r>
      <w:r w:rsidRPr="00D470F4">
        <w:rPr>
          <w:rFonts w:ascii="Times New Roman" w:hAnsi="Times New Roman" w:cs="Times New Roman"/>
          <w:color w:val="231F20"/>
          <w:sz w:val="24"/>
          <w:szCs w:val="24"/>
          <w:lang w:val="es"/>
        </w:rPr>
        <w:t>finalmente</w:t>
      </w:r>
      <w:r w:rsidRPr="00D470F4">
        <w:rPr>
          <w:rFonts w:ascii="Times New Roman" w:hAnsi="Times New Roman" w:cs="Times New Roman"/>
          <w:sz w:val="24"/>
          <w:szCs w:val="24"/>
          <w:lang w:val="es"/>
        </w:rPr>
        <w:t xml:space="preserve">, permite a los </w:t>
      </w:r>
      <w:proofErr w:type="gramStart"/>
      <w:r w:rsidRPr="00D470F4">
        <w:rPr>
          <w:rFonts w:ascii="Times New Roman" w:hAnsi="Times New Roman" w:cs="Times New Roman"/>
          <w:sz w:val="24"/>
          <w:szCs w:val="24"/>
          <w:lang w:val="es"/>
        </w:rPr>
        <w:t xml:space="preserve">clientes </w:t>
      </w:r>
      <w:r w:rsidRPr="00D470F4">
        <w:rPr>
          <w:rFonts w:ascii="Times New Roman" w:hAnsi="Times New Roman" w:cs="Times New Roman"/>
          <w:color w:val="231F20"/>
          <w:sz w:val="24"/>
          <w:szCs w:val="24"/>
          <w:lang w:val="es"/>
        </w:rPr>
        <w:t xml:space="preserve"> negociar</w:t>
      </w:r>
      <w:proofErr w:type="gramEnd"/>
      <w:r w:rsidRPr="00D470F4">
        <w:rPr>
          <w:rFonts w:ascii="Times New Roman" w:hAnsi="Times New Roman" w:cs="Times New Roman"/>
          <w:color w:val="231F20"/>
          <w:sz w:val="24"/>
          <w:szCs w:val="24"/>
          <w:lang w:val="es"/>
        </w:rPr>
        <w:t xml:space="preserve"> sus </w:t>
      </w:r>
      <w:r w:rsidRPr="00D470F4">
        <w:rPr>
          <w:rFonts w:ascii="Times New Roman" w:hAnsi="Times New Roman" w:cs="Times New Roman"/>
          <w:color w:val="231F20"/>
          <w:w w:val="90"/>
          <w:sz w:val="24"/>
          <w:szCs w:val="24"/>
          <w:lang w:val="es"/>
        </w:rPr>
        <w:t>contratos de suministro directamente con</w:t>
      </w:r>
      <w:r w:rsidRPr="00D470F4">
        <w:rPr>
          <w:rFonts w:ascii="Times New Roman" w:hAnsi="Times New Roman" w:cs="Times New Roman"/>
          <w:sz w:val="24"/>
          <w:szCs w:val="24"/>
          <w:lang w:val="es"/>
        </w:rPr>
        <w:t xml:space="preserve"> los </w:t>
      </w:r>
      <w:r w:rsidRPr="00D470F4">
        <w:rPr>
          <w:rFonts w:ascii="Times New Roman" w:hAnsi="Times New Roman" w:cs="Times New Roman"/>
          <w:color w:val="231F20"/>
          <w:w w:val="90"/>
          <w:sz w:val="24"/>
          <w:szCs w:val="24"/>
          <w:lang w:val="es"/>
        </w:rPr>
        <w:t xml:space="preserve">productores y comerciantes de energía apoyados por un </w:t>
      </w:r>
      <w:r w:rsidRPr="00D470F4">
        <w:rPr>
          <w:rFonts w:ascii="Times New Roman" w:hAnsi="Times New Roman" w:cs="Times New Roman"/>
          <w:sz w:val="24"/>
          <w:szCs w:val="24"/>
          <w:lang w:val="es"/>
        </w:rPr>
        <w:t xml:space="preserve"> intercambio de energía</w:t>
      </w:r>
      <w:r w:rsidRPr="00D470F4">
        <w:rPr>
          <w:rFonts w:ascii="Times New Roman" w:hAnsi="Times New Roman" w:cs="Times New Roman"/>
          <w:color w:val="231F20"/>
          <w:spacing w:val="-4"/>
          <w:sz w:val="24"/>
          <w:szCs w:val="24"/>
          <w:lang w:val="es"/>
        </w:rPr>
        <w:t>; en algunos países</w:t>
      </w:r>
      <w:r w:rsidRPr="00D470F4">
        <w:rPr>
          <w:rFonts w:ascii="Times New Roman" w:hAnsi="Times New Roman" w:cs="Times New Roman"/>
          <w:color w:val="231F20"/>
          <w:w w:val="90"/>
          <w:sz w:val="24"/>
          <w:szCs w:val="24"/>
          <w:lang w:val="es"/>
        </w:rPr>
        <w:t xml:space="preserve">, </w:t>
      </w:r>
      <w:r w:rsidRPr="00D470F4">
        <w:rPr>
          <w:rFonts w:ascii="Times New Roman" w:hAnsi="Times New Roman" w:cs="Times New Roman"/>
          <w:sz w:val="24"/>
          <w:szCs w:val="24"/>
          <w:lang w:val="es"/>
        </w:rPr>
        <w:t xml:space="preserve"> la </w:t>
      </w:r>
      <w:r w:rsidRPr="00D470F4">
        <w:rPr>
          <w:rFonts w:ascii="Times New Roman" w:hAnsi="Times New Roman" w:cs="Times New Roman"/>
          <w:i/>
          <w:color w:val="231F20"/>
          <w:w w:val="90"/>
          <w:sz w:val="24"/>
          <w:szCs w:val="24"/>
          <w:lang w:val="es"/>
        </w:rPr>
        <w:t>competencia</w:t>
      </w:r>
      <w:r w:rsidRPr="00D470F4">
        <w:rPr>
          <w:rFonts w:ascii="Times New Roman" w:hAnsi="Times New Roman" w:cs="Times New Roman"/>
          <w:sz w:val="24"/>
          <w:szCs w:val="24"/>
          <w:lang w:val="es"/>
        </w:rPr>
        <w:t xml:space="preserve"> minorista </w:t>
      </w:r>
      <w:r w:rsidRPr="00D470F4">
        <w:rPr>
          <w:rFonts w:ascii="Times New Roman" w:hAnsi="Times New Roman" w:cs="Times New Roman"/>
          <w:color w:val="231F20"/>
          <w:spacing w:val="-4"/>
          <w:sz w:val="24"/>
          <w:szCs w:val="24"/>
          <w:lang w:val="es"/>
        </w:rPr>
        <w:t xml:space="preserve"> </w:t>
      </w:r>
      <w:r w:rsidRPr="00D470F4">
        <w:rPr>
          <w:rFonts w:ascii="Times New Roman" w:hAnsi="Times New Roman" w:cs="Times New Roman"/>
          <w:color w:val="231F20"/>
          <w:w w:val="90"/>
          <w:sz w:val="24"/>
          <w:szCs w:val="24"/>
          <w:lang w:val="es"/>
        </w:rPr>
        <w:t xml:space="preserve"> para los pequeños clientes se facilitó </w:t>
      </w:r>
      <w:r w:rsidRPr="00D470F4">
        <w:rPr>
          <w:rFonts w:ascii="Times New Roman" w:hAnsi="Times New Roman" w:cs="Times New Roman"/>
          <w:color w:val="231F20"/>
          <w:spacing w:val="-6"/>
          <w:sz w:val="24"/>
          <w:szCs w:val="24"/>
          <w:lang w:val="es"/>
        </w:rPr>
        <w:t>a través de proveedores de energía alternativa.</w:t>
      </w:r>
    </w:p>
    <w:p w14:paraId="70473C6A" w14:textId="77777777" w:rsidR="00132D23" w:rsidRPr="00D470F4" w:rsidRDefault="00132D23" w:rsidP="00132D23">
      <w:pPr>
        <w:pStyle w:val="Textoindependiente"/>
        <w:spacing w:before="94" w:line="480" w:lineRule="auto"/>
        <w:ind w:firstLine="239"/>
        <w:rPr>
          <w:rFonts w:ascii="Times New Roman" w:hAnsi="Times New Roman" w:cs="Times New Roman"/>
          <w:sz w:val="24"/>
          <w:szCs w:val="24"/>
        </w:rPr>
      </w:pPr>
      <w:r w:rsidRPr="00D470F4">
        <w:rPr>
          <w:rFonts w:ascii="Times New Roman" w:hAnsi="Times New Roman" w:cs="Times New Roman"/>
          <w:color w:val="231F20"/>
          <w:w w:val="90"/>
          <w:sz w:val="24"/>
          <w:szCs w:val="24"/>
          <w:lang w:val="es"/>
        </w:rPr>
        <w:t>La reforma regulatoria se define como el establecimiento</w:t>
      </w:r>
      <w:r w:rsidRPr="00D470F4">
        <w:rPr>
          <w:rFonts w:ascii="Times New Roman" w:hAnsi="Times New Roman" w:cs="Times New Roman"/>
          <w:sz w:val="24"/>
          <w:szCs w:val="24"/>
          <w:lang w:val="es"/>
        </w:rPr>
        <w:t xml:space="preserve"> de </w:t>
      </w:r>
      <w:r w:rsidRPr="00D470F4">
        <w:rPr>
          <w:rFonts w:ascii="Times New Roman" w:hAnsi="Times New Roman" w:cs="Times New Roman"/>
          <w:color w:val="231F20"/>
          <w:sz w:val="24"/>
          <w:szCs w:val="24"/>
          <w:lang w:val="es"/>
        </w:rPr>
        <w:t xml:space="preserve">una entidad autónoma </w:t>
      </w:r>
      <w:r w:rsidRPr="00D470F4">
        <w:rPr>
          <w:rFonts w:ascii="Times New Roman" w:hAnsi="Times New Roman" w:cs="Times New Roman"/>
          <w:sz w:val="24"/>
          <w:szCs w:val="24"/>
          <w:lang w:val="es"/>
        </w:rPr>
        <w:t xml:space="preserve">con </w:t>
      </w:r>
      <w:r w:rsidRPr="00D470F4">
        <w:rPr>
          <w:rFonts w:ascii="Times New Roman" w:hAnsi="Times New Roman" w:cs="Times New Roman"/>
          <w:color w:val="231F20"/>
          <w:w w:val="90"/>
          <w:sz w:val="24"/>
          <w:szCs w:val="24"/>
          <w:lang w:val="es"/>
        </w:rPr>
        <w:t xml:space="preserve">responsabilidad de supervisión regulatoria y con </w:t>
      </w:r>
      <w:r w:rsidRPr="00D470F4">
        <w:rPr>
          <w:rFonts w:ascii="Times New Roman" w:hAnsi="Times New Roman" w:cs="Times New Roman"/>
          <w:color w:val="231F20"/>
          <w:sz w:val="24"/>
          <w:szCs w:val="24"/>
          <w:lang w:val="es"/>
        </w:rPr>
        <w:t xml:space="preserve">algún papel </w:t>
      </w:r>
      <w:proofErr w:type="gramStart"/>
      <w:r w:rsidRPr="00D470F4">
        <w:rPr>
          <w:rFonts w:ascii="Times New Roman" w:hAnsi="Times New Roman" w:cs="Times New Roman"/>
          <w:color w:val="231F20"/>
          <w:sz w:val="24"/>
          <w:szCs w:val="24"/>
          <w:lang w:val="es"/>
        </w:rPr>
        <w:t xml:space="preserve">en </w:t>
      </w:r>
      <w:r w:rsidRPr="00D470F4">
        <w:rPr>
          <w:rFonts w:ascii="Times New Roman" w:hAnsi="Times New Roman" w:cs="Times New Roman"/>
          <w:sz w:val="24"/>
          <w:szCs w:val="24"/>
          <w:lang w:val="es"/>
        </w:rPr>
        <w:t xml:space="preserve"> la</w:t>
      </w:r>
      <w:proofErr w:type="gramEnd"/>
      <w:r w:rsidRPr="00D470F4">
        <w:rPr>
          <w:rFonts w:ascii="Times New Roman" w:hAnsi="Times New Roman" w:cs="Times New Roman"/>
          <w:sz w:val="24"/>
          <w:szCs w:val="24"/>
          <w:lang w:val="es"/>
        </w:rPr>
        <w:t xml:space="preserve"> toma de </w:t>
      </w:r>
      <w:r w:rsidRPr="00D470F4">
        <w:rPr>
          <w:rFonts w:ascii="Times New Roman" w:hAnsi="Times New Roman" w:cs="Times New Roman"/>
          <w:color w:val="231F20"/>
          <w:spacing w:val="10"/>
          <w:sz w:val="24"/>
          <w:szCs w:val="24"/>
          <w:lang w:val="es"/>
        </w:rPr>
        <w:t xml:space="preserve"> </w:t>
      </w:r>
      <w:r w:rsidRPr="00D470F4">
        <w:rPr>
          <w:rFonts w:ascii="Times New Roman" w:hAnsi="Times New Roman" w:cs="Times New Roman"/>
          <w:color w:val="231F20"/>
          <w:sz w:val="24"/>
          <w:szCs w:val="24"/>
          <w:lang w:val="es"/>
        </w:rPr>
        <w:t xml:space="preserve">decisiones (Foster et al. 2017). El sector eléctrico proporciona </w:t>
      </w:r>
      <w:r w:rsidRPr="00D470F4">
        <w:rPr>
          <w:rFonts w:ascii="Times New Roman" w:hAnsi="Times New Roman" w:cs="Times New Roman"/>
          <w:sz w:val="24"/>
          <w:szCs w:val="24"/>
          <w:lang w:val="es"/>
        </w:rPr>
        <w:t xml:space="preserve">funciones de </w:t>
      </w:r>
      <w:r w:rsidRPr="00D470F4">
        <w:rPr>
          <w:rFonts w:ascii="Times New Roman" w:hAnsi="Times New Roman" w:cs="Times New Roman"/>
          <w:color w:val="231F20"/>
          <w:w w:val="90"/>
          <w:sz w:val="24"/>
          <w:szCs w:val="24"/>
          <w:lang w:val="es"/>
        </w:rPr>
        <w:t>formulación de políticas, regulación y prestación de</w:t>
      </w:r>
      <w:r w:rsidRPr="00D470F4">
        <w:rPr>
          <w:rFonts w:ascii="Times New Roman" w:hAnsi="Times New Roman" w:cs="Times New Roman"/>
          <w:sz w:val="24"/>
          <w:szCs w:val="24"/>
          <w:lang w:val="es"/>
        </w:rPr>
        <w:t xml:space="preserve"> servicios</w:t>
      </w:r>
      <w:r w:rsidRPr="00D470F4">
        <w:rPr>
          <w:rFonts w:ascii="Times New Roman" w:hAnsi="Times New Roman" w:cs="Times New Roman"/>
          <w:color w:val="231F20"/>
          <w:w w:val="90"/>
          <w:sz w:val="24"/>
          <w:szCs w:val="24"/>
          <w:lang w:val="es"/>
        </w:rPr>
        <w:t xml:space="preserve">. </w:t>
      </w:r>
      <w:r w:rsidRPr="00D470F4">
        <w:rPr>
          <w:rFonts w:ascii="Times New Roman" w:hAnsi="Times New Roman" w:cs="Times New Roman"/>
          <w:sz w:val="24"/>
          <w:szCs w:val="24"/>
          <w:lang w:val="es"/>
        </w:rPr>
        <w:t xml:space="preserve"> </w:t>
      </w:r>
      <w:r w:rsidRPr="00D470F4">
        <w:rPr>
          <w:rFonts w:ascii="Times New Roman" w:hAnsi="Times New Roman" w:cs="Times New Roman"/>
          <w:color w:val="231F20"/>
          <w:w w:val="90"/>
          <w:sz w:val="24"/>
          <w:szCs w:val="24"/>
          <w:lang w:val="es"/>
        </w:rPr>
        <w:t xml:space="preserve">La formulación de políticas traza la dirección estratégica del sector. La regulación supervisa </w:t>
      </w:r>
      <w:r w:rsidRPr="00D470F4">
        <w:rPr>
          <w:rFonts w:ascii="Times New Roman" w:hAnsi="Times New Roman" w:cs="Times New Roman"/>
          <w:color w:val="231F20"/>
          <w:spacing w:val="-2"/>
          <w:w w:val="90"/>
          <w:sz w:val="24"/>
          <w:szCs w:val="24"/>
          <w:lang w:val="es"/>
        </w:rPr>
        <w:t xml:space="preserve">al sector para garantizar que siga y haga cumplir </w:t>
      </w:r>
      <w:r w:rsidRPr="00D470F4">
        <w:rPr>
          <w:rFonts w:ascii="Times New Roman" w:hAnsi="Times New Roman" w:cs="Times New Roman"/>
          <w:sz w:val="24"/>
          <w:szCs w:val="24"/>
          <w:lang w:val="es"/>
        </w:rPr>
        <w:t>la dirección estratégica</w:t>
      </w:r>
      <w:r w:rsidRPr="00D470F4">
        <w:rPr>
          <w:rFonts w:ascii="Times New Roman" w:hAnsi="Times New Roman" w:cs="Times New Roman"/>
          <w:color w:val="231F20"/>
          <w:w w:val="90"/>
          <w:sz w:val="24"/>
          <w:szCs w:val="24"/>
          <w:lang w:val="es"/>
        </w:rPr>
        <w:t>, mientras</w:t>
      </w:r>
      <w:r w:rsidRPr="00D470F4">
        <w:rPr>
          <w:rFonts w:ascii="Times New Roman" w:hAnsi="Times New Roman" w:cs="Times New Roman"/>
          <w:sz w:val="24"/>
          <w:szCs w:val="24"/>
          <w:lang w:val="es"/>
        </w:rPr>
        <w:t xml:space="preserve"> que el servicio </w:t>
      </w:r>
      <w:r w:rsidRPr="00D470F4">
        <w:rPr>
          <w:rFonts w:ascii="Times New Roman" w:hAnsi="Times New Roman" w:cs="Times New Roman"/>
          <w:color w:val="231F20"/>
          <w:spacing w:val="-2"/>
          <w:w w:val="90"/>
          <w:sz w:val="24"/>
          <w:szCs w:val="24"/>
          <w:lang w:val="es"/>
        </w:rPr>
        <w:t>proporciona</w:t>
      </w:r>
      <w:r w:rsidRPr="00D470F4">
        <w:rPr>
          <w:rFonts w:ascii="Times New Roman" w:hAnsi="Times New Roman" w:cs="Times New Roman"/>
          <w:color w:val="231F20"/>
          <w:sz w:val="24"/>
          <w:szCs w:val="24"/>
          <w:lang w:val="es"/>
        </w:rPr>
        <w:t xml:space="preserve"> la </w:t>
      </w:r>
      <w:r w:rsidRPr="00D470F4">
        <w:rPr>
          <w:rFonts w:ascii="Times New Roman" w:hAnsi="Times New Roman" w:cs="Times New Roman"/>
          <w:color w:val="231F20"/>
          <w:spacing w:val="11"/>
          <w:sz w:val="24"/>
          <w:szCs w:val="24"/>
          <w:lang w:val="es"/>
        </w:rPr>
        <w:t>implementación</w:t>
      </w:r>
      <w:r w:rsidRPr="00D470F4">
        <w:rPr>
          <w:rFonts w:ascii="Times New Roman" w:hAnsi="Times New Roman" w:cs="Times New Roman"/>
          <w:color w:val="231F20"/>
          <w:sz w:val="24"/>
          <w:szCs w:val="24"/>
          <w:lang w:val="es"/>
        </w:rPr>
        <w:t xml:space="preserve"> de </w:t>
      </w:r>
      <w:proofErr w:type="gramStart"/>
      <w:r w:rsidRPr="00D470F4">
        <w:rPr>
          <w:rFonts w:ascii="Times New Roman" w:hAnsi="Times New Roman" w:cs="Times New Roman"/>
          <w:color w:val="231F20"/>
          <w:sz w:val="24"/>
          <w:szCs w:val="24"/>
          <w:lang w:val="es"/>
        </w:rPr>
        <w:t xml:space="preserve">esa </w:t>
      </w:r>
      <w:r w:rsidRPr="00D470F4">
        <w:rPr>
          <w:rFonts w:ascii="Times New Roman" w:hAnsi="Times New Roman" w:cs="Times New Roman"/>
          <w:sz w:val="24"/>
          <w:szCs w:val="24"/>
          <w:lang w:val="es"/>
        </w:rPr>
        <w:t xml:space="preserve"> dirección</w:t>
      </w:r>
      <w:proofErr w:type="gramEnd"/>
      <w:r w:rsidRPr="00D470F4">
        <w:rPr>
          <w:rFonts w:ascii="Times New Roman" w:hAnsi="Times New Roman" w:cs="Times New Roman"/>
          <w:sz w:val="24"/>
          <w:szCs w:val="24"/>
          <w:lang w:val="es"/>
        </w:rPr>
        <w:t xml:space="preserve"> </w:t>
      </w:r>
      <w:r w:rsidRPr="00D470F4">
        <w:rPr>
          <w:rFonts w:ascii="Times New Roman" w:hAnsi="Times New Roman" w:cs="Times New Roman"/>
          <w:color w:val="231F20"/>
          <w:spacing w:val="12"/>
          <w:sz w:val="24"/>
          <w:szCs w:val="24"/>
          <w:lang w:val="es"/>
        </w:rPr>
        <w:t>estratégica</w:t>
      </w:r>
      <w:r w:rsidRPr="00D470F4">
        <w:rPr>
          <w:rFonts w:ascii="Times New Roman" w:hAnsi="Times New Roman" w:cs="Times New Roman"/>
          <w:color w:val="231F20"/>
          <w:sz w:val="24"/>
          <w:szCs w:val="24"/>
          <w:lang w:val="es"/>
        </w:rPr>
        <w:t xml:space="preserve">. Tradicionalmente, las tres funciones </w:t>
      </w:r>
      <w:r w:rsidRPr="00D470F4">
        <w:rPr>
          <w:rFonts w:ascii="Times New Roman" w:hAnsi="Times New Roman" w:cs="Times New Roman"/>
          <w:color w:val="231F20"/>
          <w:w w:val="90"/>
          <w:sz w:val="24"/>
          <w:szCs w:val="24"/>
          <w:lang w:val="es"/>
        </w:rPr>
        <w:t xml:space="preserve">se han combinado dentro del ministerio competente. </w:t>
      </w:r>
      <w:r w:rsidRPr="00D470F4">
        <w:rPr>
          <w:rFonts w:ascii="Times New Roman" w:hAnsi="Times New Roman" w:cs="Times New Roman"/>
          <w:sz w:val="24"/>
          <w:szCs w:val="24"/>
          <w:lang w:val="es"/>
        </w:rPr>
        <w:t xml:space="preserve"> </w:t>
      </w:r>
      <w:r w:rsidRPr="00D470F4">
        <w:rPr>
          <w:rFonts w:ascii="Times New Roman" w:hAnsi="Times New Roman" w:cs="Times New Roman"/>
          <w:color w:val="231F20"/>
          <w:spacing w:val="-6"/>
          <w:sz w:val="24"/>
          <w:szCs w:val="24"/>
          <w:lang w:val="es"/>
        </w:rPr>
        <w:t xml:space="preserve">Sin embargo, con la amplia </w:t>
      </w:r>
      <w:proofErr w:type="spellStart"/>
      <w:r w:rsidRPr="00D470F4">
        <w:rPr>
          <w:rFonts w:ascii="Times New Roman" w:hAnsi="Times New Roman" w:cs="Times New Roman"/>
          <w:color w:val="231F20"/>
          <w:spacing w:val="-6"/>
          <w:sz w:val="24"/>
          <w:szCs w:val="24"/>
          <w:lang w:val="es"/>
        </w:rPr>
        <w:t>corporativización</w:t>
      </w:r>
      <w:proofErr w:type="spellEnd"/>
      <w:r w:rsidRPr="00D470F4">
        <w:rPr>
          <w:rFonts w:ascii="Times New Roman" w:hAnsi="Times New Roman" w:cs="Times New Roman"/>
          <w:color w:val="231F20"/>
          <w:spacing w:val="-6"/>
          <w:sz w:val="24"/>
          <w:szCs w:val="24"/>
          <w:lang w:val="es"/>
        </w:rPr>
        <w:t xml:space="preserve"> del </w:t>
      </w:r>
      <w:r w:rsidRPr="00D470F4">
        <w:rPr>
          <w:rFonts w:ascii="Times New Roman" w:hAnsi="Times New Roman" w:cs="Times New Roman"/>
          <w:color w:val="231F20"/>
          <w:w w:val="90"/>
          <w:sz w:val="24"/>
          <w:szCs w:val="24"/>
          <w:lang w:val="es"/>
        </w:rPr>
        <w:t xml:space="preserve">proveedor de servicios para formar una </w:t>
      </w:r>
      <w:proofErr w:type="spellStart"/>
      <w:r w:rsidRPr="00D470F4">
        <w:rPr>
          <w:rFonts w:ascii="Times New Roman" w:hAnsi="Times New Roman" w:cs="Times New Roman"/>
          <w:color w:val="231F20"/>
          <w:w w:val="90"/>
          <w:sz w:val="24"/>
          <w:szCs w:val="24"/>
          <w:lang w:val="es"/>
        </w:rPr>
        <w:t>empresa</w:t>
      </w:r>
      <w:r w:rsidRPr="00D470F4">
        <w:rPr>
          <w:rFonts w:ascii="Times New Roman" w:hAnsi="Times New Roman" w:cs="Times New Roman"/>
          <w:color w:val="231F20"/>
          <w:sz w:val="24"/>
          <w:szCs w:val="24"/>
          <w:lang w:val="es"/>
        </w:rPr>
        <w:t>distinta</w:t>
      </w:r>
      <w:proofErr w:type="spellEnd"/>
      <w:r w:rsidRPr="00D470F4">
        <w:rPr>
          <w:rFonts w:ascii="Times New Roman" w:hAnsi="Times New Roman" w:cs="Times New Roman"/>
          <w:color w:val="231F20"/>
          <w:sz w:val="24"/>
          <w:szCs w:val="24"/>
          <w:lang w:val="es"/>
        </w:rPr>
        <w:t xml:space="preserve"> del ministerio competente, así </w:t>
      </w:r>
      <w:proofErr w:type="gramStart"/>
      <w:r w:rsidRPr="00D470F4">
        <w:rPr>
          <w:rFonts w:ascii="Times New Roman" w:hAnsi="Times New Roman" w:cs="Times New Roman"/>
          <w:color w:val="231F20"/>
          <w:sz w:val="24"/>
          <w:szCs w:val="24"/>
          <w:lang w:val="es"/>
        </w:rPr>
        <w:t xml:space="preserve">como </w:t>
      </w:r>
      <w:r w:rsidRPr="00D470F4">
        <w:rPr>
          <w:rFonts w:ascii="Times New Roman" w:hAnsi="Times New Roman" w:cs="Times New Roman"/>
          <w:sz w:val="24"/>
          <w:szCs w:val="24"/>
          <w:lang w:val="es"/>
        </w:rPr>
        <w:t xml:space="preserve"> la</w:t>
      </w:r>
      <w:proofErr w:type="gramEnd"/>
      <w:r w:rsidRPr="00D470F4">
        <w:rPr>
          <w:rFonts w:ascii="Times New Roman" w:hAnsi="Times New Roman" w:cs="Times New Roman"/>
          <w:sz w:val="24"/>
          <w:szCs w:val="24"/>
          <w:lang w:val="es"/>
        </w:rPr>
        <w:t xml:space="preserve"> </w:t>
      </w:r>
      <w:r w:rsidRPr="00D470F4">
        <w:rPr>
          <w:rFonts w:ascii="Times New Roman" w:hAnsi="Times New Roman" w:cs="Times New Roman"/>
          <w:color w:val="231F20"/>
          <w:spacing w:val="-2"/>
          <w:sz w:val="24"/>
          <w:szCs w:val="24"/>
          <w:lang w:val="es"/>
        </w:rPr>
        <w:t xml:space="preserve">creciente delegación de estas actividades al </w:t>
      </w:r>
      <w:r w:rsidRPr="00D470F4">
        <w:rPr>
          <w:rFonts w:ascii="Times New Roman" w:hAnsi="Times New Roman" w:cs="Times New Roman"/>
          <w:color w:val="231F20"/>
          <w:w w:val="90"/>
          <w:sz w:val="24"/>
          <w:szCs w:val="24"/>
          <w:lang w:val="es"/>
        </w:rPr>
        <w:t>sector privado, se ha sentido la necesidad de una función reguladora más clara</w:t>
      </w:r>
      <w:r w:rsidRPr="00D470F4">
        <w:rPr>
          <w:rFonts w:ascii="Times New Roman" w:hAnsi="Times New Roman" w:cs="Times New Roman"/>
          <w:color w:val="231F20"/>
          <w:sz w:val="24"/>
          <w:szCs w:val="24"/>
          <w:lang w:val="es"/>
        </w:rPr>
        <w:t>. Un modelo ampliamente adoptado</w:t>
      </w:r>
      <w:r w:rsidRPr="00D470F4">
        <w:rPr>
          <w:rFonts w:ascii="Times New Roman" w:hAnsi="Times New Roman" w:cs="Times New Roman"/>
          <w:sz w:val="24"/>
          <w:szCs w:val="24"/>
          <w:lang w:val="es"/>
        </w:rPr>
        <w:t xml:space="preserve">, </w:t>
      </w:r>
      <w:r w:rsidRPr="00D470F4">
        <w:rPr>
          <w:rFonts w:ascii="Times New Roman" w:hAnsi="Times New Roman" w:cs="Times New Roman"/>
          <w:color w:val="231F20"/>
          <w:spacing w:val="-4"/>
          <w:sz w:val="24"/>
          <w:szCs w:val="24"/>
          <w:lang w:val="es"/>
        </w:rPr>
        <w:t xml:space="preserve">basado en gran medida en la experiencia en el Reino Unido y los Estados Unidos, ha </w:t>
      </w:r>
      <w:r w:rsidRPr="00D470F4">
        <w:rPr>
          <w:rFonts w:ascii="Times New Roman" w:hAnsi="Times New Roman" w:cs="Times New Roman"/>
          <w:color w:val="231F20"/>
          <w:spacing w:val="-2"/>
          <w:w w:val="90"/>
          <w:sz w:val="24"/>
          <w:szCs w:val="24"/>
          <w:lang w:val="es"/>
        </w:rPr>
        <w:t xml:space="preserve">sido la creación de una entidad dedicada a la regulación. </w:t>
      </w:r>
      <w:r w:rsidRPr="00D470F4">
        <w:rPr>
          <w:rFonts w:ascii="Times New Roman" w:hAnsi="Times New Roman" w:cs="Times New Roman"/>
          <w:sz w:val="24"/>
          <w:szCs w:val="24"/>
          <w:lang w:val="es"/>
        </w:rPr>
        <w:t xml:space="preserve"> </w:t>
      </w:r>
      <w:r w:rsidRPr="00D470F4">
        <w:rPr>
          <w:rFonts w:ascii="Times New Roman" w:hAnsi="Times New Roman" w:cs="Times New Roman"/>
          <w:color w:val="231F20"/>
          <w:w w:val="90"/>
          <w:sz w:val="24"/>
          <w:szCs w:val="24"/>
          <w:lang w:val="es"/>
        </w:rPr>
        <w:t xml:space="preserve">La independencia se considera importante. Aísla al regulador (y, en última instancia, </w:t>
      </w:r>
      <w:r w:rsidRPr="00D470F4">
        <w:rPr>
          <w:rFonts w:ascii="Times New Roman" w:hAnsi="Times New Roman" w:cs="Times New Roman"/>
          <w:sz w:val="24"/>
          <w:szCs w:val="24"/>
          <w:lang w:val="es"/>
        </w:rPr>
        <w:t xml:space="preserve">al proveedor de servicios) de la interferencia política </w:t>
      </w:r>
      <w:r w:rsidRPr="00D470F4">
        <w:rPr>
          <w:rFonts w:ascii="Times New Roman" w:hAnsi="Times New Roman" w:cs="Times New Roman"/>
          <w:color w:val="231F20"/>
          <w:sz w:val="24"/>
          <w:szCs w:val="24"/>
          <w:lang w:val="es"/>
        </w:rPr>
        <w:t xml:space="preserve">oportunista a corto plazo, </w:t>
      </w:r>
      <w:r w:rsidRPr="00D470F4">
        <w:rPr>
          <w:rFonts w:ascii="Times New Roman" w:hAnsi="Times New Roman" w:cs="Times New Roman"/>
          <w:sz w:val="24"/>
          <w:szCs w:val="24"/>
          <w:lang w:val="es"/>
        </w:rPr>
        <w:t xml:space="preserve">y proporciona un equilibrio entre el derecho del </w:t>
      </w:r>
      <w:r w:rsidRPr="00D470F4">
        <w:rPr>
          <w:rFonts w:ascii="Times New Roman" w:hAnsi="Times New Roman" w:cs="Times New Roman"/>
          <w:color w:val="231F20"/>
          <w:w w:val="90"/>
          <w:sz w:val="24"/>
          <w:szCs w:val="24"/>
          <w:lang w:val="es"/>
        </w:rPr>
        <w:t xml:space="preserve">inversor a un rendimiento justo del capital y el derecho del </w:t>
      </w:r>
      <w:r w:rsidRPr="00D470F4">
        <w:rPr>
          <w:rFonts w:ascii="Times New Roman" w:hAnsi="Times New Roman" w:cs="Times New Roman"/>
          <w:color w:val="231F20"/>
          <w:sz w:val="24"/>
          <w:szCs w:val="24"/>
          <w:lang w:val="es"/>
        </w:rPr>
        <w:t xml:space="preserve">consumidor al valor. </w:t>
      </w:r>
      <w:r w:rsidRPr="00D470F4">
        <w:rPr>
          <w:rFonts w:ascii="Times New Roman" w:hAnsi="Times New Roman" w:cs="Times New Roman"/>
          <w:sz w:val="24"/>
          <w:szCs w:val="24"/>
          <w:lang w:val="es"/>
        </w:rPr>
        <w:t xml:space="preserve"> </w:t>
      </w:r>
      <w:r w:rsidRPr="00D470F4">
        <w:rPr>
          <w:rFonts w:ascii="Times New Roman" w:hAnsi="Times New Roman" w:cs="Times New Roman"/>
          <w:color w:val="231F20"/>
          <w:w w:val="90"/>
          <w:sz w:val="24"/>
          <w:szCs w:val="24"/>
          <w:lang w:val="es"/>
        </w:rPr>
        <w:t xml:space="preserve">La independencia, aunque siempre relativa, se ha definido en términos </w:t>
      </w:r>
      <w:r w:rsidRPr="00D470F4">
        <w:rPr>
          <w:rFonts w:ascii="Times New Roman" w:hAnsi="Times New Roman" w:cs="Times New Roman"/>
          <w:sz w:val="24"/>
          <w:szCs w:val="24"/>
          <w:lang w:val="es"/>
        </w:rPr>
        <w:t xml:space="preserve">de una </w:t>
      </w:r>
      <w:r w:rsidRPr="00D470F4">
        <w:rPr>
          <w:rFonts w:ascii="Times New Roman" w:hAnsi="Times New Roman" w:cs="Times New Roman"/>
          <w:color w:val="231F20"/>
          <w:w w:val="90"/>
          <w:sz w:val="24"/>
          <w:szCs w:val="24"/>
          <w:lang w:val="es"/>
        </w:rPr>
        <w:t>existencia</w:t>
      </w:r>
      <w:r w:rsidRPr="00D470F4">
        <w:rPr>
          <w:rFonts w:ascii="Times New Roman" w:hAnsi="Times New Roman" w:cs="Times New Roman"/>
          <w:sz w:val="24"/>
          <w:szCs w:val="24"/>
          <w:lang w:val="es"/>
        </w:rPr>
        <w:t xml:space="preserve"> institucional</w:t>
      </w:r>
      <w:r w:rsidRPr="00D470F4">
        <w:rPr>
          <w:rFonts w:ascii="Times New Roman" w:hAnsi="Times New Roman" w:cs="Times New Roman"/>
          <w:color w:val="231F20"/>
          <w:w w:val="90"/>
          <w:sz w:val="24"/>
          <w:szCs w:val="24"/>
          <w:lang w:val="es"/>
        </w:rPr>
        <w:t xml:space="preserve">, una estructura de gobierno y una línea presupuestaria que están separadas del propio </w:t>
      </w:r>
      <w:r w:rsidRPr="00D470F4">
        <w:rPr>
          <w:rFonts w:ascii="Times New Roman" w:hAnsi="Times New Roman" w:cs="Times New Roman"/>
          <w:color w:val="231F20"/>
          <w:w w:val="90"/>
          <w:sz w:val="24"/>
          <w:szCs w:val="24"/>
          <w:lang w:val="es"/>
        </w:rPr>
        <w:lastRenderedPageBreak/>
        <w:t xml:space="preserve">ministerio competente. </w:t>
      </w:r>
      <w:r w:rsidRPr="00D470F4">
        <w:rPr>
          <w:rFonts w:ascii="Times New Roman" w:hAnsi="Times New Roman" w:cs="Times New Roman"/>
          <w:sz w:val="24"/>
          <w:szCs w:val="24"/>
          <w:lang w:val="es"/>
        </w:rPr>
        <w:t xml:space="preserve"> </w:t>
      </w:r>
      <w:r w:rsidRPr="00D470F4">
        <w:rPr>
          <w:rFonts w:ascii="Times New Roman" w:hAnsi="Times New Roman" w:cs="Times New Roman"/>
          <w:color w:val="231F20"/>
          <w:spacing w:val="-4"/>
          <w:sz w:val="24"/>
          <w:szCs w:val="24"/>
          <w:lang w:val="es"/>
        </w:rPr>
        <w:t xml:space="preserve">En la práctica, sin embargo, la independencia genuina </w:t>
      </w:r>
      <w:r w:rsidRPr="00D470F4">
        <w:rPr>
          <w:rFonts w:ascii="Times New Roman" w:hAnsi="Times New Roman" w:cs="Times New Roman"/>
          <w:color w:val="231F20"/>
          <w:w w:val="90"/>
          <w:sz w:val="24"/>
          <w:szCs w:val="24"/>
          <w:lang w:val="es"/>
        </w:rPr>
        <w:t xml:space="preserve">ha resultado difícil en muchos sistemas políticos </w:t>
      </w:r>
      <w:r w:rsidRPr="00D470F4">
        <w:rPr>
          <w:rFonts w:ascii="Times New Roman" w:hAnsi="Times New Roman" w:cs="Times New Roman"/>
          <w:color w:val="231F20"/>
          <w:spacing w:val="-2"/>
          <w:w w:val="90"/>
          <w:sz w:val="24"/>
          <w:szCs w:val="24"/>
          <w:lang w:val="es"/>
        </w:rPr>
        <w:t>y culturas. Los gobiernos generalmente son reacios</w:t>
      </w:r>
      <w:r w:rsidRPr="00D470F4">
        <w:rPr>
          <w:rFonts w:ascii="Times New Roman" w:hAnsi="Times New Roman" w:cs="Times New Roman"/>
          <w:sz w:val="24"/>
          <w:szCs w:val="24"/>
          <w:lang w:val="es"/>
        </w:rPr>
        <w:t xml:space="preserve"> a </w:t>
      </w:r>
      <w:r w:rsidRPr="00D470F4">
        <w:rPr>
          <w:rFonts w:ascii="Times New Roman" w:hAnsi="Times New Roman" w:cs="Times New Roman"/>
          <w:color w:val="231F20"/>
          <w:w w:val="90"/>
          <w:sz w:val="24"/>
          <w:szCs w:val="24"/>
          <w:lang w:val="es"/>
        </w:rPr>
        <w:t>renunciar a sus poderes discrecionales sobre los patrocinios</w:t>
      </w:r>
      <w:r w:rsidRPr="00D470F4">
        <w:rPr>
          <w:rFonts w:ascii="Times New Roman" w:hAnsi="Times New Roman" w:cs="Times New Roman"/>
          <w:sz w:val="24"/>
          <w:szCs w:val="24"/>
          <w:lang w:val="es"/>
        </w:rPr>
        <w:t xml:space="preserve"> políticos, como </w:t>
      </w:r>
      <w:r w:rsidRPr="00D470F4">
        <w:rPr>
          <w:rFonts w:ascii="Times New Roman" w:hAnsi="Times New Roman" w:cs="Times New Roman"/>
          <w:color w:val="231F20"/>
          <w:w w:val="90"/>
          <w:sz w:val="24"/>
          <w:szCs w:val="24"/>
          <w:lang w:val="es"/>
        </w:rPr>
        <w:t>las tarifas eléctricas</w:t>
      </w:r>
      <w:r w:rsidRPr="00D470F4">
        <w:rPr>
          <w:rFonts w:ascii="Times New Roman" w:hAnsi="Times New Roman" w:cs="Times New Roman"/>
          <w:sz w:val="24"/>
          <w:szCs w:val="24"/>
          <w:lang w:val="es"/>
        </w:rPr>
        <w:t xml:space="preserve">, los planes de inversión en </w:t>
      </w:r>
      <w:proofErr w:type="gramStart"/>
      <w:r w:rsidRPr="00D470F4">
        <w:rPr>
          <w:rFonts w:ascii="Times New Roman" w:hAnsi="Times New Roman" w:cs="Times New Roman"/>
          <w:sz w:val="24"/>
          <w:szCs w:val="24"/>
          <w:lang w:val="es"/>
        </w:rPr>
        <w:t xml:space="preserve">el </w:t>
      </w:r>
      <w:r w:rsidRPr="00D470F4">
        <w:rPr>
          <w:rFonts w:ascii="Times New Roman" w:hAnsi="Times New Roman" w:cs="Times New Roman"/>
          <w:color w:val="231F20"/>
          <w:w w:val="90"/>
          <w:sz w:val="24"/>
          <w:szCs w:val="24"/>
          <w:lang w:val="es"/>
        </w:rPr>
        <w:t xml:space="preserve"> sector</w:t>
      </w:r>
      <w:proofErr w:type="gramEnd"/>
      <w:r w:rsidRPr="00D470F4">
        <w:rPr>
          <w:rFonts w:ascii="Times New Roman" w:hAnsi="Times New Roman" w:cs="Times New Roman"/>
          <w:color w:val="231F20"/>
          <w:w w:val="90"/>
          <w:sz w:val="24"/>
          <w:szCs w:val="24"/>
          <w:lang w:val="es"/>
        </w:rPr>
        <w:t xml:space="preserve"> eléctrico y el empleo en servicios públicos. Las funciones del regulador incluyen establecer tarifas para recuperar costos eficientes, monitorear</w:t>
      </w:r>
      <w:r w:rsidRPr="00D470F4">
        <w:rPr>
          <w:rFonts w:ascii="Times New Roman" w:hAnsi="Times New Roman" w:cs="Times New Roman"/>
          <w:sz w:val="24"/>
          <w:szCs w:val="24"/>
          <w:lang w:val="es"/>
        </w:rPr>
        <w:t xml:space="preserve"> y </w:t>
      </w:r>
      <w:r w:rsidRPr="00D470F4">
        <w:rPr>
          <w:rFonts w:ascii="Times New Roman" w:hAnsi="Times New Roman" w:cs="Times New Roman"/>
          <w:color w:val="231F20"/>
          <w:w w:val="90"/>
          <w:sz w:val="24"/>
          <w:szCs w:val="24"/>
          <w:lang w:val="es"/>
        </w:rPr>
        <w:t xml:space="preserve">hacer cumplir los estándares de servicio y </w:t>
      </w:r>
      <w:r w:rsidRPr="00D470F4">
        <w:rPr>
          <w:rFonts w:ascii="Times New Roman" w:hAnsi="Times New Roman" w:cs="Times New Roman"/>
          <w:color w:val="231F20"/>
          <w:spacing w:val="-2"/>
          <w:sz w:val="24"/>
          <w:szCs w:val="24"/>
          <w:lang w:val="es"/>
        </w:rPr>
        <w:t>supervisar la entrada al mercado.</w:t>
      </w:r>
    </w:p>
    <w:p w14:paraId="77E5A0C5" w14:textId="77777777" w:rsidR="00132D23" w:rsidRPr="00D470F4" w:rsidRDefault="00132D23" w:rsidP="00132D23">
      <w:pPr>
        <w:pStyle w:val="Textoindependiente"/>
        <w:spacing w:line="480" w:lineRule="auto"/>
        <w:rPr>
          <w:rFonts w:ascii="Times New Roman" w:hAnsi="Times New Roman" w:cs="Times New Roman"/>
          <w:sz w:val="24"/>
          <w:szCs w:val="24"/>
        </w:rPr>
      </w:pPr>
      <w:r w:rsidRPr="00D470F4">
        <w:rPr>
          <w:rFonts w:ascii="Times New Roman" w:hAnsi="Times New Roman" w:cs="Times New Roman"/>
          <w:color w:val="231F20"/>
          <w:w w:val="90"/>
          <w:sz w:val="24"/>
          <w:szCs w:val="24"/>
          <w:lang w:val="es"/>
        </w:rPr>
        <w:t>La reforma de la reestructuración se define como el</w:t>
      </w:r>
      <w:r w:rsidRPr="00D470F4">
        <w:rPr>
          <w:rFonts w:ascii="Times New Roman" w:hAnsi="Times New Roman" w:cs="Times New Roman"/>
          <w:color w:val="231F20"/>
          <w:spacing w:val="-4"/>
          <w:w w:val="90"/>
          <w:sz w:val="24"/>
          <w:szCs w:val="24"/>
          <w:lang w:val="es"/>
        </w:rPr>
        <w:t xml:space="preserve"> </w:t>
      </w:r>
      <w:proofErr w:type="spellStart"/>
      <w:r w:rsidRPr="00D470F4">
        <w:rPr>
          <w:rFonts w:ascii="Times New Roman" w:hAnsi="Times New Roman" w:cs="Times New Roman"/>
          <w:color w:val="231F20"/>
          <w:spacing w:val="-4"/>
          <w:w w:val="90"/>
          <w:sz w:val="24"/>
          <w:szCs w:val="24"/>
          <w:lang w:val="es"/>
        </w:rPr>
        <w:t>movimiento</w:t>
      </w:r>
      <w:r w:rsidRPr="00D470F4">
        <w:rPr>
          <w:rFonts w:ascii="Times New Roman" w:hAnsi="Times New Roman" w:cs="Times New Roman"/>
          <w:color w:val="231F20"/>
          <w:sz w:val="24"/>
          <w:szCs w:val="24"/>
          <w:lang w:val="es"/>
        </w:rPr>
        <w:t>a</w:t>
      </w:r>
      <w:proofErr w:type="spellEnd"/>
      <w:r w:rsidRPr="00D470F4">
        <w:rPr>
          <w:rFonts w:ascii="Times New Roman" w:hAnsi="Times New Roman" w:cs="Times New Roman"/>
          <w:color w:val="231F20"/>
          <w:sz w:val="24"/>
          <w:szCs w:val="24"/>
          <w:lang w:val="es"/>
        </w:rPr>
        <w:t xml:space="preserve"> lo largo de un espectro hacia la separación vertical y horizontal completa del sector </w:t>
      </w:r>
      <w:r w:rsidRPr="00D470F4">
        <w:rPr>
          <w:rFonts w:ascii="Times New Roman" w:hAnsi="Times New Roman" w:cs="Times New Roman"/>
          <w:color w:val="231F20"/>
          <w:spacing w:val="-4"/>
          <w:sz w:val="24"/>
          <w:szCs w:val="24"/>
          <w:lang w:val="es"/>
        </w:rPr>
        <w:t xml:space="preserve">(Foster et al. 2017). El punto de partida </w:t>
      </w:r>
      <w:r w:rsidRPr="00D470F4">
        <w:rPr>
          <w:rFonts w:ascii="Times New Roman" w:hAnsi="Times New Roman" w:cs="Times New Roman"/>
          <w:sz w:val="24"/>
          <w:szCs w:val="24"/>
          <w:lang w:val="es"/>
        </w:rPr>
        <w:t xml:space="preserve">para la reforma de la </w:t>
      </w:r>
      <w:r w:rsidRPr="00D470F4">
        <w:rPr>
          <w:rFonts w:ascii="Times New Roman" w:hAnsi="Times New Roman" w:cs="Times New Roman"/>
          <w:color w:val="231F20"/>
          <w:w w:val="90"/>
          <w:sz w:val="24"/>
          <w:szCs w:val="24"/>
          <w:lang w:val="es"/>
        </w:rPr>
        <w:t>reestructuración suele ser una empresa de servicios públicos monopólica nacional integrada verticalmente</w:t>
      </w:r>
      <w:r w:rsidRPr="00D470F4">
        <w:rPr>
          <w:rFonts w:ascii="Times New Roman" w:hAnsi="Times New Roman" w:cs="Times New Roman"/>
          <w:sz w:val="24"/>
          <w:szCs w:val="24"/>
          <w:lang w:val="es"/>
        </w:rPr>
        <w:t xml:space="preserve">, y su </w:t>
      </w:r>
      <w:r w:rsidRPr="00D470F4">
        <w:rPr>
          <w:rFonts w:ascii="Times New Roman" w:hAnsi="Times New Roman" w:cs="Times New Roman"/>
          <w:color w:val="231F20"/>
          <w:sz w:val="24"/>
          <w:szCs w:val="24"/>
          <w:lang w:val="es"/>
        </w:rPr>
        <w:t>punto final teórico es un sector totalmente reestructurado</w:t>
      </w:r>
      <w:r w:rsidRPr="00D470F4">
        <w:rPr>
          <w:rFonts w:ascii="Times New Roman" w:hAnsi="Times New Roman" w:cs="Times New Roman"/>
          <w:sz w:val="24"/>
          <w:szCs w:val="24"/>
          <w:lang w:val="es"/>
        </w:rPr>
        <w:t xml:space="preserve">, </w:t>
      </w:r>
      <w:r w:rsidRPr="00D470F4">
        <w:rPr>
          <w:rFonts w:ascii="Times New Roman" w:hAnsi="Times New Roman" w:cs="Times New Roman"/>
          <w:color w:val="231F20"/>
          <w:w w:val="90"/>
          <w:sz w:val="24"/>
          <w:szCs w:val="24"/>
          <w:lang w:val="es"/>
        </w:rPr>
        <w:t xml:space="preserve">con una reestructuración que implica </w:t>
      </w:r>
      <w:proofErr w:type="gramStart"/>
      <w:r w:rsidRPr="00D470F4">
        <w:rPr>
          <w:rFonts w:ascii="Times New Roman" w:hAnsi="Times New Roman" w:cs="Times New Roman"/>
          <w:color w:val="231F20"/>
          <w:w w:val="90"/>
          <w:sz w:val="24"/>
          <w:szCs w:val="24"/>
          <w:lang w:val="es"/>
        </w:rPr>
        <w:t xml:space="preserve">tanto </w:t>
      </w:r>
      <w:r w:rsidRPr="00D470F4">
        <w:rPr>
          <w:rFonts w:ascii="Times New Roman" w:hAnsi="Times New Roman" w:cs="Times New Roman"/>
          <w:sz w:val="24"/>
          <w:szCs w:val="24"/>
          <w:lang w:val="es"/>
        </w:rPr>
        <w:t xml:space="preserve"> la</w:t>
      </w:r>
      <w:proofErr w:type="gramEnd"/>
      <w:r w:rsidRPr="00D470F4">
        <w:rPr>
          <w:rFonts w:ascii="Times New Roman" w:hAnsi="Times New Roman" w:cs="Times New Roman"/>
          <w:sz w:val="24"/>
          <w:szCs w:val="24"/>
          <w:lang w:val="es"/>
        </w:rPr>
        <w:t xml:space="preserve"> separación vertical de la generación, la </w:t>
      </w:r>
      <w:r w:rsidRPr="00D470F4">
        <w:rPr>
          <w:rFonts w:ascii="Times New Roman" w:hAnsi="Times New Roman" w:cs="Times New Roman"/>
          <w:color w:val="231F20"/>
          <w:w w:val="90"/>
          <w:sz w:val="24"/>
          <w:szCs w:val="24"/>
          <w:lang w:val="es"/>
        </w:rPr>
        <w:t>transmisión</w:t>
      </w:r>
      <w:r w:rsidRPr="00D470F4">
        <w:rPr>
          <w:rFonts w:ascii="Times New Roman" w:hAnsi="Times New Roman" w:cs="Times New Roman"/>
          <w:sz w:val="24"/>
          <w:szCs w:val="24"/>
          <w:lang w:val="es"/>
        </w:rPr>
        <w:t xml:space="preserve"> y la distribución</w:t>
      </w:r>
      <w:r w:rsidRPr="00D470F4">
        <w:rPr>
          <w:rFonts w:ascii="Times New Roman" w:hAnsi="Times New Roman" w:cs="Times New Roman"/>
          <w:color w:val="231F20"/>
          <w:sz w:val="24"/>
          <w:szCs w:val="24"/>
          <w:lang w:val="es"/>
        </w:rPr>
        <w:t xml:space="preserve">, como la separación horizontal </w:t>
      </w:r>
      <w:r w:rsidRPr="00D470F4">
        <w:rPr>
          <w:rFonts w:ascii="Times New Roman" w:hAnsi="Times New Roman" w:cs="Times New Roman"/>
          <w:color w:val="231F20"/>
          <w:w w:val="90"/>
          <w:sz w:val="24"/>
          <w:szCs w:val="24"/>
          <w:lang w:val="es"/>
        </w:rPr>
        <w:t xml:space="preserve">de los niveles de generación y distribución para crear múltiples empresas que operan en </w:t>
      </w:r>
      <w:r w:rsidRPr="00D470F4">
        <w:rPr>
          <w:rFonts w:ascii="Times New Roman" w:hAnsi="Times New Roman" w:cs="Times New Roman"/>
          <w:color w:val="231F20"/>
          <w:sz w:val="24"/>
          <w:szCs w:val="24"/>
          <w:lang w:val="es"/>
        </w:rPr>
        <w:t xml:space="preserve"> paralelo. Tal proceso allana el camino para la competencia, de acuerdo con la lógica teórica</w:t>
      </w:r>
      <w:r w:rsidRPr="00D470F4">
        <w:rPr>
          <w:rFonts w:ascii="Times New Roman" w:hAnsi="Times New Roman" w:cs="Times New Roman"/>
          <w:color w:val="231F20"/>
          <w:w w:val="90"/>
          <w:sz w:val="24"/>
          <w:szCs w:val="24"/>
          <w:lang w:val="es"/>
        </w:rPr>
        <w:t>. En primer lugar, la separación vertical tiene por objeto</w:t>
      </w:r>
      <w:r w:rsidRPr="00D470F4">
        <w:rPr>
          <w:rFonts w:ascii="Times New Roman" w:hAnsi="Times New Roman" w:cs="Times New Roman"/>
          <w:color w:val="231F20"/>
          <w:sz w:val="24"/>
          <w:szCs w:val="24"/>
          <w:lang w:val="es"/>
        </w:rPr>
        <w:t xml:space="preserve"> eliminar cualquier conflicto de intereses que pueda </w:t>
      </w:r>
      <w:r w:rsidRPr="00D470F4">
        <w:rPr>
          <w:rFonts w:ascii="Times New Roman" w:hAnsi="Times New Roman" w:cs="Times New Roman"/>
          <w:color w:val="231F20"/>
          <w:w w:val="90"/>
          <w:sz w:val="24"/>
          <w:szCs w:val="24"/>
          <w:lang w:val="es"/>
        </w:rPr>
        <w:t xml:space="preserve">surgir cuando una sola empresa de servicios públicos tiene más de una </w:t>
      </w:r>
      <w:r w:rsidRPr="00D470F4">
        <w:rPr>
          <w:rFonts w:ascii="Times New Roman" w:hAnsi="Times New Roman" w:cs="Times New Roman"/>
          <w:color w:val="231F20"/>
          <w:spacing w:val="-2"/>
          <w:sz w:val="24"/>
          <w:szCs w:val="24"/>
          <w:lang w:val="es"/>
        </w:rPr>
        <w:t xml:space="preserve">función a lo largo de la cadena de suministro de electricidad. Por ejemplo, una empresa de transmisión que </w:t>
      </w:r>
      <w:r w:rsidRPr="00D470F4">
        <w:rPr>
          <w:rFonts w:ascii="Times New Roman" w:hAnsi="Times New Roman" w:cs="Times New Roman"/>
          <w:color w:val="231F20"/>
          <w:sz w:val="24"/>
          <w:szCs w:val="24"/>
          <w:lang w:val="es"/>
        </w:rPr>
        <w:t xml:space="preserve">también participa </w:t>
      </w:r>
      <w:r w:rsidRPr="00D470F4">
        <w:rPr>
          <w:rFonts w:ascii="Times New Roman" w:hAnsi="Times New Roman" w:cs="Times New Roman"/>
          <w:sz w:val="24"/>
          <w:szCs w:val="24"/>
          <w:lang w:val="es"/>
        </w:rPr>
        <w:t xml:space="preserve">en </w:t>
      </w:r>
      <w:r w:rsidRPr="00D470F4">
        <w:rPr>
          <w:rFonts w:ascii="Times New Roman" w:hAnsi="Times New Roman" w:cs="Times New Roman"/>
          <w:color w:val="231F20"/>
          <w:sz w:val="24"/>
          <w:szCs w:val="24"/>
          <w:lang w:val="es"/>
        </w:rPr>
        <w:t xml:space="preserve">una </w:t>
      </w:r>
      <w:r w:rsidRPr="00D470F4">
        <w:rPr>
          <w:rFonts w:ascii="Times New Roman" w:hAnsi="Times New Roman" w:cs="Times New Roman"/>
          <w:sz w:val="24"/>
          <w:szCs w:val="24"/>
          <w:lang w:val="es"/>
        </w:rPr>
        <w:t xml:space="preserve">generación </w:t>
      </w:r>
      <w:r w:rsidRPr="00D470F4">
        <w:rPr>
          <w:rFonts w:ascii="Times New Roman" w:hAnsi="Times New Roman" w:cs="Times New Roman"/>
          <w:color w:val="231F20"/>
          <w:sz w:val="24"/>
          <w:szCs w:val="24"/>
          <w:lang w:val="es"/>
        </w:rPr>
        <w:t xml:space="preserve">puede tener </w:t>
      </w:r>
      <w:r w:rsidRPr="00D470F4">
        <w:rPr>
          <w:rFonts w:ascii="Times New Roman" w:hAnsi="Times New Roman" w:cs="Times New Roman"/>
          <w:sz w:val="24"/>
          <w:szCs w:val="24"/>
          <w:lang w:val="es"/>
        </w:rPr>
        <w:t xml:space="preserve">el </w:t>
      </w:r>
      <w:r w:rsidRPr="00D470F4">
        <w:rPr>
          <w:rFonts w:ascii="Times New Roman" w:hAnsi="Times New Roman" w:cs="Times New Roman"/>
          <w:color w:val="231F20"/>
          <w:spacing w:val="-4"/>
          <w:sz w:val="24"/>
          <w:szCs w:val="24"/>
          <w:lang w:val="es"/>
        </w:rPr>
        <w:t xml:space="preserve">incentivo de priorizar el acceso a la red para su propia </w:t>
      </w:r>
      <w:r w:rsidRPr="00D470F4">
        <w:rPr>
          <w:rFonts w:ascii="Times New Roman" w:hAnsi="Times New Roman" w:cs="Times New Roman"/>
          <w:color w:val="231F20"/>
          <w:sz w:val="24"/>
          <w:szCs w:val="24"/>
          <w:lang w:val="es"/>
        </w:rPr>
        <w:t xml:space="preserve">capacidad de generación en lugar de la de </w:t>
      </w:r>
      <w:r w:rsidRPr="00D470F4">
        <w:rPr>
          <w:rFonts w:ascii="Times New Roman" w:hAnsi="Times New Roman" w:cs="Times New Roman"/>
          <w:color w:val="231F20"/>
          <w:spacing w:val="-2"/>
          <w:w w:val="90"/>
          <w:sz w:val="24"/>
          <w:szCs w:val="24"/>
          <w:lang w:val="es"/>
        </w:rPr>
        <w:t xml:space="preserve">los competidores. Es importante distinguir </w:t>
      </w:r>
      <w:r w:rsidRPr="00D470F4">
        <w:rPr>
          <w:rFonts w:ascii="Times New Roman" w:hAnsi="Times New Roman" w:cs="Times New Roman"/>
          <w:sz w:val="24"/>
          <w:szCs w:val="24"/>
          <w:lang w:val="es"/>
        </w:rPr>
        <w:t xml:space="preserve">la separación vertical parcial —en la que, </w:t>
      </w:r>
      <w:r w:rsidRPr="00D470F4">
        <w:rPr>
          <w:rFonts w:ascii="Times New Roman" w:hAnsi="Times New Roman" w:cs="Times New Roman"/>
          <w:color w:val="231F20"/>
          <w:spacing w:val="-6"/>
          <w:sz w:val="24"/>
          <w:szCs w:val="24"/>
          <w:lang w:val="es"/>
        </w:rPr>
        <w:t>por ejemplo</w:t>
      </w:r>
      <w:r w:rsidRPr="00D470F4">
        <w:rPr>
          <w:rFonts w:ascii="Times New Roman" w:hAnsi="Times New Roman" w:cs="Times New Roman"/>
          <w:sz w:val="24"/>
          <w:szCs w:val="24"/>
          <w:lang w:val="es"/>
        </w:rPr>
        <w:t xml:space="preserve">, la </w:t>
      </w:r>
      <w:r w:rsidRPr="00D470F4">
        <w:rPr>
          <w:rFonts w:ascii="Times New Roman" w:hAnsi="Times New Roman" w:cs="Times New Roman"/>
          <w:color w:val="231F20"/>
          <w:w w:val="90"/>
          <w:sz w:val="24"/>
          <w:szCs w:val="24"/>
          <w:lang w:val="es"/>
        </w:rPr>
        <w:t xml:space="preserve">generación se </w:t>
      </w:r>
      <w:proofErr w:type="gramStart"/>
      <w:r w:rsidRPr="00D470F4">
        <w:rPr>
          <w:rFonts w:ascii="Times New Roman" w:hAnsi="Times New Roman" w:cs="Times New Roman"/>
          <w:color w:val="231F20"/>
          <w:w w:val="90"/>
          <w:sz w:val="24"/>
          <w:szCs w:val="24"/>
          <w:lang w:val="es"/>
        </w:rPr>
        <w:t>desglosa</w:t>
      </w:r>
      <w:proofErr w:type="gramEnd"/>
      <w:r w:rsidRPr="00D470F4">
        <w:rPr>
          <w:rFonts w:ascii="Times New Roman" w:hAnsi="Times New Roman" w:cs="Times New Roman"/>
          <w:color w:val="231F20"/>
          <w:w w:val="90"/>
          <w:sz w:val="24"/>
          <w:szCs w:val="24"/>
          <w:lang w:val="es"/>
        </w:rPr>
        <w:t xml:space="preserve"> pero la transmisión y la distribución permanecen unidas— de la separación vertical total, en la que entidades separadas se encargan de los tres segmentos de la </w:t>
      </w:r>
      <w:r w:rsidRPr="00D470F4">
        <w:rPr>
          <w:rFonts w:ascii="Times New Roman" w:hAnsi="Times New Roman" w:cs="Times New Roman"/>
          <w:sz w:val="24"/>
          <w:szCs w:val="24"/>
          <w:lang w:val="es"/>
        </w:rPr>
        <w:t xml:space="preserve">cadena de </w:t>
      </w:r>
      <w:r w:rsidRPr="00D470F4">
        <w:rPr>
          <w:rFonts w:ascii="Times New Roman" w:hAnsi="Times New Roman" w:cs="Times New Roman"/>
          <w:color w:val="231F20"/>
          <w:w w:val="90"/>
          <w:sz w:val="24"/>
          <w:szCs w:val="24"/>
          <w:lang w:val="es"/>
        </w:rPr>
        <w:t>suministro</w:t>
      </w:r>
      <w:r w:rsidRPr="00D470F4">
        <w:rPr>
          <w:rFonts w:ascii="Times New Roman" w:hAnsi="Times New Roman" w:cs="Times New Roman"/>
          <w:sz w:val="24"/>
          <w:szCs w:val="24"/>
          <w:lang w:val="es"/>
        </w:rPr>
        <w:t xml:space="preserve"> de electricidad</w:t>
      </w:r>
      <w:r w:rsidRPr="00D470F4">
        <w:rPr>
          <w:rFonts w:ascii="Times New Roman" w:hAnsi="Times New Roman" w:cs="Times New Roman"/>
          <w:color w:val="231F20"/>
          <w:sz w:val="24"/>
          <w:szCs w:val="24"/>
          <w:lang w:val="es"/>
        </w:rPr>
        <w:t xml:space="preserve">. En segundo lugar, la separación horizontal </w:t>
      </w:r>
      <w:r w:rsidRPr="00D470F4">
        <w:rPr>
          <w:rFonts w:ascii="Times New Roman" w:hAnsi="Times New Roman" w:cs="Times New Roman"/>
          <w:color w:val="231F20"/>
          <w:spacing w:val="-6"/>
          <w:sz w:val="24"/>
          <w:szCs w:val="24"/>
          <w:lang w:val="es"/>
        </w:rPr>
        <w:t>tiene por objeto diluir el poder de mercado, que es particularmente</w:t>
      </w:r>
      <w:r w:rsidRPr="00D470F4">
        <w:rPr>
          <w:rFonts w:ascii="Times New Roman" w:hAnsi="Times New Roman" w:cs="Times New Roman"/>
          <w:color w:val="231F20"/>
          <w:w w:val="90"/>
          <w:sz w:val="24"/>
          <w:szCs w:val="24"/>
          <w:lang w:val="es"/>
        </w:rPr>
        <w:t xml:space="preserve"> pertinente para la generación. Por </w:t>
      </w:r>
      <w:proofErr w:type="gramStart"/>
      <w:r w:rsidRPr="00D470F4">
        <w:rPr>
          <w:rFonts w:ascii="Times New Roman" w:hAnsi="Times New Roman" w:cs="Times New Roman"/>
          <w:color w:val="231F20"/>
          <w:w w:val="90"/>
          <w:sz w:val="24"/>
          <w:szCs w:val="24"/>
          <w:lang w:val="es"/>
        </w:rPr>
        <w:t xml:space="preserve">ejemplo, </w:t>
      </w:r>
      <w:r w:rsidRPr="00D470F4">
        <w:rPr>
          <w:rFonts w:ascii="Times New Roman" w:hAnsi="Times New Roman" w:cs="Times New Roman"/>
          <w:sz w:val="24"/>
          <w:szCs w:val="24"/>
          <w:lang w:val="es"/>
        </w:rPr>
        <w:t xml:space="preserve"> un</w:t>
      </w:r>
      <w:proofErr w:type="gramEnd"/>
      <w:r w:rsidRPr="00D470F4">
        <w:rPr>
          <w:rFonts w:ascii="Times New Roman" w:hAnsi="Times New Roman" w:cs="Times New Roman"/>
          <w:sz w:val="24"/>
          <w:szCs w:val="24"/>
          <w:lang w:val="es"/>
        </w:rPr>
        <w:t xml:space="preserve"> país con </w:t>
      </w:r>
      <w:r w:rsidRPr="00D470F4">
        <w:rPr>
          <w:rFonts w:ascii="Times New Roman" w:hAnsi="Times New Roman" w:cs="Times New Roman"/>
          <w:color w:val="231F20"/>
          <w:spacing w:val="-4"/>
          <w:sz w:val="24"/>
          <w:szCs w:val="24"/>
          <w:lang w:val="es"/>
        </w:rPr>
        <w:t xml:space="preserve">cinco o seis empresas de generación similar </w:t>
      </w:r>
      <w:r w:rsidRPr="00D470F4">
        <w:rPr>
          <w:rFonts w:ascii="Times New Roman" w:hAnsi="Times New Roman" w:cs="Times New Roman"/>
          <w:color w:val="231F20"/>
          <w:sz w:val="24"/>
          <w:szCs w:val="24"/>
          <w:lang w:val="es"/>
        </w:rPr>
        <w:t xml:space="preserve">probablemente experimentará </w:t>
      </w:r>
      <w:r w:rsidRPr="00D470F4">
        <w:rPr>
          <w:rFonts w:ascii="Times New Roman" w:hAnsi="Times New Roman" w:cs="Times New Roman"/>
          <w:sz w:val="24"/>
          <w:szCs w:val="24"/>
          <w:lang w:val="es"/>
        </w:rPr>
        <w:t xml:space="preserve"> una </w:t>
      </w:r>
      <w:r w:rsidRPr="00D470F4">
        <w:rPr>
          <w:rFonts w:ascii="Times New Roman" w:hAnsi="Times New Roman" w:cs="Times New Roman"/>
          <w:color w:val="231F20"/>
          <w:w w:val="90"/>
          <w:sz w:val="24"/>
          <w:szCs w:val="24"/>
          <w:lang w:val="es"/>
        </w:rPr>
        <w:t xml:space="preserve">presión competitiva más fuerte que </w:t>
      </w:r>
      <w:r w:rsidRPr="00D470F4">
        <w:rPr>
          <w:rFonts w:ascii="Times New Roman" w:hAnsi="Times New Roman" w:cs="Times New Roman"/>
          <w:color w:val="231F20"/>
          <w:w w:val="90"/>
          <w:sz w:val="24"/>
          <w:szCs w:val="24"/>
          <w:lang w:val="es"/>
        </w:rPr>
        <w:lastRenderedPageBreak/>
        <w:t xml:space="preserve">un país con solo dos empresas: una grande y otra pequeña. </w:t>
      </w:r>
      <w:r w:rsidRPr="00D470F4">
        <w:rPr>
          <w:rFonts w:ascii="Times New Roman" w:hAnsi="Times New Roman" w:cs="Times New Roman"/>
          <w:sz w:val="24"/>
          <w:szCs w:val="24"/>
          <w:lang w:val="es"/>
        </w:rPr>
        <w:t xml:space="preserve"> </w:t>
      </w:r>
      <w:r w:rsidRPr="00D470F4">
        <w:rPr>
          <w:rFonts w:ascii="Times New Roman" w:hAnsi="Times New Roman" w:cs="Times New Roman"/>
          <w:color w:val="231F20"/>
          <w:sz w:val="24"/>
          <w:szCs w:val="24"/>
          <w:lang w:val="es"/>
        </w:rPr>
        <w:t xml:space="preserve">Aunque la separación total implica la propiedad separada </w:t>
      </w:r>
      <w:r w:rsidRPr="00D470F4">
        <w:rPr>
          <w:rFonts w:ascii="Times New Roman" w:hAnsi="Times New Roman" w:cs="Times New Roman"/>
          <w:color w:val="231F20"/>
          <w:spacing w:val="-6"/>
          <w:sz w:val="24"/>
          <w:szCs w:val="24"/>
          <w:lang w:val="es"/>
        </w:rPr>
        <w:t xml:space="preserve">de las diferentes entidades </w:t>
      </w:r>
      <w:proofErr w:type="gramStart"/>
      <w:r w:rsidRPr="00D470F4">
        <w:rPr>
          <w:rFonts w:ascii="Times New Roman" w:hAnsi="Times New Roman" w:cs="Times New Roman"/>
          <w:color w:val="231F20"/>
          <w:spacing w:val="-6"/>
          <w:sz w:val="24"/>
          <w:szCs w:val="24"/>
          <w:lang w:val="es"/>
        </w:rPr>
        <w:t xml:space="preserve">creadas </w:t>
      </w:r>
      <w:r w:rsidRPr="00D470F4">
        <w:rPr>
          <w:rFonts w:ascii="Times New Roman" w:hAnsi="Times New Roman" w:cs="Times New Roman"/>
          <w:sz w:val="24"/>
          <w:szCs w:val="24"/>
          <w:lang w:val="es"/>
        </w:rPr>
        <w:t xml:space="preserve"> en</w:t>
      </w:r>
      <w:proofErr w:type="gramEnd"/>
      <w:r w:rsidRPr="00D470F4">
        <w:rPr>
          <w:rFonts w:ascii="Times New Roman" w:hAnsi="Times New Roman" w:cs="Times New Roman"/>
          <w:sz w:val="24"/>
          <w:szCs w:val="24"/>
          <w:lang w:val="es"/>
        </w:rPr>
        <w:t xml:space="preserve"> </w:t>
      </w:r>
      <w:r w:rsidRPr="00D470F4">
        <w:rPr>
          <w:rFonts w:ascii="Times New Roman" w:hAnsi="Times New Roman" w:cs="Times New Roman"/>
          <w:color w:val="231F20"/>
          <w:w w:val="90"/>
          <w:sz w:val="24"/>
          <w:szCs w:val="24"/>
          <w:lang w:val="es"/>
        </w:rPr>
        <w:t xml:space="preserve">el proceso, en la práctica la separación </w:t>
      </w:r>
      <w:proofErr w:type="spellStart"/>
      <w:r w:rsidRPr="00D470F4">
        <w:rPr>
          <w:rFonts w:ascii="Times New Roman" w:hAnsi="Times New Roman" w:cs="Times New Roman"/>
          <w:color w:val="231F20"/>
          <w:w w:val="90"/>
          <w:sz w:val="24"/>
          <w:szCs w:val="24"/>
          <w:lang w:val="es"/>
        </w:rPr>
        <w:t>puede</w:t>
      </w:r>
      <w:r w:rsidRPr="00D470F4">
        <w:rPr>
          <w:rFonts w:ascii="Times New Roman" w:hAnsi="Times New Roman" w:cs="Times New Roman"/>
          <w:color w:val="231F20"/>
          <w:spacing w:val="-6"/>
          <w:sz w:val="24"/>
          <w:szCs w:val="24"/>
          <w:lang w:val="es"/>
        </w:rPr>
        <w:t>proceder</w:t>
      </w:r>
      <w:proofErr w:type="spellEnd"/>
      <w:r w:rsidRPr="00D470F4">
        <w:rPr>
          <w:rFonts w:ascii="Times New Roman" w:hAnsi="Times New Roman" w:cs="Times New Roman"/>
          <w:color w:val="231F20"/>
          <w:spacing w:val="-6"/>
          <w:sz w:val="24"/>
          <w:szCs w:val="24"/>
          <w:lang w:val="es"/>
        </w:rPr>
        <w:t xml:space="preserve"> gradualmente, comenzando por definir las </w:t>
      </w:r>
      <w:r w:rsidRPr="00D470F4">
        <w:rPr>
          <w:rFonts w:ascii="Times New Roman" w:hAnsi="Times New Roman" w:cs="Times New Roman"/>
          <w:color w:val="231F20"/>
          <w:w w:val="90"/>
          <w:sz w:val="24"/>
          <w:szCs w:val="24"/>
          <w:lang w:val="es"/>
        </w:rPr>
        <w:t>distintas unidades de gestión y luego separar</w:t>
      </w:r>
      <w:r w:rsidRPr="00D470F4">
        <w:rPr>
          <w:rFonts w:ascii="Times New Roman" w:hAnsi="Times New Roman" w:cs="Times New Roman"/>
          <w:color w:val="231F20"/>
          <w:spacing w:val="-2"/>
          <w:w w:val="90"/>
          <w:sz w:val="24"/>
          <w:szCs w:val="24"/>
          <w:lang w:val="es"/>
        </w:rPr>
        <w:t xml:space="preserve"> las cuentas y constituir entidades separadas </w:t>
      </w:r>
      <w:r w:rsidRPr="00D470F4">
        <w:rPr>
          <w:rFonts w:ascii="Times New Roman" w:hAnsi="Times New Roman" w:cs="Times New Roman"/>
          <w:color w:val="231F20"/>
          <w:spacing w:val="-2"/>
          <w:sz w:val="24"/>
          <w:szCs w:val="24"/>
          <w:lang w:val="es"/>
        </w:rPr>
        <w:t>bajo propiedad distinta.</w:t>
      </w:r>
    </w:p>
    <w:p w14:paraId="3F55A5EB" w14:textId="77777777" w:rsidR="00132D23" w:rsidRPr="00D470F4" w:rsidRDefault="00132D23" w:rsidP="00132D23">
      <w:pPr>
        <w:pStyle w:val="Textoindependiente"/>
        <w:spacing w:line="480" w:lineRule="auto"/>
        <w:rPr>
          <w:rFonts w:ascii="Times New Roman" w:hAnsi="Times New Roman" w:cs="Times New Roman"/>
          <w:sz w:val="24"/>
          <w:szCs w:val="24"/>
        </w:rPr>
      </w:pPr>
      <w:r w:rsidRPr="00D470F4">
        <w:rPr>
          <w:rFonts w:ascii="Times New Roman" w:hAnsi="Times New Roman" w:cs="Times New Roman"/>
          <w:color w:val="231F20"/>
          <w:spacing w:val="-2"/>
          <w:w w:val="90"/>
          <w:sz w:val="24"/>
          <w:szCs w:val="24"/>
          <w:lang w:val="es"/>
        </w:rPr>
        <w:t xml:space="preserve">La competencia se define como la </w:t>
      </w:r>
      <w:proofErr w:type="gramStart"/>
      <w:r w:rsidRPr="00D470F4">
        <w:rPr>
          <w:rFonts w:ascii="Times New Roman" w:hAnsi="Times New Roman" w:cs="Times New Roman"/>
          <w:color w:val="231F20"/>
          <w:spacing w:val="-2"/>
          <w:w w:val="90"/>
          <w:sz w:val="24"/>
          <w:szCs w:val="24"/>
          <w:lang w:val="es"/>
        </w:rPr>
        <w:t>coexistencia</w:t>
      </w:r>
      <w:r w:rsidRPr="00D470F4">
        <w:rPr>
          <w:rFonts w:ascii="Times New Roman" w:hAnsi="Times New Roman" w:cs="Times New Roman"/>
          <w:color w:val="231F20"/>
          <w:spacing w:val="-5"/>
          <w:w w:val="90"/>
          <w:sz w:val="24"/>
          <w:szCs w:val="24"/>
          <w:lang w:val="es"/>
        </w:rPr>
        <w:t xml:space="preserve"> </w:t>
      </w:r>
      <w:r w:rsidRPr="00D470F4">
        <w:rPr>
          <w:rFonts w:ascii="Times New Roman" w:hAnsi="Times New Roman" w:cs="Times New Roman"/>
          <w:sz w:val="24"/>
          <w:szCs w:val="24"/>
          <w:lang w:val="es"/>
        </w:rPr>
        <w:t xml:space="preserve"> de</w:t>
      </w:r>
      <w:proofErr w:type="gramEnd"/>
      <w:r w:rsidRPr="00D470F4">
        <w:rPr>
          <w:rFonts w:ascii="Times New Roman" w:hAnsi="Times New Roman" w:cs="Times New Roman"/>
          <w:sz w:val="24"/>
          <w:szCs w:val="24"/>
          <w:lang w:val="es"/>
        </w:rPr>
        <w:t xml:space="preserve"> </w:t>
      </w:r>
      <w:r w:rsidRPr="00D470F4">
        <w:rPr>
          <w:rFonts w:ascii="Times New Roman" w:hAnsi="Times New Roman" w:cs="Times New Roman"/>
          <w:color w:val="231F20"/>
          <w:w w:val="90"/>
          <w:sz w:val="24"/>
          <w:szCs w:val="24"/>
          <w:lang w:val="es"/>
        </w:rPr>
        <w:t xml:space="preserve"> múltiples proveedores de servicios en el mismo mercado (Foster et al. 2017). La competencia entre </w:t>
      </w:r>
      <w:r w:rsidRPr="00D470F4">
        <w:rPr>
          <w:rFonts w:ascii="Times New Roman" w:hAnsi="Times New Roman" w:cs="Times New Roman"/>
          <w:color w:val="231F20"/>
          <w:sz w:val="24"/>
          <w:szCs w:val="24"/>
          <w:lang w:val="es"/>
        </w:rPr>
        <w:t xml:space="preserve">los proveedores de servicios promueve la eficiencia y la </w:t>
      </w:r>
      <w:r w:rsidRPr="00D470F4">
        <w:rPr>
          <w:rFonts w:ascii="Times New Roman" w:hAnsi="Times New Roman" w:cs="Times New Roman"/>
          <w:color w:val="231F20"/>
          <w:spacing w:val="-4"/>
          <w:sz w:val="24"/>
          <w:szCs w:val="24"/>
          <w:lang w:val="es"/>
        </w:rPr>
        <w:t>innovación. Cuando varias empresas compiten</w:t>
      </w:r>
      <w:r w:rsidRPr="00D470F4">
        <w:rPr>
          <w:rFonts w:ascii="Times New Roman" w:hAnsi="Times New Roman" w:cs="Times New Roman"/>
          <w:color w:val="231F20"/>
          <w:spacing w:val="-2"/>
          <w:w w:val="90"/>
          <w:sz w:val="24"/>
          <w:szCs w:val="24"/>
          <w:lang w:val="es"/>
        </w:rPr>
        <w:t xml:space="preserve"> cara a cara por los consumidores</w:t>
      </w:r>
      <w:r w:rsidRPr="00D470F4">
        <w:rPr>
          <w:rFonts w:ascii="Times New Roman" w:hAnsi="Times New Roman" w:cs="Times New Roman"/>
          <w:sz w:val="24"/>
          <w:szCs w:val="24"/>
          <w:lang w:val="es"/>
        </w:rPr>
        <w:t xml:space="preserve">, surge </w:t>
      </w:r>
      <w:proofErr w:type="gramStart"/>
      <w:r w:rsidRPr="00D470F4">
        <w:rPr>
          <w:rFonts w:ascii="Times New Roman" w:hAnsi="Times New Roman" w:cs="Times New Roman"/>
          <w:sz w:val="24"/>
          <w:szCs w:val="24"/>
          <w:lang w:val="es"/>
        </w:rPr>
        <w:t xml:space="preserve">una </w:t>
      </w:r>
      <w:r w:rsidRPr="00D470F4">
        <w:rPr>
          <w:rFonts w:ascii="Times New Roman" w:hAnsi="Times New Roman" w:cs="Times New Roman"/>
          <w:color w:val="231F20"/>
          <w:spacing w:val="-2"/>
          <w:w w:val="90"/>
          <w:sz w:val="24"/>
          <w:szCs w:val="24"/>
          <w:lang w:val="es"/>
        </w:rPr>
        <w:t xml:space="preserve"> disciplina</w:t>
      </w:r>
      <w:proofErr w:type="gramEnd"/>
      <w:r w:rsidRPr="00D470F4">
        <w:rPr>
          <w:rFonts w:ascii="Times New Roman" w:hAnsi="Times New Roman" w:cs="Times New Roman"/>
          <w:sz w:val="24"/>
          <w:szCs w:val="24"/>
          <w:lang w:val="es"/>
        </w:rPr>
        <w:t xml:space="preserve"> de mercado </w:t>
      </w:r>
      <w:r w:rsidRPr="00D470F4">
        <w:rPr>
          <w:rFonts w:ascii="Times New Roman" w:hAnsi="Times New Roman" w:cs="Times New Roman"/>
          <w:color w:val="231F20"/>
          <w:spacing w:val="-6"/>
          <w:sz w:val="24"/>
          <w:szCs w:val="24"/>
          <w:lang w:val="es"/>
        </w:rPr>
        <w:t xml:space="preserve"> , junto con la presión para mantener </w:t>
      </w:r>
      <w:r w:rsidRPr="00D470F4">
        <w:rPr>
          <w:rFonts w:ascii="Times New Roman" w:hAnsi="Times New Roman" w:cs="Times New Roman"/>
          <w:color w:val="231F20"/>
          <w:spacing w:val="-4"/>
          <w:sz w:val="24"/>
          <w:szCs w:val="24"/>
          <w:lang w:val="es"/>
        </w:rPr>
        <w:t xml:space="preserve">los costos bajos a niveles eficientes y mejorar la </w:t>
      </w:r>
      <w:r w:rsidRPr="00D470F4">
        <w:rPr>
          <w:rFonts w:ascii="Times New Roman" w:hAnsi="Times New Roman" w:cs="Times New Roman"/>
          <w:color w:val="231F20"/>
          <w:spacing w:val="-6"/>
          <w:sz w:val="24"/>
          <w:szCs w:val="24"/>
          <w:lang w:val="es"/>
        </w:rPr>
        <w:t xml:space="preserve">calidad del servicio. Las grandes economías de escala </w:t>
      </w:r>
      <w:r w:rsidRPr="00D470F4">
        <w:rPr>
          <w:rFonts w:ascii="Times New Roman" w:hAnsi="Times New Roman" w:cs="Times New Roman"/>
          <w:color w:val="231F20"/>
          <w:spacing w:val="-4"/>
          <w:sz w:val="24"/>
          <w:szCs w:val="24"/>
          <w:lang w:val="es"/>
        </w:rPr>
        <w:t xml:space="preserve">en el sector eléctrico significan que las actividades clave </w:t>
      </w:r>
      <w:r w:rsidRPr="00D470F4">
        <w:rPr>
          <w:rFonts w:ascii="Times New Roman" w:hAnsi="Times New Roman" w:cs="Times New Roman"/>
          <w:color w:val="231F20"/>
          <w:w w:val="90"/>
          <w:sz w:val="24"/>
          <w:szCs w:val="24"/>
          <w:lang w:val="es"/>
        </w:rPr>
        <w:t xml:space="preserve">(por ejemplo, la transmisión) se consideran tradicionalmente </w:t>
      </w:r>
      <w:r w:rsidRPr="00D470F4">
        <w:rPr>
          <w:rFonts w:ascii="Times New Roman" w:hAnsi="Times New Roman" w:cs="Times New Roman"/>
          <w:color w:val="231F20"/>
          <w:sz w:val="24"/>
          <w:szCs w:val="24"/>
          <w:lang w:val="es"/>
        </w:rPr>
        <w:t xml:space="preserve">monopolios naturales, lo que hace ineficiente tener más de un proveedor. </w:t>
      </w:r>
      <w:r w:rsidRPr="00D470F4">
        <w:rPr>
          <w:rFonts w:ascii="Times New Roman" w:hAnsi="Times New Roman" w:cs="Times New Roman"/>
          <w:sz w:val="24"/>
          <w:szCs w:val="24"/>
          <w:lang w:val="es"/>
        </w:rPr>
        <w:t xml:space="preserve"> </w:t>
      </w:r>
      <w:r w:rsidRPr="00D470F4">
        <w:rPr>
          <w:rFonts w:ascii="Times New Roman" w:hAnsi="Times New Roman" w:cs="Times New Roman"/>
          <w:color w:val="231F20"/>
          <w:w w:val="90"/>
          <w:sz w:val="24"/>
          <w:szCs w:val="24"/>
          <w:lang w:val="es"/>
        </w:rPr>
        <w:t>Sin embargo, incluso bajo un monopolio natural, todavía es posible que diferentes empresas compitan</w:t>
      </w:r>
      <w:r w:rsidRPr="00D470F4">
        <w:rPr>
          <w:rFonts w:ascii="Times New Roman" w:hAnsi="Times New Roman" w:cs="Times New Roman"/>
          <w:color w:val="231F20"/>
          <w:spacing w:val="-2"/>
          <w:sz w:val="24"/>
          <w:szCs w:val="24"/>
          <w:lang w:val="es"/>
        </w:rPr>
        <w:t xml:space="preserve"> por el derecho a abastecer el mercado sobre una base de monopolio durante un cierto período de tiempo. </w:t>
      </w:r>
      <w:r w:rsidRPr="00D470F4">
        <w:rPr>
          <w:rFonts w:ascii="Times New Roman" w:hAnsi="Times New Roman" w:cs="Times New Roman"/>
          <w:sz w:val="24"/>
          <w:szCs w:val="24"/>
          <w:lang w:val="es"/>
        </w:rPr>
        <w:t xml:space="preserve"> </w:t>
      </w:r>
      <w:r w:rsidRPr="00D470F4">
        <w:rPr>
          <w:rFonts w:ascii="Times New Roman" w:hAnsi="Times New Roman" w:cs="Times New Roman"/>
          <w:color w:val="231F20"/>
          <w:w w:val="90"/>
          <w:sz w:val="24"/>
          <w:szCs w:val="24"/>
          <w:lang w:val="es"/>
        </w:rPr>
        <w:t xml:space="preserve">Por lo tanto, la liberalización del sector eléctrico se desarrolla a menudo en etapas graduales, </w:t>
      </w:r>
      <w:proofErr w:type="spellStart"/>
      <w:r w:rsidRPr="00D470F4">
        <w:rPr>
          <w:rFonts w:ascii="Times New Roman" w:hAnsi="Times New Roman" w:cs="Times New Roman"/>
          <w:color w:val="231F20"/>
          <w:w w:val="90"/>
          <w:sz w:val="24"/>
          <w:szCs w:val="24"/>
          <w:lang w:val="es"/>
        </w:rPr>
        <w:t>comenzando</w:t>
      </w:r>
      <w:r w:rsidRPr="00D470F4">
        <w:rPr>
          <w:rFonts w:ascii="Times New Roman" w:hAnsi="Times New Roman" w:cs="Times New Roman"/>
          <w:color w:val="231F20"/>
          <w:sz w:val="24"/>
          <w:szCs w:val="24"/>
          <w:lang w:val="es"/>
        </w:rPr>
        <w:t>con</w:t>
      </w:r>
      <w:proofErr w:type="spellEnd"/>
      <w:r w:rsidRPr="00D470F4">
        <w:rPr>
          <w:rFonts w:ascii="Times New Roman" w:hAnsi="Times New Roman" w:cs="Times New Roman"/>
          <w:color w:val="231F20"/>
          <w:sz w:val="24"/>
          <w:szCs w:val="24"/>
          <w:lang w:val="es"/>
        </w:rPr>
        <w:t xml:space="preserve"> la apertura de la generación</w:t>
      </w:r>
      <w:r w:rsidRPr="00D470F4">
        <w:rPr>
          <w:rFonts w:ascii="Times New Roman" w:hAnsi="Times New Roman" w:cs="Times New Roman"/>
          <w:color w:val="231F20"/>
          <w:spacing w:val="-5"/>
          <w:sz w:val="24"/>
          <w:szCs w:val="24"/>
          <w:lang w:val="es"/>
        </w:rPr>
        <w:t xml:space="preserve"> a</w:t>
      </w:r>
      <w:r w:rsidRPr="00D470F4">
        <w:rPr>
          <w:rFonts w:ascii="Times New Roman" w:hAnsi="Times New Roman" w:cs="Times New Roman"/>
          <w:color w:val="231F20"/>
          <w:w w:val="90"/>
          <w:sz w:val="24"/>
          <w:szCs w:val="24"/>
          <w:lang w:val="es"/>
        </w:rPr>
        <w:t xml:space="preserve"> productores de energía independientes que compiten por el mercado. Eventualmente, puede pasar a </w:t>
      </w:r>
      <w:proofErr w:type="gramStart"/>
      <w:r w:rsidRPr="00D470F4">
        <w:rPr>
          <w:rFonts w:ascii="Times New Roman" w:hAnsi="Times New Roman" w:cs="Times New Roman"/>
          <w:color w:val="231F20"/>
          <w:w w:val="90"/>
          <w:sz w:val="24"/>
          <w:szCs w:val="24"/>
          <w:lang w:val="es"/>
        </w:rPr>
        <w:t xml:space="preserve">un </w:t>
      </w:r>
      <w:r w:rsidRPr="00D470F4">
        <w:rPr>
          <w:rFonts w:ascii="Times New Roman" w:hAnsi="Times New Roman" w:cs="Times New Roman"/>
          <w:sz w:val="24"/>
          <w:szCs w:val="24"/>
          <w:lang w:val="es"/>
        </w:rPr>
        <w:t xml:space="preserve"> modelo</w:t>
      </w:r>
      <w:proofErr w:type="gramEnd"/>
      <w:r w:rsidRPr="00D470F4">
        <w:rPr>
          <w:rFonts w:ascii="Times New Roman" w:hAnsi="Times New Roman" w:cs="Times New Roman"/>
          <w:sz w:val="24"/>
          <w:szCs w:val="24"/>
          <w:lang w:val="es"/>
        </w:rPr>
        <w:t xml:space="preserve"> completo de comprador único </w:t>
      </w:r>
      <w:r w:rsidRPr="00D470F4">
        <w:rPr>
          <w:rFonts w:ascii="Times New Roman" w:hAnsi="Times New Roman" w:cs="Times New Roman"/>
          <w:color w:val="231F20"/>
          <w:spacing w:val="-2"/>
          <w:sz w:val="24"/>
          <w:szCs w:val="24"/>
          <w:lang w:val="es"/>
        </w:rPr>
        <w:t xml:space="preserve">donde la generación se </w:t>
      </w:r>
      <w:r w:rsidRPr="00D470F4">
        <w:rPr>
          <w:rFonts w:ascii="Times New Roman" w:hAnsi="Times New Roman" w:cs="Times New Roman"/>
          <w:color w:val="231F20"/>
          <w:w w:val="90"/>
          <w:sz w:val="24"/>
          <w:szCs w:val="24"/>
          <w:lang w:val="es"/>
        </w:rPr>
        <w:t>desinvierte completamente de la empresa de servicios públicos establecida, y esta última actúa como comprador único</w:t>
      </w:r>
      <w:r w:rsidRPr="00D470F4">
        <w:rPr>
          <w:rFonts w:ascii="Times New Roman" w:hAnsi="Times New Roman" w:cs="Times New Roman"/>
          <w:sz w:val="24"/>
          <w:szCs w:val="24"/>
          <w:lang w:val="es"/>
        </w:rPr>
        <w:t xml:space="preserve"> de </w:t>
      </w:r>
      <w:r w:rsidRPr="00D470F4">
        <w:rPr>
          <w:rFonts w:ascii="Times New Roman" w:hAnsi="Times New Roman" w:cs="Times New Roman"/>
          <w:color w:val="231F20"/>
          <w:w w:val="90"/>
          <w:sz w:val="24"/>
          <w:szCs w:val="24"/>
          <w:lang w:val="es"/>
        </w:rPr>
        <w:t xml:space="preserve"> generación</w:t>
      </w:r>
      <w:r w:rsidRPr="00D470F4">
        <w:rPr>
          <w:rFonts w:ascii="Times New Roman" w:hAnsi="Times New Roman" w:cs="Times New Roman"/>
          <w:color w:val="231F20"/>
          <w:sz w:val="24"/>
          <w:szCs w:val="24"/>
          <w:lang w:val="es"/>
        </w:rPr>
        <w:t xml:space="preserve"> en nombre de los consumidores finales. La </w:t>
      </w:r>
      <w:proofErr w:type="gramStart"/>
      <w:r w:rsidRPr="00D470F4">
        <w:rPr>
          <w:rFonts w:ascii="Times New Roman" w:hAnsi="Times New Roman" w:cs="Times New Roman"/>
          <w:color w:val="231F20"/>
          <w:sz w:val="24"/>
          <w:szCs w:val="24"/>
          <w:lang w:val="es"/>
        </w:rPr>
        <w:t xml:space="preserve">siguiente </w:t>
      </w:r>
      <w:r w:rsidRPr="00D470F4">
        <w:rPr>
          <w:rFonts w:ascii="Times New Roman" w:hAnsi="Times New Roman" w:cs="Times New Roman"/>
          <w:sz w:val="24"/>
          <w:szCs w:val="24"/>
          <w:lang w:val="es"/>
        </w:rPr>
        <w:t xml:space="preserve"> etapa</w:t>
      </w:r>
      <w:proofErr w:type="gramEnd"/>
      <w:r w:rsidRPr="00D470F4">
        <w:rPr>
          <w:rFonts w:ascii="Times New Roman" w:hAnsi="Times New Roman" w:cs="Times New Roman"/>
          <w:sz w:val="24"/>
          <w:szCs w:val="24"/>
          <w:lang w:val="es"/>
        </w:rPr>
        <w:t xml:space="preserve">, una vez que el </w:t>
      </w:r>
      <w:r w:rsidRPr="00D470F4">
        <w:rPr>
          <w:rFonts w:ascii="Times New Roman" w:hAnsi="Times New Roman" w:cs="Times New Roman"/>
          <w:color w:val="231F20"/>
          <w:w w:val="90"/>
          <w:sz w:val="24"/>
          <w:szCs w:val="24"/>
          <w:lang w:val="es"/>
        </w:rPr>
        <w:t xml:space="preserve">segmento de transmisión se haya desagregado por completo, es permitir el </w:t>
      </w:r>
      <w:r w:rsidRPr="00D470F4">
        <w:rPr>
          <w:rFonts w:ascii="Times New Roman" w:hAnsi="Times New Roman" w:cs="Times New Roman"/>
          <w:sz w:val="24"/>
          <w:szCs w:val="24"/>
          <w:lang w:val="es"/>
        </w:rPr>
        <w:t xml:space="preserve"> acceso de terceros </w:t>
      </w:r>
      <w:r w:rsidRPr="00D470F4">
        <w:rPr>
          <w:rFonts w:ascii="Times New Roman" w:hAnsi="Times New Roman" w:cs="Times New Roman"/>
          <w:color w:val="231F20"/>
          <w:spacing w:val="-2"/>
          <w:w w:val="90"/>
          <w:sz w:val="24"/>
          <w:szCs w:val="24"/>
          <w:lang w:val="es"/>
        </w:rPr>
        <w:t xml:space="preserve">a la red eléctrica para que los grandes clientes puedan </w:t>
      </w:r>
      <w:r w:rsidRPr="00D470F4">
        <w:rPr>
          <w:rFonts w:ascii="Times New Roman" w:hAnsi="Times New Roman" w:cs="Times New Roman"/>
          <w:color w:val="231F20"/>
          <w:w w:val="90"/>
          <w:sz w:val="24"/>
          <w:szCs w:val="24"/>
          <w:lang w:val="es"/>
        </w:rPr>
        <w:t xml:space="preserve">comprar energía directamente de los generadores sobre una </w:t>
      </w:r>
      <w:r w:rsidRPr="00D470F4">
        <w:rPr>
          <w:rFonts w:ascii="Times New Roman" w:hAnsi="Times New Roman" w:cs="Times New Roman"/>
          <w:color w:val="231F20"/>
          <w:spacing w:val="-2"/>
          <w:w w:val="90"/>
          <w:sz w:val="24"/>
          <w:szCs w:val="24"/>
          <w:lang w:val="es"/>
        </w:rPr>
        <w:t xml:space="preserve">base negociada bilateralmente. A su debido tiempo, puede </w:t>
      </w:r>
      <w:r w:rsidRPr="00D470F4">
        <w:rPr>
          <w:rFonts w:ascii="Times New Roman" w:hAnsi="Times New Roman" w:cs="Times New Roman"/>
          <w:color w:val="231F20"/>
          <w:spacing w:val="-6"/>
          <w:sz w:val="24"/>
          <w:szCs w:val="24"/>
          <w:lang w:val="es"/>
        </w:rPr>
        <w:t xml:space="preserve">evolucionar hacia un mercado mayorista de energía, con un </w:t>
      </w:r>
      <w:r w:rsidRPr="00D470F4">
        <w:rPr>
          <w:rFonts w:ascii="Times New Roman" w:hAnsi="Times New Roman" w:cs="Times New Roman"/>
          <w:color w:val="231F20"/>
          <w:sz w:val="24"/>
          <w:szCs w:val="24"/>
          <w:lang w:val="es"/>
        </w:rPr>
        <w:t xml:space="preserve">mecanismo centralizado de fijación de precios y una variedad de contratos y productos que se intercambian. En algunos casos, un paso final </w:t>
      </w:r>
      <w:r w:rsidRPr="00D470F4">
        <w:rPr>
          <w:rFonts w:ascii="Times New Roman" w:hAnsi="Times New Roman" w:cs="Times New Roman"/>
          <w:color w:val="231F20"/>
          <w:spacing w:val="-2"/>
          <w:sz w:val="24"/>
          <w:szCs w:val="24"/>
          <w:lang w:val="es"/>
        </w:rPr>
        <w:t xml:space="preserve">desagregaría las funciones de distribución y venta al por </w:t>
      </w:r>
      <w:proofErr w:type="gramStart"/>
      <w:r w:rsidRPr="00D470F4">
        <w:rPr>
          <w:rFonts w:ascii="Times New Roman" w:hAnsi="Times New Roman" w:cs="Times New Roman"/>
          <w:color w:val="231F20"/>
          <w:spacing w:val="-2"/>
          <w:sz w:val="24"/>
          <w:szCs w:val="24"/>
          <w:lang w:val="es"/>
        </w:rPr>
        <w:t xml:space="preserve">menor </w:t>
      </w:r>
      <w:r w:rsidRPr="00D470F4">
        <w:rPr>
          <w:rFonts w:ascii="Times New Roman" w:hAnsi="Times New Roman" w:cs="Times New Roman"/>
          <w:sz w:val="24"/>
          <w:szCs w:val="24"/>
          <w:lang w:val="es"/>
        </w:rPr>
        <w:t xml:space="preserve"> de</w:t>
      </w:r>
      <w:proofErr w:type="gramEnd"/>
      <w:r w:rsidRPr="00D470F4">
        <w:rPr>
          <w:rFonts w:ascii="Times New Roman" w:hAnsi="Times New Roman" w:cs="Times New Roman"/>
          <w:sz w:val="24"/>
          <w:szCs w:val="24"/>
          <w:lang w:val="es"/>
        </w:rPr>
        <w:t xml:space="preserve"> </w:t>
      </w:r>
      <w:r w:rsidRPr="00D470F4">
        <w:rPr>
          <w:rFonts w:ascii="Times New Roman" w:hAnsi="Times New Roman" w:cs="Times New Roman"/>
          <w:color w:val="231F20"/>
          <w:w w:val="90"/>
          <w:sz w:val="24"/>
          <w:szCs w:val="24"/>
          <w:lang w:val="es"/>
        </w:rPr>
        <w:t xml:space="preserve">la empresa de servicios públicos, </w:t>
      </w:r>
      <w:r w:rsidRPr="00D470F4">
        <w:rPr>
          <w:rFonts w:ascii="Times New Roman" w:hAnsi="Times New Roman" w:cs="Times New Roman"/>
          <w:color w:val="231F20"/>
          <w:w w:val="90"/>
          <w:sz w:val="24"/>
          <w:szCs w:val="24"/>
          <w:lang w:val="es"/>
        </w:rPr>
        <w:lastRenderedPageBreak/>
        <w:t xml:space="preserve">permitiendo que esta última esté </w:t>
      </w:r>
      <w:r w:rsidRPr="00D470F4">
        <w:rPr>
          <w:rFonts w:ascii="Times New Roman" w:hAnsi="Times New Roman" w:cs="Times New Roman"/>
          <w:color w:val="231F20"/>
          <w:spacing w:val="-4"/>
          <w:sz w:val="24"/>
          <w:szCs w:val="24"/>
          <w:lang w:val="es"/>
        </w:rPr>
        <w:t>abierta a la competencia para el suministro de energía.</w:t>
      </w:r>
    </w:p>
    <w:p w14:paraId="53CB080E" w14:textId="77777777" w:rsidR="00132D23" w:rsidRPr="00D470F4" w:rsidRDefault="00132D23" w:rsidP="00132D23">
      <w:pPr>
        <w:pStyle w:val="Textoindependiente"/>
        <w:spacing w:line="480" w:lineRule="auto"/>
        <w:rPr>
          <w:rFonts w:ascii="Times New Roman" w:hAnsi="Times New Roman" w:cs="Times New Roman"/>
          <w:sz w:val="24"/>
          <w:szCs w:val="24"/>
        </w:rPr>
      </w:pPr>
      <w:r w:rsidRPr="00D470F4">
        <w:rPr>
          <w:rFonts w:ascii="Times New Roman" w:hAnsi="Times New Roman" w:cs="Times New Roman"/>
          <w:color w:val="231F20"/>
          <w:spacing w:val="-2"/>
          <w:w w:val="90"/>
          <w:sz w:val="24"/>
          <w:szCs w:val="24"/>
          <w:lang w:val="es"/>
        </w:rPr>
        <w:t>La participación del sector privado se define como la introducción de la gestión y</w:t>
      </w:r>
      <w:r w:rsidRPr="00D470F4">
        <w:rPr>
          <w:rFonts w:ascii="Times New Roman" w:hAnsi="Times New Roman" w:cs="Times New Roman"/>
          <w:color w:val="231F20"/>
          <w:spacing w:val="-5"/>
          <w:w w:val="90"/>
          <w:sz w:val="24"/>
          <w:szCs w:val="24"/>
          <w:lang w:val="es"/>
        </w:rPr>
        <w:t xml:space="preserve"> la</w:t>
      </w:r>
      <w:r w:rsidRPr="00D470F4">
        <w:rPr>
          <w:rFonts w:ascii="Times New Roman" w:hAnsi="Times New Roman" w:cs="Times New Roman"/>
          <w:sz w:val="24"/>
          <w:szCs w:val="24"/>
          <w:lang w:val="es"/>
        </w:rPr>
        <w:t xml:space="preserve"> </w:t>
      </w:r>
      <w:proofErr w:type="gramStart"/>
      <w:r w:rsidRPr="00D470F4">
        <w:rPr>
          <w:rFonts w:ascii="Times New Roman" w:hAnsi="Times New Roman" w:cs="Times New Roman"/>
          <w:sz w:val="24"/>
          <w:szCs w:val="24"/>
          <w:lang w:val="es"/>
        </w:rPr>
        <w:t xml:space="preserve">inversión </w:t>
      </w:r>
      <w:r w:rsidRPr="00D470F4">
        <w:rPr>
          <w:rFonts w:ascii="Times New Roman" w:hAnsi="Times New Roman" w:cs="Times New Roman"/>
          <w:color w:val="231F20"/>
          <w:spacing w:val="-2"/>
          <w:w w:val="90"/>
          <w:sz w:val="24"/>
          <w:szCs w:val="24"/>
          <w:lang w:val="es"/>
        </w:rPr>
        <w:t xml:space="preserve"> del</w:t>
      </w:r>
      <w:proofErr w:type="gramEnd"/>
      <w:r w:rsidRPr="00D470F4">
        <w:rPr>
          <w:rFonts w:ascii="Times New Roman" w:hAnsi="Times New Roman" w:cs="Times New Roman"/>
          <w:color w:val="231F20"/>
          <w:spacing w:val="-2"/>
          <w:w w:val="90"/>
          <w:sz w:val="24"/>
          <w:szCs w:val="24"/>
          <w:lang w:val="es"/>
        </w:rPr>
        <w:t xml:space="preserve"> sector privado</w:t>
      </w:r>
      <w:r w:rsidRPr="00D470F4">
        <w:rPr>
          <w:rFonts w:ascii="Times New Roman" w:hAnsi="Times New Roman" w:cs="Times New Roman"/>
          <w:color w:val="231F20"/>
          <w:w w:val="90"/>
          <w:sz w:val="24"/>
          <w:szCs w:val="24"/>
          <w:lang w:val="es"/>
        </w:rPr>
        <w:t xml:space="preserve">, ya sea a través de acuerdos contractuales temporales </w:t>
      </w:r>
      <w:r w:rsidRPr="00D470F4">
        <w:rPr>
          <w:rFonts w:ascii="Times New Roman" w:hAnsi="Times New Roman" w:cs="Times New Roman"/>
          <w:color w:val="231F20"/>
          <w:w w:val="85"/>
          <w:sz w:val="24"/>
          <w:szCs w:val="24"/>
          <w:lang w:val="es"/>
        </w:rPr>
        <w:t xml:space="preserve"> o ventas permanentes de activos </w:t>
      </w:r>
      <w:r w:rsidRPr="00D470F4">
        <w:rPr>
          <w:rFonts w:ascii="Times New Roman" w:hAnsi="Times New Roman" w:cs="Times New Roman"/>
          <w:color w:val="231F20"/>
          <w:spacing w:val="-2"/>
          <w:sz w:val="24"/>
          <w:szCs w:val="24"/>
          <w:lang w:val="es"/>
        </w:rPr>
        <w:t xml:space="preserve">(Foster et al. 2017). El modelo de reforma del sector eléctrico de la década de 1990 </w:t>
      </w:r>
      <w:r w:rsidRPr="00D470F4">
        <w:rPr>
          <w:rFonts w:ascii="Times New Roman" w:hAnsi="Times New Roman" w:cs="Times New Roman"/>
          <w:color w:val="231F20"/>
          <w:sz w:val="24"/>
          <w:szCs w:val="24"/>
          <w:lang w:val="es"/>
        </w:rPr>
        <w:t xml:space="preserve">presuponía que </w:t>
      </w:r>
      <w:proofErr w:type="gramStart"/>
      <w:r w:rsidRPr="00D470F4">
        <w:rPr>
          <w:rFonts w:ascii="Times New Roman" w:hAnsi="Times New Roman" w:cs="Times New Roman"/>
          <w:color w:val="231F20"/>
          <w:sz w:val="24"/>
          <w:szCs w:val="24"/>
          <w:lang w:val="es"/>
        </w:rPr>
        <w:t xml:space="preserve">la </w:t>
      </w:r>
      <w:r w:rsidRPr="00D470F4">
        <w:rPr>
          <w:rFonts w:ascii="Times New Roman" w:hAnsi="Times New Roman" w:cs="Times New Roman"/>
          <w:sz w:val="24"/>
          <w:szCs w:val="24"/>
          <w:lang w:val="es"/>
        </w:rPr>
        <w:t xml:space="preserve"> empresa</w:t>
      </w:r>
      <w:proofErr w:type="gramEnd"/>
      <w:r w:rsidRPr="00D470F4">
        <w:rPr>
          <w:rFonts w:ascii="Times New Roman" w:hAnsi="Times New Roman" w:cs="Times New Roman"/>
          <w:sz w:val="24"/>
          <w:szCs w:val="24"/>
          <w:lang w:val="es"/>
        </w:rPr>
        <w:t xml:space="preserve"> </w:t>
      </w:r>
      <w:r w:rsidRPr="00D470F4">
        <w:rPr>
          <w:rFonts w:ascii="Times New Roman" w:hAnsi="Times New Roman" w:cs="Times New Roman"/>
          <w:color w:val="231F20"/>
          <w:w w:val="90"/>
          <w:sz w:val="24"/>
          <w:szCs w:val="24"/>
          <w:lang w:val="es"/>
        </w:rPr>
        <w:t>eléctrica ya había sido corporativizada, es decir, separada de un departamento</w:t>
      </w:r>
      <w:r w:rsidRPr="00D470F4">
        <w:rPr>
          <w:rFonts w:ascii="Times New Roman" w:hAnsi="Times New Roman" w:cs="Times New Roman"/>
          <w:sz w:val="24"/>
          <w:szCs w:val="24"/>
          <w:lang w:val="es"/>
        </w:rPr>
        <w:t xml:space="preserve"> ministerial y </w:t>
      </w:r>
      <w:r w:rsidRPr="00D470F4">
        <w:rPr>
          <w:rFonts w:ascii="Times New Roman" w:hAnsi="Times New Roman" w:cs="Times New Roman"/>
          <w:color w:val="231F20"/>
          <w:w w:val="90"/>
          <w:sz w:val="24"/>
          <w:szCs w:val="24"/>
          <w:lang w:val="es"/>
        </w:rPr>
        <w:t xml:space="preserve"> constituida como una empresa estatal independiente que operaba con una orientación comercial y se regía por el derecho de sociedades. A partir de </w:t>
      </w:r>
      <w:proofErr w:type="gramStart"/>
      <w:r w:rsidRPr="00D470F4">
        <w:rPr>
          <w:rFonts w:ascii="Times New Roman" w:hAnsi="Times New Roman" w:cs="Times New Roman"/>
          <w:color w:val="231F20"/>
          <w:w w:val="90"/>
          <w:sz w:val="24"/>
          <w:szCs w:val="24"/>
          <w:lang w:val="es"/>
        </w:rPr>
        <w:t xml:space="preserve">entonces, </w:t>
      </w:r>
      <w:r w:rsidRPr="00D470F4">
        <w:rPr>
          <w:rFonts w:ascii="Times New Roman" w:hAnsi="Times New Roman" w:cs="Times New Roman"/>
          <w:sz w:val="24"/>
          <w:szCs w:val="24"/>
          <w:lang w:val="es"/>
        </w:rPr>
        <w:t xml:space="preserve"> la</w:t>
      </w:r>
      <w:proofErr w:type="gramEnd"/>
      <w:r w:rsidRPr="00D470F4">
        <w:rPr>
          <w:rFonts w:ascii="Times New Roman" w:hAnsi="Times New Roman" w:cs="Times New Roman"/>
          <w:sz w:val="24"/>
          <w:szCs w:val="24"/>
          <w:lang w:val="es"/>
        </w:rPr>
        <w:t xml:space="preserve"> </w:t>
      </w:r>
      <w:r w:rsidRPr="00D470F4">
        <w:rPr>
          <w:rFonts w:ascii="Times New Roman" w:hAnsi="Times New Roman" w:cs="Times New Roman"/>
          <w:color w:val="231F20"/>
          <w:spacing w:val="-2"/>
          <w:sz w:val="24"/>
          <w:szCs w:val="24"/>
          <w:lang w:val="es"/>
        </w:rPr>
        <w:t xml:space="preserve">participación del sector privado puede implementarse en </w:t>
      </w:r>
      <w:r w:rsidRPr="00D470F4">
        <w:rPr>
          <w:rFonts w:ascii="Times New Roman" w:hAnsi="Times New Roman" w:cs="Times New Roman"/>
          <w:color w:val="231F20"/>
          <w:spacing w:val="-2"/>
          <w:w w:val="90"/>
          <w:sz w:val="24"/>
          <w:szCs w:val="24"/>
          <w:lang w:val="es"/>
        </w:rPr>
        <w:t xml:space="preserve">diversos grados a lo largo de una serie de dimensiones. </w:t>
      </w:r>
      <w:r w:rsidRPr="00D470F4">
        <w:rPr>
          <w:rFonts w:ascii="Times New Roman" w:hAnsi="Times New Roman" w:cs="Times New Roman"/>
          <w:sz w:val="24"/>
          <w:szCs w:val="24"/>
          <w:lang w:val="es"/>
        </w:rPr>
        <w:t xml:space="preserve"> </w:t>
      </w:r>
      <w:r w:rsidRPr="00D470F4">
        <w:rPr>
          <w:rFonts w:ascii="Times New Roman" w:hAnsi="Times New Roman" w:cs="Times New Roman"/>
          <w:color w:val="231F20"/>
          <w:w w:val="85"/>
          <w:sz w:val="24"/>
          <w:szCs w:val="24"/>
          <w:lang w:val="es"/>
        </w:rPr>
        <w:t xml:space="preserve">En primer lugar, </w:t>
      </w:r>
      <w:proofErr w:type="gramStart"/>
      <w:r w:rsidRPr="00D470F4">
        <w:rPr>
          <w:rFonts w:ascii="Times New Roman" w:hAnsi="Times New Roman" w:cs="Times New Roman"/>
          <w:color w:val="231F20"/>
          <w:w w:val="85"/>
          <w:sz w:val="24"/>
          <w:szCs w:val="24"/>
          <w:lang w:val="es"/>
        </w:rPr>
        <w:t xml:space="preserve">el </w:t>
      </w:r>
      <w:r w:rsidRPr="00D470F4">
        <w:rPr>
          <w:rFonts w:ascii="Times New Roman" w:hAnsi="Times New Roman" w:cs="Times New Roman"/>
          <w:sz w:val="24"/>
          <w:szCs w:val="24"/>
          <w:lang w:val="es"/>
        </w:rPr>
        <w:t xml:space="preserve"> alcance</w:t>
      </w:r>
      <w:proofErr w:type="gramEnd"/>
      <w:r w:rsidRPr="00D470F4">
        <w:rPr>
          <w:rFonts w:ascii="Times New Roman" w:hAnsi="Times New Roman" w:cs="Times New Roman"/>
          <w:sz w:val="24"/>
          <w:szCs w:val="24"/>
          <w:lang w:val="es"/>
        </w:rPr>
        <w:t xml:space="preserve"> de la </w:t>
      </w:r>
      <w:r w:rsidRPr="00D470F4">
        <w:rPr>
          <w:rFonts w:ascii="Times New Roman" w:hAnsi="Times New Roman" w:cs="Times New Roman"/>
          <w:color w:val="231F20"/>
          <w:w w:val="85"/>
          <w:sz w:val="24"/>
          <w:szCs w:val="24"/>
          <w:lang w:val="es"/>
        </w:rPr>
        <w:t xml:space="preserve">participación varía en función </w:t>
      </w:r>
      <w:r w:rsidRPr="00D470F4">
        <w:rPr>
          <w:rFonts w:ascii="Times New Roman" w:hAnsi="Times New Roman" w:cs="Times New Roman"/>
          <w:color w:val="231F20"/>
          <w:sz w:val="24"/>
          <w:szCs w:val="24"/>
          <w:lang w:val="es"/>
        </w:rPr>
        <w:t xml:space="preserve">del alcance de la cadena de suministro de electricidad </w:t>
      </w:r>
      <w:r w:rsidRPr="00D470F4">
        <w:rPr>
          <w:rFonts w:ascii="Times New Roman" w:hAnsi="Times New Roman" w:cs="Times New Roman"/>
          <w:i/>
          <w:color w:val="231F20"/>
          <w:w w:val="85"/>
          <w:sz w:val="24"/>
          <w:szCs w:val="24"/>
          <w:lang w:val="es"/>
        </w:rPr>
        <w:t xml:space="preserve"> </w:t>
      </w:r>
      <w:r w:rsidRPr="00D470F4">
        <w:rPr>
          <w:rFonts w:ascii="Times New Roman" w:hAnsi="Times New Roman" w:cs="Times New Roman"/>
          <w:color w:val="231F20"/>
          <w:w w:val="90"/>
          <w:sz w:val="24"/>
          <w:szCs w:val="24"/>
          <w:lang w:val="es"/>
        </w:rPr>
        <w:t xml:space="preserve">afectada. La participación del sector privado </w:t>
      </w:r>
      <w:proofErr w:type="gramStart"/>
      <w:r w:rsidRPr="00D470F4">
        <w:rPr>
          <w:rFonts w:ascii="Times New Roman" w:hAnsi="Times New Roman" w:cs="Times New Roman"/>
          <w:color w:val="231F20"/>
          <w:w w:val="90"/>
          <w:sz w:val="24"/>
          <w:szCs w:val="24"/>
          <w:lang w:val="es"/>
        </w:rPr>
        <w:t xml:space="preserve">puede </w:t>
      </w:r>
      <w:r w:rsidRPr="00D470F4">
        <w:rPr>
          <w:rFonts w:ascii="Times New Roman" w:hAnsi="Times New Roman" w:cs="Times New Roman"/>
          <w:sz w:val="24"/>
          <w:szCs w:val="24"/>
          <w:lang w:val="es"/>
        </w:rPr>
        <w:t xml:space="preserve"> realizarse</w:t>
      </w:r>
      <w:proofErr w:type="gramEnd"/>
      <w:r w:rsidRPr="00D470F4">
        <w:rPr>
          <w:rFonts w:ascii="Times New Roman" w:hAnsi="Times New Roman" w:cs="Times New Roman"/>
          <w:sz w:val="24"/>
          <w:szCs w:val="24"/>
          <w:lang w:val="es"/>
        </w:rPr>
        <w:t xml:space="preserve"> </w:t>
      </w:r>
      <w:r w:rsidRPr="00D470F4">
        <w:rPr>
          <w:rFonts w:ascii="Times New Roman" w:hAnsi="Times New Roman" w:cs="Times New Roman"/>
          <w:color w:val="231F20"/>
          <w:w w:val="90"/>
          <w:sz w:val="24"/>
          <w:szCs w:val="24"/>
          <w:lang w:val="es"/>
        </w:rPr>
        <w:t>inicialmente</w:t>
      </w:r>
      <w:r w:rsidRPr="00D470F4">
        <w:rPr>
          <w:rFonts w:ascii="Times New Roman" w:hAnsi="Times New Roman" w:cs="Times New Roman"/>
          <w:sz w:val="24"/>
          <w:szCs w:val="24"/>
          <w:lang w:val="es"/>
        </w:rPr>
        <w:t xml:space="preserve"> en </w:t>
      </w:r>
      <w:r w:rsidRPr="00D470F4">
        <w:rPr>
          <w:rFonts w:ascii="Times New Roman" w:hAnsi="Times New Roman" w:cs="Times New Roman"/>
          <w:color w:val="231F20"/>
          <w:sz w:val="24"/>
          <w:szCs w:val="24"/>
          <w:lang w:val="es"/>
        </w:rPr>
        <w:t xml:space="preserve"> un segmento </w:t>
      </w:r>
      <w:r w:rsidRPr="00D470F4">
        <w:rPr>
          <w:rFonts w:ascii="Times New Roman" w:hAnsi="Times New Roman" w:cs="Times New Roman"/>
          <w:sz w:val="24"/>
          <w:szCs w:val="24"/>
          <w:lang w:val="es"/>
        </w:rPr>
        <w:t xml:space="preserve"> de la </w:t>
      </w:r>
      <w:r w:rsidRPr="00D470F4">
        <w:rPr>
          <w:rFonts w:ascii="Times New Roman" w:hAnsi="Times New Roman" w:cs="Times New Roman"/>
          <w:color w:val="231F20"/>
          <w:w w:val="90"/>
          <w:sz w:val="24"/>
          <w:szCs w:val="24"/>
          <w:lang w:val="es"/>
        </w:rPr>
        <w:t xml:space="preserve">cadena de suministro, a menudo de generación, pero no necesariamente </w:t>
      </w:r>
      <w:r w:rsidRPr="00D470F4">
        <w:rPr>
          <w:rFonts w:ascii="Times New Roman" w:hAnsi="Times New Roman" w:cs="Times New Roman"/>
          <w:color w:val="231F20"/>
          <w:spacing w:val="-2"/>
          <w:w w:val="90"/>
          <w:sz w:val="24"/>
          <w:szCs w:val="24"/>
          <w:lang w:val="es"/>
        </w:rPr>
        <w:t>en otro, como la distribución. En segundo lugar</w:t>
      </w:r>
      <w:r w:rsidRPr="00D470F4">
        <w:rPr>
          <w:rFonts w:ascii="Times New Roman" w:hAnsi="Times New Roman" w:cs="Times New Roman"/>
          <w:sz w:val="24"/>
          <w:szCs w:val="24"/>
          <w:lang w:val="es"/>
        </w:rPr>
        <w:t xml:space="preserve">, </w:t>
      </w:r>
      <w:r w:rsidRPr="00D470F4">
        <w:rPr>
          <w:rFonts w:ascii="Times New Roman" w:hAnsi="Times New Roman" w:cs="Times New Roman"/>
          <w:color w:val="231F20"/>
          <w:w w:val="90"/>
          <w:sz w:val="24"/>
          <w:szCs w:val="24"/>
          <w:lang w:val="es"/>
        </w:rPr>
        <w:t xml:space="preserve">puede afectar a algunas, pero no a todas, las empresas de un </w:t>
      </w:r>
      <w:r w:rsidRPr="00D470F4">
        <w:rPr>
          <w:rFonts w:ascii="Times New Roman" w:hAnsi="Times New Roman" w:cs="Times New Roman"/>
          <w:color w:val="231F20"/>
          <w:sz w:val="24"/>
          <w:szCs w:val="24"/>
          <w:lang w:val="es"/>
        </w:rPr>
        <w:t xml:space="preserve">segmento de suministro en particular. Por ejemplo, un </w:t>
      </w:r>
      <w:r w:rsidRPr="00D470F4">
        <w:rPr>
          <w:rFonts w:ascii="Times New Roman" w:hAnsi="Times New Roman" w:cs="Times New Roman"/>
          <w:color w:val="231F20"/>
          <w:spacing w:val="-6"/>
          <w:sz w:val="24"/>
          <w:szCs w:val="24"/>
          <w:lang w:val="es"/>
        </w:rPr>
        <w:t>país puede privatizar algunas de sus plantas de generación</w:t>
      </w:r>
      <w:r w:rsidRPr="00D470F4">
        <w:rPr>
          <w:rFonts w:ascii="Times New Roman" w:hAnsi="Times New Roman" w:cs="Times New Roman"/>
          <w:color w:val="231F20"/>
          <w:sz w:val="24"/>
          <w:szCs w:val="24"/>
          <w:lang w:val="es"/>
        </w:rPr>
        <w:t xml:space="preserve">, pero dejar las otras bajo propiedad pública. La </w:t>
      </w:r>
      <w:proofErr w:type="gramStart"/>
      <w:r w:rsidRPr="00D470F4">
        <w:rPr>
          <w:rFonts w:ascii="Times New Roman" w:hAnsi="Times New Roman" w:cs="Times New Roman"/>
          <w:i/>
          <w:color w:val="231F20"/>
          <w:sz w:val="24"/>
          <w:szCs w:val="24"/>
          <w:lang w:val="es"/>
        </w:rPr>
        <w:t xml:space="preserve">cobertura </w:t>
      </w:r>
      <w:r w:rsidRPr="00D470F4">
        <w:rPr>
          <w:rFonts w:ascii="Times New Roman" w:hAnsi="Times New Roman" w:cs="Times New Roman"/>
          <w:sz w:val="24"/>
          <w:szCs w:val="24"/>
          <w:lang w:val="es"/>
        </w:rPr>
        <w:t xml:space="preserve"> de</w:t>
      </w:r>
      <w:proofErr w:type="gramEnd"/>
      <w:r w:rsidRPr="00D470F4">
        <w:rPr>
          <w:rFonts w:ascii="Times New Roman" w:hAnsi="Times New Roman" w:cs="Times New Roman"/>
          <w:sz w:val="24"/>
          <w:szCs w:val="24"/>
          <w:lang w:val="es"/>
        </w:rPr>
        <w:t xml:space="preserve"> la participación </w:t>
      </w:r>
      <w:r w:rsidRPr="00D470F4">
        <w:rPr>
          <w:rFonts w:ascii="Times New Roman" w:hAnsi="Times New Roman" w:cs="Times New Roman"/>
          <w:color w:val="231F20"/>
          <w:sz w:val="24"/>
          <w:szCs w:val="24"/>
          <w:lang w:val="es"/>
        </w:rPr>
        <w:t xml:space="preserve">del sector </w:t>
      </w:r>
      <w:r w:rsidRPr="00D470F4">
        <w:rPr>
          <w:rFonts w:ascii="Times New Roman" w:hAnsi="Times New Roman" w:cs="Times New Roman"/>
          <w:sz w:val="24"/>
          <w:szCs w:val="24"/>
          <w:lang w:val="es"/>
        </w:rPr>
        <w:t xml:space="preserve"> privado </w:t>
      </w:r>
      <w:r w:rsidRPr="00D470F4">
        <w:rPr>
          <w:rFonts w:ascii="Times New Roman" w:hAnsi="Times New Roman" w:cs="Times New Roman"/>
          <w:color w:val="231F20"/>
          <w:spacing w:val="-2"/>
          <w:sz w:val="24"/>
          <w:szCs w:val="24"/>
          <w:lang w:val="es"/>
        </w:rPr>
        <w:t xml:space="preserve">puede medirse </w:t>
      </w:r>
      <w:r w:rsidRPr="00D470F4">
        <w:rPr>
          <w:rFonts w:ascii="Times New Roman" w:hAnsi="Times New Roman" w:cs="Times New Roman"/>
          <w:sz w:val="24"/>
          <w:szCs w:val="24"/>
          <w:lang w:val="es"/>
        </w:rPr>
        <w:t xml:space="preserve"> para </w:t>
      </w:r>
      <w:r w:rsidRPr="00D470F4">
        <w:rPr>
          <w:rFonts w:ascii="Times New Roman" w:hAnsi="Times New Roman" w:cs="Times New Roman"/>
          <w:color w:val="231F20"/>
          <w:w w:val="90"/>
          <w:sz w:val="24"/>
          <w:szCs w:val="24"/>
          <w:lang w:val="es"/>
        </w:rPr>
        <w:t>la generación de acuerdo con el porcentaje de capacidad bajo control privado, y para la distribución por el porcentaje</w:t>
      </w:r>
      <w:r w:rsidRPr="00D470F4">
        <w:rPr>
          <w:rFonts w:ascii="Times New Roman" w:hAnsi="Times New Roman" w:cs="Times New Roman"/>
          <w:sz w:val="24"/>
          <w:szCs w:val="24"/>
          <w:lang w:val="es"/>
        </w:rPr>
        <w:t xml:space="preserve"> de </w:t>
      </w:r>
      <w:r w:rsidRPr="00D470F4">
        <w:rPr>
          <w:rFonts w:ascii="Times New Roman" w:hAnsi="Times New Roman" w:cs="Times New Roman"/>
          <w:color w:val="231F20"/>
          <w:w w:val="90"/>
          <w:sz w:val="24"/>
          <w:szCs w:val="24"/>
          <w:lang w:val="es"/>
        </w:rPr>
        <w:t xml:space="preserve"> las empresas de distribución bajo </w:t>
      </w:r>
      <w:r w:rsidRPr="00D470F4">
        <w:rPr>
          <w:rFonts w:ascii="Times New Roman" w:hAnsi="Times New Roman" w:cs="Times New Roman"/>
          <w:sz w:val="24"/>
          <w:szCs w:val="24"/>
          <w:lang w:val="es"/>
        </w:rPr>
        <w:t xml:space="preserve"> control </w:t>
      </w:r>
      <w:r w:rsidRPr="00D470F4">
        <w:rPr>
          <w:rFonts w:ascii="Times New Roman" w:hAnsi="Times New Roman" w:cs="Times New Roman"/>
          <w:color w:val="231F20"/>
          <w:w w:val="90"/>
          <w:sz w:val="24"/>
          <w:szCs w:val="24"/>
          <w:lang w:val="es"/>
        </w:rPr>
        <w:t>privado. En tercer lugar</w:t>
      </w:r>
      <w:r w:rsidRPr="00D470F4">
        <w:rPr>
          <w:rFonts w:ascii="Times New Roman" w:hAnsi="Times New Roman" w:cs="Times New Roman"/>
          <w:sz w:val="24"/>
          <w:szCs w:val="24"/>
          <w:lang w:val="es"/>
        </w:rPr>
        <w:t xml:space="preserve">, la </w:t>
      </w:r>
      <w:r w:rsidRPr="00D470F4">
        <w:rPr>
          <w:rFonts w:ascii="Times New Roman" w:hAnsi="Times New Roman" w:cs="Times New Roman"/>
          <w:i/>
          <w:color w:val="231F20"/>
          <w:w w:val="90"/>
          <w:sz w:val="24"/>
          <w:szCs w:val="24"/>
          <w:lang w:val="es"/>
        </w:rPr>
        <w:t xml:space="preserve"> profundidad</w:t>
      </w:r>
      <w:r w:rsidRPr="00D470F4">
        <w:rPr>
          <w:rFonts w:ascii="Times New Roman" w:hAnsi="Times New Roman" w:cs="Times New Roman"/>
          <w:sz w:val="24"/>
          <w:szCs w:val="24"/>
          <w:lang w:val="es"/>
        </w:rPr>
        <w:t xml:space="preserve"> de la participación del sector privado </w:t>
      </w:r>
      <w:r w:rsidRPr="00D470F4">
        <w:rPr>
          <w:rFonts w:ascii="Times New Roman" w:hAnsi="Times New Roman" w:cs="Times New Roman"/>
          <w:color w:val="231F20"/>
          <w:spacing w:val="-6"/>
          <w:sz w:val="24"/>
          <w:szCs w:val="24"/>
          <w:lang w:val="es"/>
        </w:rPr>
        <w:t xml:space="preserve"> puede ir desde, por ejemplo, un </w:t>
      </w:r>
      <w:r w:rsidRPr="00D470F4">
        <w:rPr>
          <w:rFonts w:ascii="Times New Roman" w:hAnsi="Times New Roman" w:cs="Times New Roman"/>
          <w:sz w:val="24"/>
          <w:szCs w:val="24"/>
          <w:lang w:val="es"/>
        </w:rPr>
        <w:t xml:space="preserve"> contrato de gestión, en el que el sector privado </w:t>
      </w:r>
      <w:r w:rsidRPr="00D470F4">
        <w:rPr>
          <w:rFonts w:ascii="Times New Roman" w:hAnsi="Times New Roman" w:cs="Times New Roman"/>
          <w:color w:val="231F20"/>
          <w:w w:val="90"/>
          <w:sz w:val="24"/>
          <w:szCs w:val="24"/>
          <w:lang w:val="es"/>
        </w:rPr>
        <w:t xml:space="preserve"> no tiene responsabilidad </w:t>
      </w:r>
      <w:r w:rsidRPr="00D470F4">
        <w:rPr>
          <w:rFonts w:ascii="Times New Roman" w:hAnsi="Times New Roman" w:cs="Times New Roman"/>
          <w:sz w:val="24"/>
          <w:szCs w:val="24"/>
          <w:lang w:val="es"/>
        </w:rPr>
        <w:t xml:space="preserve"> por la inversión ni exposición alguna al riesgo comercial; a una concesión, en la que el </w:t>
      </w:r>
      <w:r w:rsidRPr="00D470F4">
        <w:rPr>
          <w:rFonts w:ascii="Times New Roman" w:hAnsi="Times New Roman" w:cs="Times New Roman"/>
          <w:color w:val="231F20"/>
          <w:spacing w:val="-2"/>
          <w:w w:val="90"/>
          <w:sz w:val="24"/>
          <w:szCs w:val="24"/>
          <w:lang w:val="es"/>
        </w:rPr>
        <w:t xml:space="preserve"> </w:t>
      </w:r>
      <w:r w:rsidRPr="00D470F4">
        <w:rPr>
          <w:rFonts w:ascii="Times New Roman" w:hAnsi="Times New Roman" w:cs="Times New Roman"/>
          <w:color w:val="231F20"/>
          <w:w w:val="90"/>
          <w:sz w:val="24"/>
          <w:szCs w:val="24"/>
          <w:lang w:val="es"/>
        </w:rPr>
        <w:t>sector</w:t>
      </w:r>
      <w:r w:rsidRPr="00D470F4">
        <w:rPr>
          <w:rFonts w:ascii="Times New Roman" w:hAnsi="Times New Roman" w:cs="Times New Roman"/>
          <w:sz w:val="24"/>
          <w:szCs w:val="24"/>
          <w:lang w:val="es"/>
        </w:rPr>
        <w:t xml:space="preserve"> </w:t>
      </w:r>
      <w:r w:rsidRPr="00D470F4">
        <w:rPr>
          <w:rFonts w:ascii="Times New Roman" w:hAnsi="Times New Roman" w:cs="Times New Roman"/>
          <w:color w:val="231F20"/>
          <w:w w:val="90"/>
          <w:sz w:val="24"/>
          <w:szCs w:val="24"/>
          <w:lang w:val="es"/>
        </w:rPr>
        <w:t>privado tiene una responsabilidad limitada en el tiempo por la inversión y la exposición</w:t>
      </w:r>
      <w:r w:rsidRPr="00D470F4">
        <w:rPr>
          <w:rFonts w:ascii="Times New Roman" w:hAnsi="Times New Roman" w:cs="Times New Roman"/>
          <w:color w:val="231F20"/>
          <w:spacing w:val="-2"/>
          <w:w w:val="90"/>
          <w:sz w:val="24"/>
          <w:szCs w:val="24"/>
          <w:lang w:val="es"/>
        </w:rPr>
        <w:t xml:space="preserve"> al riesgo comercial; a una desinversión, en </w:t>
      </w:r>
      <w:r w:rsidRPr="00D470F4">
        <w:rPr>
          <w:rFonts w:ascii="Times New Roman" w:hAnsi="Times New Roman" w:cs="Times New Roman"/>
          <w:sz w:val="24"/>
          <w:szCs w:val="24"/>
          <w:lang w:val="es"/>
        </w:rPr>
        <w:t xml:space="preserve"> la </w:t>
      </w:r>
      <w:r w:rsidRPr="00D470F4">
        <w:rPr>
          <w:rFonts w:ascii="Times New Roman" w:hAnsi="Times New Roman" w:cs="Times New Roman"/>
          <w:color w:val="231F20"/>
          <w:w w:val="90"/>
          <w:sz w:val="24"/>
          <w:szCs w:val="24"/>
          <w:lang w:val="es"/>
        </w:rPr>
        <w:t xml:space="preserve">que  </w:t>
      </w:r>
      <w:r w:rsidRPr="00D470F4">
        <w:rPr>
          <w:rFonts w:ascii="Times New Roman" w:hAnsi="Times New Roman" w:cs="Times New Roman"/>
          <w:color w:val="231F20"/>
          <w:sz w:val="24"/>
          <w:szCs w:val="24"/>
          <w:lang w:val="es"/>
        </w:rPr>
        <w:t xml:space="preserve">  El sector privado asume permanentemente </w:t>
      </w:r>
      <w:r w:rsidRPr="00D470F4">
        <w:rPr>
          <w:rFonts w:ascii="Times New Roman" w:hAnsi="Times New Roman" w:cs="Times New Roman"/>
          <w:color w:val="231F20"/>
          <w:w w:val="90"/>
          <w:sz w:val="24"/>
          <w:szCs w:val="24"/>
          <w:lang w:val="es"/>
        </w:rPr>
        <w:t xml:space="preserve">todas las responsabilidades y riesgos asociados con el suministro de electricidad. Aunque el modelo de reforma del decenio de 1990 alentó la participación del sector privado </w:t>
      </w:r>
      <w:r w:rsidRPr="00D470F4">
        <w:rPr>
          <w:rFonts w:ascii="Times New Roman" w:hAnsi="Times New Roman" w:cs="Times New Roman"/>
          <w:color w:val="231F20"/>
          <w:spacing w:val="-2"/>
          <w:w w:val="90"/>
          <w:sz w:val="24"/>
          <w:szCs w:val="24"/>
          <w:lang w:val="es"/>
        </w:rPr>
        <w:t xml:space="preserve">en la generación y distribución, no existía ninguna recomendación concomitante </w:t>
      </w:r>
      <w:r w:rsidRPr="00D470F4">
        <w:rPr>
          <w:rFonts w:ascii="Times New Roman" w:hAnsi="Times New Roman" w:cs="Times New Roman"/>
          <w:color w:val="231F20"/>
          <w:w w:val="90"/>
          <w:sz w:val="24"/>
          <w:szCs w:val="24"/>
          <w:lang w:val="es"/>
        </w:rPr>
        <w:t xml:space="preserve">para </w:t>
      </w:r>
      <w:proofErr w:type="gramStart"/>
      <w:r w:rsidRPr="00D470F4">
        <w:rPr>
          <w:rFonts w:ascii="Times New Roman" w:hAnsi="Times New Roman" w:cs="Times New Roman"/>
          <w:color w:val="231F20"/>
          <w:w w:val="90"/>
          <w:sz w:val="24"/>
          <w:szCs w:val="24"/>
          <w:lang w:val="es"/>
        </w:rPr>
        <w:t xml:space="preserve">el </w:t>
      </w:r>
      <w:r w:rsidRPr="00D470F4">
        <w:rPr>
          <w:rFonts w:ascii="Times New Roman" w:hAnsi="Times New Roman" w:cs="Times New Roman"/>
          <w:sz w:val="24"/>
          <w:szCs w:val="24"/>
          <w:lang w:val="es"/>
        </w:rPr>
        <w:t xml:space="preserve"> segmento</w:t>
      </w:r>
      <w:proofErr w:type="gramEnd"/>
      <w:r w:rsidRPr="00D470F4">
        <w:rPr>
          <w:rFonts w:ascii="Times New Roman" w:hAnsi="Times New Roman" w:cs="Times New Roman"/>
          <w:sz w:val="24"/>
          <w:szCs w:val="24"/>
          <w:lang w:val="es"/>
        </w:rPr>
        <w:t xml:space="preserve"> de transmisión</w:t>
      </w:r>
      <w:r w:rsidRPr="00D470F4">
        <w:rPr>
          <w:rFonts w:ascii="Times New Roman" w:hAnsi="Times New Roman" w:cs="Times New Roman"/>
          <w:color w:val="231F20"/>
          <w:sz w:val="24"/>
          <w:szCs w:val="24"/>
          <w:lang w:val="es"/>
        </w:rPr>
        <w:t xml:space="preserve">, </w:t>
      </w:r>
      <w:r w:rsidRPr="00D470F4">
        <w:rPr>
          <w:rFonts w:ascii="Times New Roman" w:hAnsi="Times New Roman" w:cs="Times New Roman"/>
          <w:color w:val="231F20"/>
          <w:sz w:val="24"/>
          <w:szCs w:val="24"/>
          <w:lang w:val="es"/>
        </w:rPr>
        <w:lastRenderedPageBreak/>
        <w:t xml:space="preserve">cuyas fuertes características de monopolio natural </w:t>
      </w:r>
      <w:r w:rsidRPr="00D470F4">
        <w:rPr>
          <w:rFonts w:ascii="Times New Roman" w:hAnsi="Times New Roman" w:cs="Times New Roman"/>
          <w:color w:val="231F20"/>
          <w:w w:val="90"/>
          <w:sz w:val="24"/>
          <w:szCs w:val="24"/>
          <w:lang w:val="es"/>
        </w:rPr>
        <w:t xml:space="preserve">y carácter estratégico parecían </w:t>
      </w:r>
      <w:r w:rsidRPr="00D470F4">
        <w:rPr>
          <w:rFonts w:ascii="Times New Roman" w:hAnsi="Times New Roman" w:cs="Times New Roman"/>
          <w:color w:val="231F20"/>
          <w:spacing w:val="-6"/>
          <w:sz w:val="24"/>
          <w:szCs w:val="24"/>
          <w:lang w:val="es"/>
        </w:rPr>
        <w:t>justificar la continuación de la propiedad pública.</w:t>
      </w:r>
    </w:p>
    <w:p w14:paraId="2F00D934" w14:textId="77777777" w:rsidR="00132D23" w:rsidRPr="00D470F4" w:rsidRDefault="00132D23" w:rsidP="00132D23">
      <w:pPr>
        <w:pStyle w:val="Textoindependiente"/>
        <w:spacing w:line="480" w:lineRule="auto"/>
        <w:rPr>
          <w:rFonts w:ascii="Times New Roman" w:hAnsi="Times New Roman" w:cs="Times New Roman"/>
          <w:sz w:val="24"/>
          <w:szCs w:val="24"/>
        </w:rPr>
      </w:pPr>
      <w:r w:rsidRPr="00D470F4">
        <w:rPr>
          <w:rFonts w:ascii="Times New Roman" w:hAnsi="Times New Roman" w:cs="Times New Roman"/>
          <w:color w:val="231F20"/>
          <w:sz w:val="24"/>
          <w:szCs w:val="24"/>
          <w:lang w:val="es"/>
        </w:rPr>
        <w:t>Es importante señalar que las</w:t>
      </w:r>
      <w:r w:rsidRPr="00D470F4">
        <w:rPr>
          <w:rFonts w:ascii="Times New Roman" w:hAnsi="Times New Roman" w:cs="Times New Roman"/>
          <w:color w:val="231F20"/>
          <w:spacing w:val="-2"/>
          <w:sz w:val="24"/>
          <w:szCs w:val="24"/>
          <w:lang w:val="es"/>
        </w:rPr>
        <w:t xml:space="preserve"> diversas</w:t>
      </w:r>
      <w:r w:rsidRPr="00D470F4">
        <w:rPr>
          <w:rFonts w:ascii="Times New Roman" w:hAnsi="Times New Roman" w:cs="Times New Roman"/>
          <w:color w:val="231F20"/>
          <w:w w:val="90"/>
          <w:sz w:val="24"/>
          <w:szCs w:val="24"/>
          <w:lang w:val="es"/>
        </w:rPr>
        <w:t xml:space="preserve"> medidas que constituyen el modelo de reforma del sector eléctrico de la década de 1990 se consideraron de apoyo mutuo </w:t>
      </w:r>
      <w:r w:rsidRPr="00D470F4">
        <w:rPr>
          <w:rFonts w:ascii="Times New Roman" w:hAnsi="Times New Roman" w:cs="Times New Roman"/>
          <w:color w:val="231F20"/>
          <w:sz w:val="24"/>
          <w:szCs w:val="24"/>
          <w:lang w:val="es"/>
        </w:rPr>
        <w:t xml:space="preserve">y destinadas a implementarse como un </w:t>
      </w:r>
      <w:r w:rsidRPr="00D470F4">
        <w:rPr>
          <w:rFonts w:ascii="Times New Roman" w:hAnsi="Times New Roman" w:cs="Times New Roman"/>
          <w:color w:val="231F20"/>
          <w:spacing w:val="-6"/>
          <w:sz w:val="24"/>
          <w:szCs w:val="24"/>
          <w:lang w:val="es"/>
        </w:rPr>
        <w:t xml:space="preserve">paquete (Bacon 2018). Algunas políticas tienen un </w:t>
      </w:r>
      <w:r w:rsidRPr="00D470F4">
        <w:rPr>
          <w:rFonts w:ascii="Times New Roman" w:hAnsi="Times New Roman" w:cs="Times New Roman"/>
          <w:color w:val="231F20"/>
          <w:w w:val="90"/>
          <w:sz w:val="24"/>
          <w:szCs w:val="24"/>
          <w:lang w:val="es"/>
        </w:rPr>
        <w:t xml:space="preserve">efecto directo, mientras que otras actúan como facilitadores, </w:t>
      </w:r>
      <w:r w:rsidRPr="00D470F4">
        <w:rPr>
          <w:rFonts w:ascii="Times New Roman" w:hAnsi="Times New Roman" w:cs="Times New Roman"/>
          <w:color w:val="231F20"/>
          <w:spacing w:val="-2"/>
          <w:sz w:val="24"/>
          <w:szCs w:val="24"/>
          <w:lang w:val="es"/>
        </w:rPr>
        <w:t xml:space="preserve">sin los cuales las políticas directas no pueden ser </w:t>
      </w:r>
      <w:r w:rsidRPr="00D470F4">
        <w:rPr>
          <w:rFonts w:ascii="Times New Roman" w:hAnsi="Times New Roman" w:cs="Times New Roman"/>
          <w:color w:val="231F20"/>
          <w:sz w:val="24"/>
          <w:szCs w:val="24"/>
          <w:lang w:val="es"/>
        </w:rPr>
        <w:t xml:space="preserve">eficaces. Por ejemplo, privatizar la empresa estatal </w:t>
      </w:r>
      <w:r w:rsidRPr="00D470F4">
        <w:rPr>
          <w:rFonts w:ascii="Times New Roman" w:hAnsi="Times New Roman" w:cs="Times New Roman"/>
          <w:color w:val="231F20"/>
          <w:w w:val="90"/>
          <w:sz w:val="24"/>
          <w:szCs w:val="24"/>
          <w:lang w:val="es"/>
        </w:rPr>
        <w:t>sin una reestructuración previa simplemente crearía</w:t>
      </w:r>
      <w:r w:rsidRPr="00D470F4">
        <w:rPr>
          <w:rFonts w:ascii="Times New Roman" w:hAnsi="Times New Roman" w:cs="Times New Roman"/>
          <w:color w:val="231F20"/>
          <w:spacing w:val="-10"/>
          <w:sz w:val="24"/>
          <w:szCs w:val="24"/>
          <w:lang w:val="es"/>
        </w:rPr>
        <w:t xml:space="preserve"> un monopolio privado en lugar de uno público. </w:t>
      </w:r>
      <w:r w:rsidRPr="00D470F4">
        <w:rPr>
          <w:rFonts w:ascii="Times New Roman" w:hAnsi="Times New Roman" w:cs="Times New Roman"/>
          <w:sz w:val="24"/>
          <w:szCs w:val="24"/>
          <w:lang w:val="es"/>
        </w:rPr>
        <w:t xml:space="preserve"> </w:t>
      </w:r>
      <w:r w:rsidRPr="00D470F4">
        <w:rPr>
          <w:rFonts w:ascii="Times New Roman" w:hAnsi="Times New Roman" w:cs="Times New Roman"/>
          <w:color w:val="231F20"/>
          <w:w w:val="90"/>
          <w:sz w:val="24"/>
          <w:szCs w:val="24"/>
          <w:lang w:val="es"/>
        </w:rPr>
        <w:t xml:space="preserve">En ausencia de regulación y competencia, los monopolios privados tienden a utilizar su poder monopólico </w:t>
      </w:r>
      <w:r w:rsidRPr="00D470F4">
        <w:rPr>
          <w:rFonts w:ascii="Times New Roman" w:hAnsi="Times New Roman" w:cs="Times New Roman"/>
          <w:color w:val="231F20"/>
          <w:spacing w:val="-2"/>
          <w:w w:val="90"/>
          <w:sz w:val="24"/>
          <w:szCs w:val="24"/>
          <w:lang w:val="es"/>
        </w:rPr>
        <w:t xml:space="preserve">para maximizar los beneficios mediante la restricción de la producción </w:t>
      </w:r>
      <w:r w:rsidRPr="00D470F4">
        <w:rPr>
          <w:rFonts w:ascii="Times New Roman" w:hAnsi="Times New Roman" w:cs="Times New Roman"/>
          <w:color w:val="231F20"/>
          <w:w w:val="90"/>
          <w:sz w:val="24"/>
          <w:szCs w:val="24"/>
          <w:lang w:val="es"/>
        </w:rPr>
        <w:t xml:space="preserve">a través de precios excesivos. Por lo tanto, absorben gran </w:t>
      </w:r>
      <w:proofErr w:type="gramStart"/>
      <w:r w:rsidRPr="00D470F4">
        <w:rPr>
          <w:rFonts w:ascii="Times New Roman" w:hAnsi="Times New Roman" w:cs="Times New Roman"/>
          <w:color w:val="231F20"/>
          <w:w w:val="90"/>
          <w:sz w:val="24"/>
          <w:szCs w:val="24"/>
          <w:lang w:val="es"/>
        </w:rPr>
        <w:t xml:space="preserve">parte </w:t>
      </w:r>
      <w:r w:rsidRPr="00D470F4">
        <w:rPr>
          <w:rFonts w:ascii="Times New Roman" w:hAnsi="Times New Roman" w:cs="Times New Roman"/>
          <w:sz w:val="24"/>
          <w:szCs w:val="24"/>
          <w:lang w:val="es"/>
        </w:rPr>
        <w:t xml:space="preserve"> de</w:t>
      </w:r>
      <w:proofErr w:type="gramEnd"/>
      <w:r w:rsidRPr="00D470F4">
        <w:rPr>
          <w:rFonts w:ascii="Times New Roman" w:hAnsi="Times New Roman" w:cs="Times New Roman"/>
          <w:sz w:val="24"/>
          <w:szCs w:val="24"/>
          <w:lang w:val="es"/>
        </w:rPr>
        <w:t xml:space="preserve"> la ganancia de la </w:t>
      </w:r>
      <w:r w:rsidRPr="00D470F4">
        <w:rPr>
          <w:rFonts w:ascii="Times New Roman" w:hAnsi="Times New Roman" w:cs="Times New Roman"/>
          <w:color w:val="231F20"/>
          <w:sz w:val="24"/>
          <w:szCs w:val="24"/>
          <w:lang w:val="es"/>
        </w:rPr>
        <w:t xml:space="preserve">mejora de la eficiencia </w:t>
      </w:r>
      <w:r w:rsidRPr="00D470F4">
        <w:rPr>
          <w:rFonts w:ascii="Times New Roman" w:hAnsi="Times New Roman" w:cs="Times New Roman"/>
          <w:color w:val="231F20"/>
          <w:w w:val="90"/>
          <w:sz w:val="24"/>
          <w:szCs w:val="24"/>
          <w:lang w:val="es"/>
        </w:rPr>
        <w:t xml:space="preserve">y producen pocos beneficios para los consumidores a pesar </w:t>
      </w:r>
      <w:r w:rsidRPr="00D470F4">
        <w:rPr>
          <w:rFonts w:ascii="Times New Roman" w:hAnsi="Times New Roman" w:cs="Times New Roman"/>
          <w:sz w:val="24"/>
          <w:szCs w:val="24"/>
          <w:lang w:val="es"/>
        </w:rPr>
        <w:t xml:space="preserve"> de que </w:t>
      </w:r>
      <w:r w:rsidRPr="00D470F4">
        <w:rPr>
          <w:rFonts w:ascii="Times New Roman" w:hAnsi="Times New Roman" w:cs="Times New Roman"/>
          <w:color w:val="231F20"/>
          <w:sz w:val="24"/>
          <w:szCs w:val="24"/>
          <w:lang w:val="es"/>
        </w:rPr>
        <w:t xml:space="preserve">los costos de producción se han </w:t>
      </w:r>
      <w:r w:rsidRPr="00D470F4">
        <w:rPr>
          <w:rFonts w:ascii="Times New Roman" w:hAnsi="Times New Roman" w:cs="Times New Roman"/>
          <w:color w:val="231F20"/>
          <w:spacing w:val="10"/>
          <w:sz w:val="24"/>
          <w:szCs w:val="24"/>
          <w:lang w:val="es"/>
        </w:rPr>
        <w:t xml:space="preserve">reducido. </w:t>
      </w:r>
      <w:r w:rsidRPr="00D470F4">
        <w:rPr>
          <w:rFonts w:ascii="Times New Roman" w:hAnsi="Times New Roman" w:cs="Times New Roman"/>
          <w:sz w:val="24"/>
          <w:szCs w:val="24"/>
          <w:lang w:val="es"/>
        </w:rPr>
        <w:t xml:space="preserve"> </w:t>
      </w:r>
      <w:r w:rsidRPr="00D470F4">
        <w:rPr>
          <w:rFonts w:ascii="Times New Roman" w:hAnsi="Times New Roman" w:cs="Times New Roman"/>
          <w:color w:val="231F20"/>
          <w:spacing w:val="-2"/>
          <w:w w:val="90"/>
          <w:sz w:val="24"/>
          <w:szCs w:val="24"/>
          <w:lang w:val="es"/>
        </w:rPr>
        <w:t>La competencia</w:t>
      </w:r>
      <w:r w:rsidRPr="00D470F4">
        <w:rPr>
          <w:rFonts w:ascii="Times New Roman" w:hAnsi="Times New Roman" w:cs="Times New Roman"/>
          <w:sz w:val="24"/>
          <w:szCs w:val="24"/>
          <w:lang w:val="es"/>
        </w:rPr>
        <w:t xml:space="preserve"> sirve para disciplinar </w:t>
      </w:r>
      <w:proofErr w:type="gramStart"/>
      <w:r w:rsidRPr="00D470F4">
        <w:rPr>
          <w:rFonts w:ascii="Times New Roman" w:hAnsi="Times New Roman" w:cs="Times New Roman"/>
          <w:sz w:val="24"/>
          <w:szCs w:val="24"/>
          <w:lang w:val="es"/>
        </w:rPr>
        <w:t xml:space="preserve">el </w:t>
      </w:r>
      <w:r w:rsidRPr="00D470F4">
        <w:rPr>
          <w:rFonts w:ascii="Times New Roman" w:hAnsi="Times New Roman" w:cs="Times New Roman"/>
          <w:color w:val="231F20"/>
          <w:spacing w:val="-2"/>
          <w:w w:val="90"/>
          <w:sz w:val="24"/>
          <w:szCs w:val="24"/>
          <w:lang w:val="es"/>
        </w:rPr>
        <w:t xml:space="preserve"> comportamiento</w:t>
      </w:r>
      <w:proofErr w:type="gramEnd"/>
      <w:r w:rsidRPr="00D470F4">
        <w:rPr>
          <w:rFonts w:ascii="Times New Roman" w:hAnsi="Times New Roman" w:cs="Times New Roman"/>
          <w:color w:val="231F20"/>
          <w:spacing w:val="-2"/>
          <w:w w:val="90"/>
          <w:sz w:val="24"/>
          <w:szCs w:val="24"/>
          <w:lang w:val="es"/>
        </w:rPr>
        <w:t xml:space="preserve"> abusivo</w:t>
      </w:r>
      <w:r w:rsidRPr="00D470F4">
        <w:rPr>
          <w:rFonts w:ascii="Times New Roman" w:hAnsi="Times New Roman" w:cs="Times New Roman"/>
          <w:sz w:val="24"/>
          <w:szCs w:val="24"/>
          <w:lang w:val="es"/>
        </w:rPr>
        <w:t xml:space="preserve"> y </w:t>
      </w:r>
      <w:r w:rsidRPr="00D470F4">
        <w:rPr>
          <w:rFonts w:ascii="Times New Roman" w:hAnsi="Times New Roman" w:cs="Times New Roman"/>
          <w:color w:val="231F20"/>
          <w:w w:val="90"/>
          <w:sz w:val="24"/>
          <w:szCs w:val="24"/>
          <w:lang w:val="es"/>
        </w:rPr>
        <w:t xml:space="preserve"> es posible gracias a una separación previa </w:t>
      </w:r>
      <w:r w:rsidRPr="00D470F4">
        <w:rPr>
          <w:rFonts w:ascii="Times New Roman" w:hAnsi="Times New Roman" w:cs="Times New Roman"/>
          <w:color w:val="231F20"/>
          <w:spacing w:val="-6"/>
          <w:sz w:val="24"/>
          <w:szCs w:val="24"/>
          <w:lang w:val="es"/>
        </w:rPr>
        <w:t>del sector; para los monopolios naturales,</w:t>
      </w:r>
      <w:r w:rsidRPr="00D470F4">
        <w:rPr>
          <w:rFonts w:ascii="Times New Roman" w:hAnsi="Times New Roman" w:cs="Times New Roman"/>
          <w:sz w:val="24"/>
          <w:szCs w:val="24"/>
          <w:lang w:val="es"/>
        </w:rPr>
        <w:t xml:space="preserve"> la </w:t>
      </w:r>
      <w:r w:rsidRPr="00D470F4">
        <w:rPr>
          <w:rFonts w:ascii="Times New Roman" w:hAnsi="Times New Roman" w:cs="Times New Roman"/>
          <w:color w:val="231F20"/>
          <w:spacing w:val="-6"/>
          <w:sz w:val="24"/>
          <w:szCs w:val="24"/>
          <w:lang w:val="es"/>
        </w:rPr>
        <w:t xml:space="preserve"> regulación puede redistribuir las ganancias entre los consumidores</w:t>
      </w:r>
      <w:r w:rsidRPr="00D470F4">
        <w:rPr>
          <w:rFonts w:ascii="Times New Roman" w:hAnsi="Times New Roman" w:cs="Times New Roman"/>
          <w:color w:val="231F20"/>
          <w:w w:val="90"/>
          <w:sz w:val="24"/>
          <w:szCs w:val="24"/>
          <w:lang w:val="es"/>
        </w:rPr>
        <w:t xml:space="preserve"> y el productor. La </w:t>
      </w:r>
      <w:proofErr w:type="gramStart"/>
      <w:r w:rsidRPr="00D470F4">
        <w:rPr>
          <w:rFonts w:ascii="Times New Roman" w:hAnsi="Times New Roman" w:cs="Times New Roman"/>
          <w:color w:val="231F20"/>
          <w:w w:val="90"/>
          <w:sz w:val="24"/>
          <w:szCs w:val="24"/>
          <w:lang w:val="es"/>
        </w:rPr>
        <w:t xml:space="preserve">separación </w:t>
      </w:r>
      <w:r w:rsidRPr="00D470F4">
        <w:rPr>
          <w:rFonts w:ascii="Times New Roman" w:hAnsi="Times New Roman" w:cs="Times New Roman"/>
          <w:sz w:val="24"/>
          <w:szCs w:val="24"/>
          <w:lang w:val="es"/>
        </w:rPr>
        <w:t xml:space="preserve"> sectorial</w:t>
      </w:r>
      <w:proofErr w:type="gramEnd"/>
      <w:r w:rsidRPr="00D470F4">
        <w:rPr>
          <w:rFonts w:ascii="Times New Roman" w:hAnsi="Times New Roman" w:cs="Times New Roman"/>
          <w:sz w:val="24"/>
          <w:szCs w:val="24"/>
          <w:lang w:val="es"/>
        </w:rPr>
        <w:t xml:space="preserve"> sin </w:t>
      </w:r>
      <w:r w:rsidRPr="00D470F4">
        <w:rPr>
          <w:rFonts w:ascii="Times New Roman" w:hAnsi="Times New Roman" w:cs="Times New Roman"/>
          <w:color w:val="231F20"/>
          <w:spacing w:val="-2"/>
          <w:sz w:val="24"/>
          <w:szCs w:val="24"/>
          <w:lang w:val="es"/>
        </w:rPr>
        <w:t xml:space="preserve">privatización simplemente multiplica </w:t>
      </w:r>
      <w:r w:rsidRPr="00D470F4">
        <w:rPr>
          <w:rFonts w:ascii="Times New Roman" w:hAnsi="Times New Roman" w:cs="Times New Roman"/>
          <w:sz w:val="24"/>
          <w:szCs w:val="24"/>
          <w:lang w:val="es"/>
        </w:rPr>
        <w:t xml:space="preserve"> el </w:t>
      </w:r>
      <w:r w:rsidRPr="00D470F4">
        <w:rPr>
          <w:rFonts w:ascii="Times New Roman" w:hAnsi="Times New Roman" w:cs="Times New Roman"/>
          <w:color w:val="231F20"/>
          <w:w w:val="90"/>
          <w:sz w:val="24"/>
          <w:szCs w:val="24"/>
          <w:lang w:val="es"/>
        </w:rPr>
        <w:t xml:space="preserve">número de empresas estatales en el sector sin </w:t>
      </w:r>
      <w:r w:rsidRPr="00D470F4">
        <w:rPr>
          <w:rFonts w:ascii="Times New Roman" w:hAnsi="Times New Roman" w:cs="Times New Roman"/>
          <w:sz w:val="24"/>
          <w:szCs w:val="24"/>
          <w:lang w:val="es"/>
        </w:rPr>
        <w:t xml:space="preserve"> afectar </w:t>
      </w:r>
      <w:r w:rsidRPr="00D470F4">
        <w:rPr>
          <w:rFonts w:ascii="Times New Roman" w:hAnsi="Times New Roman" w:cs="Times New Roman"/>
          <w:color w:val="231F20"/>
          <w:w w:val="90"/>
          <w:sz w:val="24"/>
          <w:szCs w:val="24"/>
          <w:lang w:val="es"/>
        </w:rPr>
        <w:t>fundamentalmente</w:t>
      </w:r>
      <w:r w:rsidRPr="00D470F4">
        <w:rPr>
          <w:rFonts w:ascii="Times New Roman" w:hAnsi="Times New Roman" w:cs="Times New Roman"/>
          <w:color w:val="231F20"/>
          <w:spacing w:val="-2"/>
          <w:w w:val="90"/>
          <w:sz w:val="24"/>
          <w:szCs w:val="24"/>
          <w:lang w:val="es"/>
        </w:rPr>
        <w:t xml:space="preserve"> a su rendimiento. O de </w:t>
      </w:r>
      <w:proofErr w:type="gramStart"/>
      <w:r w:rsidRPr="00D470F4">
        <w:rPr>
          <w:rFonts w:ascii="Times New Roman" w:hAnsi="Times New Roman" w:cs="Times New Roman"/>
          <w:color w:val="231F20"/>
          <w:spacing w:val="-2"/>
          <w:w w:val="90"/>
          <w:sz w:val="24"/>
          <w:szCs w:val="24"/>
          <w:lang w:val="es"/>
        </w:rPr>
        <w:t xml:space="preserve">nuevo, </w:t>
      </w:r>
      <w:r w:rsidRPr="00D470F4">
        <w:rPr>
          <w:rFonts w:ascii="Times New Roman" w:hAnsi="Times New Roman" w:cs="Times New Roman"/>
          <w:sz w:val="24"/>
          <w:szCs w:val="24"/>
          <w:lang w:val="es"/>
        </w:rPr>
        <w:t xml:space="preserve"> la</w:t>
      </w:r>
      <w:proofErr w:type="gramEnd"/>
      <w:r w:rsidRPr="00D470F4">
        <w:rPr>
          <w:rFonts w:ascii="Times New Roman" w:hAnsi="Times New Roman" w:cs="Times New Roman"/>
          <w:sz w:val="24"/>
          <w:szCs w:val="24"/>
          <w:lang w:val="es"/>
        </w:rPr>
        <w:t xml:space="preserve"> </w:t>
      </w:r>
      <w:r w:rsidRPr="00D470F4">
        <w:rPr>
          <w:rFonts w:ascii="Times New Roman" w:hAnsi="Times New Roman" w:cs="Times New Roman"/>
          <w:color w:val="231F20"/>
          <w:w w:val="90"/>
          <w:sz w:val="24"/>
          <w:szCs w:val="24"/>
          <w:lang w:val="es"/>
        </w:rPr>
        <w:t xml:space="preserve">regulación sin privatización esencialmente </w:t>
      </w:r>
      <w:r w:rsidRPr="00D470F4">
        <w:rPr>
          <w:rFonts w:ascii="Times New Roman" w:hAnsi="Times New Roman" w:cs="Times New Roman"/>
          <w:color w:val="231F20"/>
          <w:spacing w:val="-2"/>
          <w:sz w:val="24"/>
          <w:szCs w:val="24"/>
          <w:lang w:val="es"/>
        </w:rPr>
        <w:t>duplica el control de cualquier</w:t>
      </w:r>
      <w:r w:rsidRPr="00D470F4">
        <w:rPr>
          <w:rFonts w:ascii="Times New Roman" w:hAnsi="Times New Roman" w:cs="Times New Roman"/>
          <w:sz w:val="24"/>
          <w:szCs w:val="24"/>
          <w:lang w:val="es"/>
        </w:rPr>
        <w:t xml:space="preserve"> departamento </w:t>
      </w:r>
      <w:r w:rsidRPr="00D470F4">
        <w:rPr>
          <w:rFonts w:ascii="Times New Roman" w:hAnsi="Times New Roman" w:cs="Times New Roman"/>
          <w:color w:val="231F20"/>
          <w:spacing w:val="-2"/>
          <w:sz w:val="24"/>
          <w:szCs w:val="24"/>
          <w:lang w:val="es"/>
        </w:rPr>
        <w:t xml:space="preserve"> gubernamental</w:t>
      </w:r>
      <w:r w:rsidRPr="00D470F4">
        <w:rPr>
          <w:rFonts w:ascii="Times New Roman" w:hAnsi="Times New Roman" w:cs="Times New Roman"/>
          <w:sz w:val="24"/>
          <w:szCs w:val="24"/>
          <w:lang w:val="es"/>
        </w:rPr>
        <w:t xml:space="preserve"> responsable de </w:t>
      </w:r>
      <w:r w:rsidRPr="00D470F4">
        <w:rPr>
          <w:rFonts w:ascii="Times New Roman" w:hAnsi="Times New Roman" w:cs="Times New Roman"/>
          <w:color w:val="231F20"/>
          <w:sz w:val="24"/>
          <w:szCs w:val="24"/>
          <w:lang w:val="es"/>
        </w:rPr>
        <w:t xml:space="preserve"> las </w:t>
      </w:r>
      <w:r w:rsidRPr="00D470F4">
        <w:rPr>
          <w:rFonts w:ascii="Times New Roman" w:hAnsi="Times New Roman" w:cs="Times New Roman"/>
          <w:color w:val="231F20"/>
          <w:spacing w:val="-2"/>
          <w:w w:val="90"/>
          <w:sz w:val="24"/>
          <w:szCs w:val="24"/>
          <w:lang w:val="es"/>
        </w:rPr>
        <w:t xml:space="preserve">acciones de la empresa estatal. En resumen, todos los elementos del paquete de </w:t>
      </w:r>
      <w:r w:rsidRPr="00D470F4">
        <w:rPr>
          <w:rFonts w:ascii="Times New Roman" w:hAnsi="Times New Roman" w:cs="Times New Roman"/>
          <w:color w:val="231F20"/>
          <w:w w:val="90"/>
          <w:sz w:val="24"/>
          <w:szCs w:val="24"/>
          <w:lang w:val="es"/>
        </w:rPr>
        <w:t xml:space="preserve">reformas son necesarios para </w:t>
      </w:r>
      <w:proofErr w:type="spellStart"/>
      <w:r w:rsidRPr="00D470F4">
        <w:rPr>
          <w:rFonts w:ascii="Times New Roman" w:hAnsi="Times New Roman" w:cs="Times New Roman"/>
          <w:color w:val="231F20"/>
          <w:w w:val="90"/>
          <w:sz w:val="24"/>
          <w:szCs w:val="24"/>
          <w:lang w:val="es"/>
        </w:rPr>
        <w:t>que</w:t>
      </w:r>
      <w:r w:rsidRPr="00D470F4">
        <w:rPr>
          <w:rFonts w:ascii="Times New Roman" w:hAnsi="Times New Roman" w:cs="Times New Roman"/>
          <w:color w:val="231F20"/>
          <w:spacing w:val="-6"/>
          <w:sz w:val="24"/>
          <w:szCs w:val="24"/>
          <w:lang w:val="es"/>
        </w:rPr>
        <w:t>se</w:t>
      </w:r>
      <w:proofErr w:type="spellEnd"/>
      <w:r w:rsidRPr="00D470F4">
        <w:rPr>
          <w:rFonts w:ascii="Times New Roman" w:hAnsi="Times New Roman" w:cs="Times New Roman"/>
          <w:color w:val="231F20"/>
          <w:spacing w:val="-6"/>
          <w:sz w:val="24"/>
          <w:szCs w:val="24"/>
          <w:lang w:val="es"/>
        </w:rPr>
        <w:t xml:space="preserve"> materialicen todos los impactos del rendimiento.</w:t>
      </w:r>
    </w:p>
    <w:p w14:paraId="4A487838" w14:textId="403B3E4E" w:rsidR="003D31E4" w:rsidRPr="00D470F4" w:rsidRDefault="003D31E4" w:rsidP="00132D23">
      <w:pPr>
        <w:spacing w:line="480" w:lineRule="auto"/>
        <w:rPr>
          <w:rFonts w:ascii="Times New Roman" w:hAnsi="Times New Roman" w:cs="Times New Roman"/>
          <w:sz w:val="24"/>
          <w:szCs w:val="24"/>
        </w:rPr>
      </w:pPr>
      <w:r w:rsidRPr="00D470F4">
        <w:rPr>
          <w:rFonts w:ascii="Times New Roman" w:hAnsi="Times New Roman" w:cs="Times New Roman"/>
          <w:sz w:val="24"/>
          <w:szCs w:val="24"/>
        </w:rPr>
        <w:t>ARGENTINA</w:t>
      </w:r>
    </w:p>
    <w:p w14:paraId="77C2151C" w14:textId="77777777"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 xml:space="preserve">A lo largo de la década de 1990, Argentina fue testigo de una reestructuración muy dramática de sus políticas e instituciones económicas, sirviendo como modelo a nivel internacional para la implementación del llamado Consenso de Washington. Sin embargo, tras una década de apertura económico y reforma neoliberal, el experimento llegó a un </w:t>
      </w:r>
      <w:r w:rsidRPr="00D470F4">
        <w:rPr>
          <w:rFonts w:ascii="Times New Roman" w:hAnsi="Times New Roman" w:cs="Times New Roman"/>
          <w:sz w:val="24"/>
          <w:szCs w:val="24"/>
        </w:rPr>
        <w:lastRenderedPageBreak/>
        <w:t xml:space="preserve">punto de inflexión debido a una enorme catástrofe económica, social y política. A partir de entonces, el caso argentino se tomó crecientemente como evidencia de las consecuencias negativas que las reformas neoliberales podrían acarrear para economías emergentes, no solo en términos de desigualdad y exclusión, sino también en términos de desempeño económico agregado. </w:t>
      </w:r>
    </w:p>
    <w:p w14:paraId="6BB0C8F5" w14:textId="15309175"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 xml:space="preserve"> En este capítulo, analizaremos el contexto político económico de las reformas promercado que dieron lugar al gran cambio institucional en las reglas de juego del sector eléctrico. Estas reformas pondrían las bases sobre las que deberían adaptarse las distintas políticas de promoción de Energías Renovables no Convencionales en el país.</w:t>
      </w:r>
    </w:p>
    <w:p w14:paraId="241CE486" w14:textId="77777777"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Contexto: el camino hacia las reformas estructurales</w:t>
      </w:r>
    </w:p>
    <w:p w14:paraId="0377B03D" w14:textId="77777777"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Aunque la economía argentina se desarrolló a un ritmo respetable hasta 1974, el desempeño de la economía durante la época de la industrialización por sustitución de importaciones (ISI) fue mediocre en comparación. Como anticipaban las teorías de la convergencia del crecimiento, otras naciones latinoamericanas más pobres estaban alcanzando a Argentina. No obstante, Argentina se diferenció de naciones más desarrolladas como Australia, Canadá y Estados Unidos, por nombrar algunas.</w:t>
      </w:r>
    </w:p>
    <w:p w14:paraId="21B0D98C" w14:textId="77777777"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 xml:space="preserve">En los años posteriores a la Segunda Guerra Mundial, Argentina implementó un modelo ISI extremo. Todo el conjunto de instrumentos ISI se utilizó para impulsar la industrialización. En primer lugar, se manipuló la relación entre los precios internos y externos para salvaguardar la industria industrial. Esto se logró erigiendo obstáculos proteccionistas en forma de aranceles, cuotas de importación, licencias y prohibiciones, y gravando las exportaciones agrícolas. Para impulsar la industria, se estableció un complicado sistema de incentivos a la inversión (a través de subsidios y exenciones de impuestos). Existía una variedad de estructuras de reembolso para las exportaciones </w:t>
      </w:r>
      <w:r w:rsidRPr="00D470F4">
        <w:rPr>
          <w:rFonts w:ascii="Times New Roman" w:hAnsi="Times New Roman" w:cs="Times New Roman"/>
          <w:sz w:val="24"/>
          <w:szCs w:val="24"/>
        </w:rPr>
        <w:lastRenderedPageBreak/>
        <w:t>atípicas. Ciertas importaciones fueron excluidas de los aranceles y se promulgó una política de "compra nacional". La inversión directa del gobierno en sectores importantes fomentó la industrialización, en tercer lugar. Tarifas de usuario para servicios públicos a menudo establecidos para fomentar la industrialización. Finalmente, se controlaron las tasas de interés y los fabricantes recibieron crédito.</w:t>
      </w:r>
    </w:p>
    <w:p w14:paraId="18968AFB" w14:textId="77777777"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Desde la década de 1930, el sector público argentino ha sufrido un déficit estructural. Antes del inicio de la hiperinflación hacia fines de la década de 1980, estaba respaldada por una variedad de flujos de ingresos no tradicionales. El impuesto inflacionario desempeñó un papel crucial en la financiación del gasto público, ya que la inflación era persistentemente alta. Durante este tiempo, se estableció un sistema de pensiones de reparto y se convirtió en una fuente clave de financiación del gobierno. Naturalmente, inició operaciones con excedentes sustanciales. Sin embargo, cuando el número de jubilados comenzó a aumentar a mediados de la década de 1970, el sistema estableció un déficit estructural que se agravó con el tiempo.</w:t>
      </w:r>
    </w:p>
    <w:p w14:paraId="625E7EB9" w14:textId="77777777"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En el sector industrial protegido surgieron poderosos oligopolios. Esta evolución y la importancia de las empresas estatales llevaron a la formación de sindicatos sólidos. Durante la década de 1940, los gobiernos pro laboristas apoyaron a los sindicatos y promulgaron leyes laborales colectivas e individuales. Desde entonces, solo un sindicato por sector económico puede negociar convenios colectivos, y estos convenios se extienden legalmente a todos los empleados de ese sector económico. Posteriormente, permitir a los sindicatos la autoridad para administrar el sistema de seguro de salud de los trabajadores ("obras sociales") les dio una influencia sustancial y duradera (</w:t>
      </w:r>
      <w:proofErr w:type="spellStart"/>
      <w:r w:rsidRPr="00D470F4">
        <w:rPr>
          <w:rFonts w:ascii="Times New Roman" w:hAnsi="Times New Roman" w:cs="Times New Roman"/>
          <w:sz w:val="24"/>
          <w:szCs w:val="24"/>
        </w:rPr>
        <w:t>Galiani</w:t>
      </w:r>
      <w:proofErr w:type="spellEnd"/>
      <w:r w:rsidRPr="00D470F4">
        <w:rPr>
          <w:rFonts w:ascii="Times New Roman" w:hAnsi="Times New Roman" w:cs="Times New Roman"/>
          <w:sz w:val="24"/>
          <w:szCs w:val="24"/>
        </w:rPr>
        <w:t xml:space="preserve"> y </w:t>
      </w:r>
      <w:proofErr w:type="spellStart"/>
      <w:r w:rsidRPr="00D470F4">
        <w:rPr>
          <w:rFonts w:ascii="Times New Roman" w:hAnsi="Times New Roman" w:cs="Times New Roman"/>
          <w:sz w:val="24"/>
          <w:szCs w:val="24"/>
        </w:rPr>
        <w:t>Gerchunoff</w:t>
      </w:r>
      <w:proofErr w:type="spellEnd"/>
      <w:r w:rsidRPr="00D470F4">
        <w:rPr>
          <w:rFonts w:ascii="Times New Roman" w:hAnsi="Times New Roman" w:cs="Times New Roman"/>
          <w:sz w:val="24"/>
          <w:szCs w:val="24"/>
        </w:rPr>
        <w:t>, 2003).</w:t>
      </w:r>
    </w:p>
    <w:p w14:paraId="5E305A3E" w14:textId="77777777"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lastRenderedPageBreak/>
        <w:t>Ha surgido un antagonismo permanente entre el trabajo y el capital, las empresas urbanas y rurales y los sindicatos. El Estado asumió el papel de árbitro en una comunidad en conflicto. Inicialmente, esta posición arbitral era muy discrecional. Así, cada El sector intentó desarrollar estructuras institucionales para salvaguardar sus propias ganancias reales, imponiendo así una variedad de rigideces en la economía (</w:t>
      </w:r>
      <w:proofErr w:type="spellStart"/>
      <w:r w:rsidRPr="00D470F4">
        <w:rPr>
          <w:rFonts w:ascii="Times New Roman" w:hAnsi="Times New Roman" w:cs="Times New Roman"/>
          <w:sz w:val="24"/>
          <w:szCs w:val="24"/>
        </w:rPr>
        <w:t>Mallon</w:t>
      </w:r>
      <w:proofErr w:type="spellEnd"/>
      <w:r w:rsidRPr="00D470F4">
        <w:rPr>
          <w:rFonts w:ascii="Times New Roman" w:hAnsi="Times New Roman" w:cs="Times New Roman"/>
          <w:sz w:val="24"/>
          <w:szCs w:val="24"/>
        </w:rPr>
        <w:t xml:space="preserve"> y Sourrouille, 1975; O'Donnell, 1977). Todos estos intereses protegidos finalmente se transformaron en organizaciones de interés influyentes que resistieron cualquier reforma significativa del sistema económico. Incluso cuando este sistema condujo a grandes contradicciones económicas, fue muy difícil de modificar a nivel político. Se requirió una caída económica prolongada y una serie de crisis, que culminaron en el colapso total de la moneda, para dar lugar al cambio.</w:t>
      </w:r>
    </w:p>
    <w:p w14:paraId="0002F0F7" w14:textId="77777777"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La sustitución de importaciones resultó en la rápida expansión del sector industrial, pero las exportaciones no aumentaron mucho; esta fue la causa fundamental del estancamiento económico que condujo a la desaparición definitiva del modelo. La relación importaciones/PIB disminuyó constantemente con el tiempo, hasta que ya no fue concebible una mayor caída (ver Figura 2). En ese momento, la nación era muy susceptible a los choques externos.</w:t>
      </w:r>
    </w:p>
    <w:p w14:paraId="0BE2F18D" w14:textId="77777777"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Desde la crisis del dólar de 1969, cambios significativos en la situación internacional han dejado obsoleto el plan de desarrollo dirigido por el estado ISI. Además de la rápida expansión del comercio internacional que comenzó al finalizar la Segunda Guerra Mundial, aumentó la globalización de las finanzas y la producción. Sin embargo, ninguna nación latinoamericana mostró una adaptabilidad significativa a esta nueva realidad.</w:t>
      </w:r>
    </w:p>
    <w:p w14:paraId="1C595C15" w14:textId="77777777"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 xml:space="preserve">A principios de la década de 1970, un experimento populista (bajo la presidencia de Perón y posteriormente de su esposa) resultó en un caos económico y político. Fue reemplazado </w:t>
      </w:r>
      <w:r w:rsidRPr="00D470F4">
        <w:rPr>
          <w:rFonts w:ascii="Times New Roman" w:hAnsi="Times New Roman" w:cs="Times New Roman"/>
          <w:sz w:val="24"/>
          <w:szCs w:val="24"/>
        </w:rPr>
        <w:lastRenderedPageBreak/>
        <w:t>por un experimento militar disciplinario de arriba hacia abajo. El objetivo principal de la política económica era reducir la inflación. Esto requería reducir el déficit presupuestario (que solo se logró en parte) y las presiones salariales. Se implementó una agenda orientada al mercado con liberalización financiera y comercial. El gobierno buscó castigar a las empresas y los sindicatos (se reprimieron la negociación colectiva y otros derechos sindicales) (mediante la liberalización del comercio). Con el tiempo, la inercia inflacionaria y el predominio de los déficits presupuestarios hicieron insostenible el preanunciado régimen de devaluación progresiva del tipo de cambio. Entre 1979 y 1981, la fuga de capitales ascendió a alrededor del 20% del PIB, lo que dejó al gobierno (que había absorbido la deuda externa del sector privado) con una deuda externa sustancial que posteriormente afectó el desempeño económico de la nación.</w:t>
      </w:r>
    </w:p>
    <w:p w14:paraId="2B2E593C" w14:textId="77777777"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 xml:space="preserve">Después de tomar el relevo de la administración militar en 1983, el gobierno constitucional del presidente </w:t>
      </w:r>
      <w:proofErr w:type="spellStart"/>
      <w:r w:rsidRPr="00D470F4">
        <w:rPr>
          <w:rFonts w:ascii="Times New Roman" w:hAnsi="Times New Roman" w:cs="Times New Roman"/>
          <w:sz w:val="24"/>
          <w:szCs w:val="24"/>
        </w:rPr>
        <w:t>Alfonsón</w:t>
      </w:r>
      <w:proofErr w:type="spellEnd"/>
      <w:r w:rsidRPr="00D470F4">
        <w:rPr>
          <w:rFonts w:ascii="Times New Roman" w:hAnsi="Times New Roman" w:cs="Times New Roman"/>
          <w:sz w:val="24"/>
          <w:szCs w:val="24"/>
        </w:rPr>
        <w:t xml:space="preserve"> enfrentó el triple desafío de hacer frente a las crecientes obligaciones de la deuda externa, enfrentar levantamientos militares relacionados con violaciones de los derechos humanos y responder a las demandas de un pueblo recién liberado.</w:t>
      </w:r>
    </w:p>
    <w:p w14:paraId="2C2217BC" w14:textId="77777777"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 xml:space="preserve">El Plan Austral, un esfuerzo clave para estabilizar la economía, se promulgó en 1985. Fue un esfuerzo por combinar un ataque convencional a los fundamentos (principalmente la reducción del déficit presupuestario y su financiamiento monetario) con un congelamiento de salarios, precios, y tipos de cambio (después de una devaluación inicial). Con excepción de aquellos en mercados flexibles, todos los precios se congelaron en sus niveles previos al programa. Se creó una nueva moneda, el austral, y se vinculó al dólar. Por edicto, los salarios se establecieron a un nivel que compensara la inflación del mes anterior. Para evitar grandes redistribuciones de la riqueza como resultado de la caída </w:t>
      </w:r>
      <w:r w:rsidRPr="00D470F4">
        <w:rPr>
          <w:rFonts w:ascii="Times New Roman" w:hAnsi="Times New Roman" w:cs="Times New Roman"/>
          <w:sz w:val="24"/>
          <w:szCs w:val="24"/>
        </w:rPr>
        <w:lastRenderedPageBreak/>
        <w:t>de la inflación, se propuso una reforma monetaria para fijar el valor nominal de los pagos convenidos previamente.</w:t>
      </w:r>
    </w:p>
    <w:p w14:paraId="32F53EF8" w14:textId="77777777"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A pesar de su temprano éxito, la iniciativa tuvo varias dificultades. La inflación residual precipitó una caída precipitada de los salarios. Apenas un año después de su instalación, se relajaron las restricciones de precios, se permitió a los sindicatos negociar salarios y se restableció una paridad móvil en el tipo de cambio y los precios del sector público. Además, las medidas fiscales no se basaron en herramientas estables y la corrección fiscal fue solo temporal.</w:t>
      </w:r>
    </w:p>
    <w:p w14:paraId="057D885D" w14:textId="2E76A947"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Al final de la administración de Alfonsín, fracasó un nuevo esfuerzo por estabilizar la moneda vinculándola al dólar. Esta vez, un importante cambio de cartera hacia el dólar condujo a un debilitante proceso hiperinflacionario que precipitó la esperada transición de poder de Alfonsín al presidente electo.</w:t>
      </w:r>
    </w:p>
    <w:p w14:paraId="3BE50A36" w14:textId="77777777"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En la década de 1980, la economía argentina tuvo su peor desempeño desde el final de la Segunda Guerra Mundial (ver Figura 3). Las inversiones y los ahorros dejaron de existir. Entre 1980 y 1989, el PIB per cápita se redujo en casi un 20%. La tasa de inflación superó el 100 por ciento todos los años excepto en 1986. Tanto la deuda externa como la relación deuda-exportaciones aumentaron a un ritmo alarmante (ver Figura 3). La dolarización de la economía aumentó, aumentando así su inestabilidad financiera. El régimen de inflación desmedida progresó hacia la hiperinflación como resultado de las maxidevaluaciones y alzas desproporcionadas de los precios públicos.</w:t>
      </w:r>
    </w:p>
    <w:p w14:paraId="5CC59CD2" w14:textId="1948CDF4"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 xml:space="preserve">La estabilización era necesaria. Cuando una comunidad alcanza este nivel, las opciones parecen evidentes ("estabilizarse o no"), a pesar de que no son necesariamente fáciles de determinar, y mucho menos de implementar. Sin embargo, es innegable que la intensidad de las crisis constituyó un punto de inflexión. En contraste con la situación que enfrentó </w:t>
      </w:r>
      <w:r w:rsidRPr="00D470F4">
        <w:rPr>
          <w:rFonts w:ascii="Times New Roman" w:hAnsi="Times New Roman" w:cs="Times New Roman"/>
          <w:sz w:val="24"/>
          <w:szCs w:val="24"/>
        </w:rPr>
        <w:lastRenderedPageBreak/>
        <w:t xml:space="preserve">Alfonsín, Menem tenía más respiro </w:t>
      </w:r>
      <w:proofErr w:type="gramStart"/>
      <w:r w:rsidRPr="00D470F4">
        <w:rPr>
          <w:rFonts w:ascii="Times New Roman" w:hAnsi="Times New Roman" w:cs="Times New Roman"/>
          <w:sz w:val="24"/>
          <w:szCs w:val="24"/>
        </w:rPr>
        <w:t>político</w:t>
      </w:r>
      <w:proofErr w:type="gramEnd"/>
      <w:r w:rsidRPr="00D470F4">
        <w:rPr>
          <w:rFonts w:ascii="Times New Roman" w:hAnsi="Times New Roman" w:cs="Times New Roman"/>
          <w:sz w:val="24"/>
          <w:szCs w:val="24"/>
        </w:rPr>
        <w:t xml:space="preserve"> pero menos flexibilidad para elegir un plan de acción.</w:t>
      </w:r>
    </w:p>
    <w:p w14:paraId="399EED58" w14:textId="2B182C6E"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 xml:space="preserve">Así, una respuesta coherente no se estableció hasta después de una experiencia de dura hiperinflación. Fue así como la hiperinflación se convirtió en el punto de inflexión de un largo período de decadencia del antiguo sistema, y la estabilidad fue el eje del proceso de diseño de la reforma (Palermo y </w:t>
      </w:r>
      <w:proofErr w:type="spellStart"/>
      <w:r w:rsidRPr="00D470F4">
        <w:rPr>
          <w:rFonts w:ascii="Times New Roman" w:hAnsi="Times New Roman" w:cs="Times New Roman"/>
          <w:sz w:val="24"/>
          <w:szCs w:val="24"/>
        </w:rPr>
        <w:t>Novaro</w:t>
      </w:r>
      <w:proofErr w:type="spellEnd"/>
      <w:r w:rsidRPr="00D470F4">
        <w:rPr>
          <w:rFonts w:ascii="Times New Roman" w:hAnsi="Times New Roman" w:cs="Times New Roman"/>
          <w:sz w:val="24"/>
          <w:szCs w:val="24"/>
        </w:rPr>
        <w:t>, 1996).</w:t>
      </w:r>
    </w:p>
    <w:p w14:paraId="21040FA1" w14:textId="77777777"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II. Menem y las Reformas</w:t>
      </w:r>
    </w:p>
    <w:p w14:paraId="1AD5F7F5" w14:textId="77777777" w:rsidR="00D27A40"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 xml:space="preserve">A lo largo de la década de 1990, Argentina se convirtió en el emblema del </w:t>
      </w:r>
      <w:r w:rsidR="00D27A40" w:rsidRPr="00D470F4">
        <w:rPr>
          <w:rFonts w:ascii="Times New Roman" w:hAnsi="Times New Roman" w:cs="Times New Roman"/>
          <w:sz w:val="24"/>
          <w:szCs w:val="24"/>
        </w:rPr>
        <w:t>Consenso</w:t>
      </w:r>
      <w:r w:rsidRPr="00D470F4">
        <w:rPr>
          <w:rFonts w:ascii="Times New Roman" w:hAnsi="Times New Roman" w:cs="Times New Roman"/>
          <w:sz w:val="24"/>
          <w:szCs w:val="24"/>
        </w:rPr>
        <w:t xml:space="preserve"> de Washington debido a las reformas orientadas al mercado implementadas por la administración peronista del presidente Menem. Menem y su partido fueron vistos como candidatos poco probables para cambios orientados al mercado en ese momento. Según Rodrik (1993, 356), "</w:t>
      </w:r>
      <w:r w:rsidR="00D27A40" w:rsidRPr="00D470F4">
        <w:rPr>
          <w:rFonts w:ascii="Times New Roman" w:hAnsi="Times New Roman" w:cs="Times New Roman"/>
          <w:sz w:val="24"/>
          <w:szCs w:val="24"/>
        </w:rPr>
        <w:t>e</w:t>
      </w:r>
      <w:r w:rsidRPr="00D470F4">
        <w:rPr>
          <w:rFonts w:ascii="Times New Roman" w:hAnsi="Times New Roman" w:cs="Times New Roman"/>
          <w:sz w:val="24"/>
          <w:szCs w:val="24"/>
        </w:rPr>
        <w:t xml:space="preserve">s paradójico que estos cambios se implementaron bajo la presidencia de un peronista, Carlos Menem, porque el peronismo se ha asociado casi con el populismo y el proteccionismo". </w:t>
      </w:r>
    </w:p>
    <w:p w14:paraId="33D851FB" w14:textId="3C5AABC3"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 xml:space="preserve">En un año, las reformas argentinas ya habían superado las adoptadas durante décadas en las naciones de Asia oriental orientadas hacia el exterior, que habían servido durante mucho tiempo como modelo para países como Argentina. La conversión de Menem fue una sorpresa no sólo comparada con las expectativas históricas, sino también con sus (vagas pero populistas) declaraciones de campaña. Stokes (2001) ofrece un estudio exhaustivo de las variables que contribuyen a tal disparidad entre la retórica de campaña y la legislación real. En pocas palabras, Menem y su </w:t>
      </w:r>
      <w:r w:rsidR="00D27A40" w:rsidRPr="00D470F4">
        <w:rPr>
          <w:rFonts w:ascii="Times New Roman" w:hAnsi="Times New Roman" w:cs="Times New Roman"/>
          <w:sz w:val="24"/>
          <w:szCs w:val="24"/>
        </w:rPr>
        <w:t>equipo</w:t>
      </w:r>
      <w:r w:rsidRPr="00D470F4">
        <w:rPr>
          <w:rFonts w:ascii="Times New Roman" w:hAnsi="Times New Roman" w:cs="Times New Roman"/>
          <w:sz w:val="24"/>
          <w:szCs w:val="24"/>
        </w:rPr>
        <w:t xml:space="preserve"> se dieron cuenta de que los cambios orientados al mercado eran la mayor oportunidad contra la calamidad económica que se desarrollaba, pero creían </w:t>
      </w:r>
      <w:proofErr w:type="gramStart"/>
      <w:r w:rsidRPr="00D470F4">
        <w:rPr>
          <w:rFonts w:ascii="Times New Roman" w:hAnsi="Times New Roman" w:cs="Times New Roman"/>
          <w:sz w:val="24"/>
          <w:szCs w:val="24"/>
        </w:rPr>
        <w:t>que</w:t>
      </w:r>
      <w:proofErr w:type="gramEnd"/>
      <w:r w:rsidRPr="00D470F4">
        <w:rPr>
          <w:rFonts w:ascii="Times New Roman" w:hAnsi="Times New Roman" w:cs="Times New Roman"/>
          <w:sz w:val="24"/>
          <w:szCs w:val="24"/>
        </w:rPr>
        <w:t xml:space="preserve"> si revelaban esto durante la campaña, perderían las elecciones.</w:t>
      </w:r>
    </w:p>
    <w:p w14:paraId="0CCDD065" w14:textId="77777777"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lastRenderedPageBreak/>
        <w:t>Al asumir el poder en 1989, la administración lanzó ambiciosas iniciativas de privatización y liberalización del comercio. Las medidas de estabilización se empaquetaron con cambios estructurales, y se tomaron decisiones políticas en varios frentes teniendo en cuenta su efecto sobre los requisitos presupuestarios a corto plazo. Además, debido a la imagen del partido peronista, la administración se vio obligada a demostrar su compromiso con la vía reformista mediante la implementación de un patrón de cambio rápido y simultáneo en varios frentes.</w:t>
      </w:r>
    </w:p>
    <w:p w14:paraId="4EC06DBC" w14:textId="77777777"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A pesar de estos intentos, la estabilidad durante el primer período fracasó, lo que provocó el retorno de los eventos inflacionarios en 1990 y la salida de dos ministros de Economía. El Plan de Convertibilidad de 1991 marca el inicio de la fase más significativa de la reforma, que incluyó la reforma monetaria, la reforma fiscal (simplificación del sistema tributario y fortalecimiento de la agencia recaudadora de impuestos), la liberalización de los mercados internos y externos, y la expansión de la privatización programa. El nombramiento de Domingo Cavallo (y su equipo) en el Ministerio de Economía restableció la unidad y coherencia del esfuerzo de reforma. De 1988 a 1998, la Figura 4 representa nuestra estimación de la intensidad de la reforma por sector.</w:t>
      </w:r>
    </w:p>
    <w:p w14:paraId="473EA43B" w14:textId="77777777"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 xml:space="preserve">Los pasos antes mencionados condujeron inmediatamente a la estabilidad macroeconómica y al crecimiento económico. La combinación de una estabilidad basada en la paridad dura y la reintroducción del crédito resultó en un auge del consumo, que fue esencial para ganar el apoyo de la gente al nuevo camino. Al mismo tiempo que la economía comenzó a expandirse, resurgió el típico mal uso de los dineros públicos por razones políticas. En 1994, cuando estalló la Crisis del Tequila, se hizo notoria la fragilidad de las iniciativas de reforma. En ese momento, un nuevo sentimiento de crisis allanó el camino para la última ronda de cambios estructurales de la administración Menem, que incluyó iniciativas mal concebidas para expandir la flexibilidad del mercado </w:t>
      </w:r>
      <w:r w:rsidRPr="00D470F4">
        <w:rPr>
          <w:rFonts w:ascii="Times New Roman" w:hAnsi="Times New Roman" w:cs="Times New Roman"/>
          <w:sz w:val="24"/>
          <w:szCs w:val="24"/>
        </w:rPr>
        <w:lastRenderedPageBreak/>
        <w:t>laboral y la privatización de varios bancos y empresas provinciales. El temor a la inestabilidad económica ayudó a la reelección de Menem en 1995, basado en la creencia de que el presidente y su equipo eran los mejores navegantes en mares económicos turbulentos.</w:t>
      </w:r>
    </w:p>
    <w:p w14:paraId="492F4A98" w14:textId="77777777"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El gráfico 4 demuestra que el segundo gobierno de Menem (1995-1999), aunque mantuvo la retórica reformista, no avanzó mucho más. Esta desaceleración fue causada por el hecho de que "la próxima frontera" requería ir en contra del núcleo de la coalición que permitió la ronda anterior de cambios. Si bien los cambios implementados fueron un éxito significativo según los estándares argentinos, no cumplieron con los criterios del Consenso de Washington. Cambios significativos en los incentivos económicos coexistieron con la preservación de enclaves antiliberales, escasos avances a nivel provincial, estructuras monopólicas e ineficientes en algunos mercados (como el de la salud) y regulación laxa en ciertas industrias privatizadas.</w:t>
      </w:r>
    </w:p>
    <w:p w14:paraId="364D76EC" w14:textId="6A299186"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Una reforma exitosa requiere la creación de un</w:t>
      </w:r>
      <w:r w:rsidR="00D27A40" w:rsidRPr="00D470F4">
        <w:rPr>
          <w:rFonts w:ascii="Times New Roman" w:hAnsi="Times New Roman" w:cs="Times New Roman"/>
          <w:sz w:val="24"/>
          <w:szCs w:val="24"/>
        </w:rPr>
        <w:t xml:space="preserve">a coalición </w:t>
      </w:r>
      <w:r w:rsidRPr="00D470F4">
        <w:rPr>
          <w:rFonts w:ascii="Times New Roman" w:hAnsi="Times New Roman" w:cs="Times New Roman"/>
          <w:sz w:val="24"/>
          <w:szCs w:val="24"/>
        </w:rPr>
        <w:t>reformista dentro del gobierno, que debe reunir apoyo (resolviendo las dificultades de la acción colectiva) y neutralizar la resistencia. Todos estos procesos dependen de las condiciones históricas y del entorno institucional en el que ocurren.</w:t>
      </w:r>
    </w:p>
    <w:p w14:paraId="54D7FD12" w14:textId="38DEC8B2"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La crisis que atravesó Argentina a fines de la década de 1980 obligó al presidente a iniciar acciones conducentes a la estabilización económica, un bien colectivo cuya importancia relativa aumentó en este contexto. Como único actor político de la institucionalidad argentina elegido por una circunscripción nacional, el Ejecutivo Nacional es el actor institucional con los intereses más amplios y, por lo tanto, el actor más probable para iniciar tales reformas. Pero, ¿por qué Menem inició tal reforma?</w:t>
      </w:r>
    </w:p>
    <w:p w14:paraId="44EF0D51" w14:textId="4A97294A"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lastRenderedPageBreak/>
        <w:t>La literatura sobre reformas estructurales ha destacado la importancia de las crisis socioeconómicas en la creación de las circunstancias que, en ciertas políticas, pueden impulsar la viabilidad de la reforma estructural. La situación en Argentina parece apoyar esta idea. El liderazgo peronista, un actor improbable para liderar reformas estructurales a favor del mercado, concluyó justo antes de asumir el cargo que, dada la naturaleza y gravedad de la crisis socioeconómica argentina en ese momento (1989</w:t>
      </w:r>
      <w:r w:rsidR="00D27A40" w:rsidRPr="00D470F4">
        <w:rPr>
          <w:rFonts w:ascii="Times New Roman" w:hAnsi="Times New Roman" w:cs="Times New Roman"/>
          <w:sz w:val="24"/>
          <w:szCs w:val="24"/>
        </w:rPr>
        <w:t>), debía inclinarse por reformas promercado.</w:t>
      </w:r>
    </w:p>
    <w:p w14:paraId="21DEB6CB" w14:textId="77777777"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Reformas de la estructura como dispositivo de estabilización</w:t>
      </w:r>
    </w:p>
    <w:p w14:paraId="78173F77" w14:textId="77777777"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 xml:space="preserve">Al comienzo del gobierno de Menem, restaurar la estabilidad macroeconómica era una prioridad máxima. Esto requería cumplir con la aparente restricción presupuestaria </w:t>
      </w:r>
      <w:proofErr w:type="spellStart"/>
      <w:r w:rsidRPr="00D470F4">
        <w:rPr>
          <w:rFonts w:ascii="Times New Roman" w:hAnsi="Times New Roman" w:cs="Times New Roman"/>
          <w:sz w:val="24"/>
          <w:szCs w:val="24"/>
        </w:rPr>
        <w:t>intertemporal</w:t>
      </w:r>
      <w:proofErr w:type="spellEnd"/>
      <w:r w:rsidRPr="00D470F4">
        <w:rPr>
          <w:rFonts w:ascii="Times New Roman" w:hAnsi="Times New Roman" w:cs="Times New Roman"/>
          <w:sz w:val="24"/>
          <w:szCs w:val="24"/>
        </w:rPr>
        <w:t xml:space="preserve"> del gobierno sin depender mucho, si es que lo hacía, del impuesto inflacionario. También era esencial restaurar el desarrollo económico, que parecía necesitar la erradicación de algunas de las principales ineficiencias en la asignación de recursos. La mayoría de los economistas consideró que la interferencia de ISI debe disminuir y la economía debe incorporarse a la economía global.</w:t>
      </w:r>
    </w:p>
    <w:p w14:paraId="2EEAC180" w14:textId="77777777"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La estabilización no fue un esfuerzo sencillo. Dado el pasado, se requería una inversión total de las expectativas. Para establecer la credibilidad, se requería implementar un cambio importante en la estrategia y la política sobre los déficits presentes y futuros de una manera que fuera razonablemente vinculante. La estabilización también necesita un paquete de políticas que obligue a un ajuste abrupto en los patrones de conducta establecidos durante el período de inflación excesiva.</w:t>
      </w:r>
    </w:p>
    <w:p w14:paraId="7F0E1C58" w14:textId="77777777"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 xml:space="preserve">Los actores económicos enfrentaron una gran incertidumbre. ¿Podría el gobierno lograr la estabilidad económica? ¿Se podría mantener este equilibrio? ¿Qué cambios se promulgarían al final y a qué costo? ¿Cuál sería la política fiscal y monetaria de corto </w:t>
      </w:r>
      <w:r w:rsidRPr="00D470F4">
        <w:rPr>
          <w:rFonts w:ascii="Times New Roman" w:hAnsi="Times New Roman" w:cs="Times New Roman"/>
          <w:sz w:val="24"/>
          <w:szCs w:val="24"/>
        </w:rPr>
        <w:lastRenderedPageBreak/>
        <w:t>plazo? ¿Cuáles serían sus resultados a mediano y largo plazo? ¿Cuáles serían las nuevas reglas del juego con más detalle? Existen numerosos sistemas institucionales en la sociedad para mitigar este tipo de imprevisibilidad y asegurar la confiabilidad de las relaciones sociales y económicas. Argentina no dio estas certezas al inicio del período de reforma por varias razones; todo el enfoque de reforma (con la convertibilidad como piedra angular) fue un esfuerzo por brindar mayor certeza a la planificación económica.</w:t>
      </w:r>
    </w:p>
    <w:p w14:paraId="5B625BCC" w14:textId="77777777"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Además de la dificultad técnica de la empresa, el nuevo gobierno de Menem asumió el cargo en 1989 sin ninguna credibilidad en su capacidad para manejar la economía de manera efectiva. Para marcar un cambio genuino en la política, la administración estableció como su agenda económica un conjunto integral de reformas de primera generación.</w:t>
      </w:r>
    </w:p>
    <w:p w14:paraId="67687673" w14:textId="77777777"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El criterio de coherencia de que el flujo de ingresos debe financiar el flujo habitual de gastos no impone una composición específica a los flujos. El énfasis de la administración estaba en mejorar la recaudación de impuestos, reducir los subsidios y minimizar el drenaje presupuestario causado por las empresas del sector público. Incluso las ganancias de la privatización se utilizaron para equilibrar el presupuesto. Se creía que los gastos públicos ya eran muy modestos y fijos.</w:t>
      </w:r>
    </w:p>
    <w:p w14:paraId="2D9515B6" w14:textId="77777777"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La administración también se basó en la liberalización comercial y financiera, la desregulación de los mercados y la privatización de las empresas estatales para aumentar la eficiencia económica. Además, dado que el gobierno había declarado una moratoria de facto sobre el pago de su deuda externa en 1988, se requería una renegociación de la deuda para aclarar qué obligaciones respetaría el gobierno y qué alivio podría obtener. La administración dejó bastante claro que esta era una prioridad política.</w:t>
      </w:r>
    </w:p>
    <w:p w14:paraId="4B6EAB3A" w14:textId="77777777"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lastRenderedPageBreak/>
        <w:t>La literatura sobre cambios económicos está repleta de debates sobre el ritmo y la secuencia de la liberalización del mercado (Tommasi y Velasco, 1996). La magnitud y la velocidad de los cambios estructurales de Argentina asombraron al mundo. En pocos años, el gobierno mejoró sustancialmente su desempeño fiscal, liberalizó el comercio, abrió sus puertas a la inversión extranjera directa, reformó su sistema de pensiones, privatizó la mayoría de las empresas estatales, liberalizó su sistema financiero y promulgó una ley de quiebras en todo el mundo. calibre de clase. Estos cambios se combinaron y aceptaron simultáneamente. El paquete de reformas estructurales fue también el programa de estabilización, y viceversa. Esto no se logró a toda prisa. No es lo mismo privatizar empresas públicas con múltiples objetivos, como maximizar el valor para el accionista. financiar el gobierno, indicar el tipo de gobierno y restaurar la eficiencia y la inversión, que privatizar simplemente para aumentar la eficiencia (</w:t>
      </w:r>
      <w:proofErr w:type="spellStart"/>
      <w:r w:rsidRPr="00D470F4">
        <w:rPr>
          <w:rFonts w:ascii="Times New Roman" w:hAnsi="Times New Roman" w:cs="Times New Roman"/>
          <w:sz w:val="24"/>
          <w:szCs w:val="24"/>
        </w:rPr>
        <w:t>Galiani</w:t>
      </w:r>
      <w:proofErr w:type="spellEnd"/>
      <w:r w:rsidRPr="00D470F4">
        <w:rPr>
          <w:rFonts w:ascii="Times New Roman" w:hAnsi="Times New Roman" w:cs="Times New Roman"/>
          <w:sz w:val="24"/>
          <w:szCs w:val="24"/>
        </w:rPr>
        <w:t xml:space="preserve"> y </w:t>
      </w:r>
      <w:proofErr w:type="spellStart"/>
      <w:r w:rsidRPr="00D470F4">
        <w:rPr>
          <w:rFonts w:ascii="Times New Roman" w:hAnsi="Times New Roman" w:cs="Times New Roman"/>
          <w:sz w:val="24"/>
          <w:szCs w:val="24"/>
        </w:rPr>
        <w:t>Petrecolla</w:t>
      </w:r>
      <w:proofErr w:type="spellEnd"/>
      <w:r w:rsidRPr="00D470F4">
        <w:rPr>
          <w:rFonts w:ascii="Times New Roman" w:hAnsi="Times New Roman" w:cs="Times New Roman"/>
          <w:sz w:val="24"/>
          <w:szCs w:val="24"/>
        </w:rPr>
        <w:t>, 2000).</w:t>
      </w:r>
    </w:p>
    <w:p w14:paraId="6FABAE2D" w14:textId="77777777"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A pesar de los esfuerzos del gobierno por estabilizar la economía modificando las expectativas y el comportamiento de los actores económicos a través de un programa integral de cambios estructurales, la economía inicialmente tuvo un desempeño deficiente. Antes de adoptar un nuevo esquema de estabilización basado en la legislación de convertibilidad, el gobierno estuvo peligrosamente cerca de la hiperinflación dos veces. La convertibilidad intentó proporcionar un marco para las opciones contractuales y de inversión al limitar la política monetaria y certificar el uso generalizado del dólar en las transacciones internas. Se creía ampliamente que tales políticas eran esenciales para la formación de mercados crediticios. Esto, a su vez, haría factible capitalizar importantes oportunidades de crecimiento que un clima macroeconómico adverso no ha aprovechado.</w:t>
      </w:r>
    </w:p>
    <w:p w14:paraId="2845F9F2" w14:textId="77777777"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 xml:space="preserve">La confiabilidad y la previsibilidad se basaban en normas rígidas, que carecían de flexibilidad y finalmente se desintegraron violentamente. La principal estructura institucional fue la legislación sobre convertibilidad de 1991. La convertibilidad era </w:t>
      </w:r>
      <w:r w:rsidRPr="00D470F4">
        <w:rPr>
          <w:rFonts w:ascii="Times New Roman" w:hAnsi="Times New Roman" w:cs="Times New Roman"/>
          <w:sz w:val="24"/>
          <w:szCs w:val="24"/>
        </w:rPr>
        <w:lastRenderedPageBreak/>
        <w:t>mucho más que una institución monetaria en la década de 1990 en Argentina. También afectó las políticas fiscales y sentó las bases para un complejo sistema de contratos, lo que marcó un dramático alejamiento del pasado en una economía en la que, por ejemplo, los préstamos hipotecarios privados habían sido poco comunes durante décadas. En varios aspectos, el compromiso del gobierno con el tipo de cambio fijo creció con el tiempo. Debido a la ausencia de otras vías para establecer la credibilidad de las políticas, el cumplimiento riguroso de la norma monetaria actual siguió siendo sinónimo de estabilidad (</w:t>
      </w:r>
      <w:proofErr w:type="spellStart"/>
      <w:r w:rsidRPr="00D470F4">
        <w:rPr>
          <w:rFonts w:ascii="Times New Roman" w:hAnsi="Times New Roman" w:cs="Times New Roman"/>
          <w:sz w:val="24"/>
          <w:szCs w:val="24"/>
        </w:rPr>
        <w:t>Galiani</w:t>
      </w:r>
      <w:proofErr w:type="spellEnd"/>
      <w:r w:rsidRPr="00D470F4">
        <w:rPr>
          <w:rFonts w:ascii="Times New Roman" w:hAnsi="Times New Roman" w:cs="Times New Roman"/>
          <w:sz w:val="24"/>
          <w:szCs w:val="24"/>
        </w:rPr>
        <w:t xml:space="preserve">, </w:t>
      </w:r>
      <w:proofErr w:type="spellStart"/>
      <w:r w:rsidRPr="00D470F4">
        <w:rPr>
          <w:rFonts w:ascii="Times New Roman" w:hAnsi="Times New Roman" w:cs="Times New Roman"/>
          <w:sz w:val="24"/>
          <w:szCs w:val="24"/>
        </w:rPr>
        <w:t>Heymann</w:t>
      </w:r>
      <w:proofErr w:type="spellEnd"/>
      <w:r w:rsidRPr="00D470F4">
        <w:rPr>
          <w:rFonts w:ascii="Times New Roman" w:hAnsi="Times New Roman" w:cs="Times New Roman"/>
          <w:sz w:val="24"/>
          <w:szCs w:val="24"/>
        </w:rPr>
        <w:t xml:space="preserve"> y Tommasi, 2003). Con el tiempo, el surgimiento de consecuencias excepcionalmente altas por abandonar la convertibilidad fomentó un sistema de ideas comunes que se perpetúa a sí mismo acerca de la manera recurrentemente significativa en que se jugaba el juego.</w:t>
      </w:r>
    </w:p>
    <w:p w14:paraId="1F928DA9" w14:textId="77777777"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 xml:space="preserve">La convertibilidad también se utilizó para mantener el apoyo político al proceso de reforma estructural. Una razón común para retrasar estos cambios a lo largo de la década de 1980 fue la idea de que impondrían costos significativos a la sociedad. Sin embargo, en el entorno favorable de los mercados financieros internacionales de la década de 1990 para los mercados emergentes, el marco creado por la convertibilidad permitió el surgimiento del crédito, que amplió las oportunidades de consumo e inversión de muchos agentes, incluido el gobierno, y contribuyó a la expansión de actividad económica. La convertibilidad (al igual que su antecesor el Plan Austral en 1985) premió al gobierno en las elecciones parlamentarias de 1991 y 1993 y contribuyó a la reelección del presidente por una fuerte mayoría en 1995. El auge del consumo de 1992-1993 fue la fuerza motriz detrás de la </w:t>
      </w:r>
      <w:proofErr w:type="spellStart"/>
      <w:r w:rsidRPr="00D470F4">
        <w:rPr>
          <w:rFonts w:ascii="Times New Roman" w:hAnsi="Times New Roman" w:cs="Times New Roman"/>
          <w:sz w:val="24"/>
          <w:szCs w:val="24"/>
        </w:rPr>
        <w:t>La</w:t>
      </w:r>
      <w:proofErr w:type="spellEnd"/>
      <w:r w:rsidRPr="00D470F4">
        <w:rPr>
          <w:rFonts w:ascii="Times New Roman" w:hAnsi="Times New Roman" w:cs="Times New Roman"/>
          <w:sz w:val="24"/>
          <w:szCs w:val="24"/>
        </w:rPr>
        <w:t xml:space="preserve"> victoria del partido peronista en el siempre hostil Distrito Federal en las elecciones parlamentarias de 1993. El gran número de personas que habían comprometido préstamos en dólares y aquellos que anticipaban un retorno de la inflación severa si se abandonaba la convertibilidad constituían un electorado muy poderoso que se oponía a la </w:t>
      </w:r>
      <w:r w:rsidRPr="00D470F4">
        <w:rPr>
          <w:rFonts w:ascii="Times New Roman" w:hAnsi="Times New Roman" w:cs="Times New Roman"/>
          <w:sz w:val="24"/>
          <w:szCs w:val="24"/>
        </w:rPr>
        <w:lastRenderedPageBreak/>
        <w:t>devaluación. Durante la crisis financiera de 1995, antes de las elecciones presidenciales, el principal argumento electoral de las autoridades fue que habían detenido la hiperinflación y eran la única fuerza política que preservaría la convertibilidad (Starr, 1999).</w:t>
      </w:r>
    </w:p>
    <w:p w14:paraId="54515094" w14:textId="77777777"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 xml:space="preserve">En Argentina, el Ejecutivo pudo centralizar el poder político debido a su distribución partidista, la delegación de poderes legislativos al Ejecutivo y su dominio sobre la Corte Suprema, así como el empleo de algunos recursos de dudosa legalidad. </w:t>
      </w:r>
    </w:p>
    <w:p w14:paraId="4E8D22D8" w14:textId="5027F117"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 xml:space="preserve">Los resultados de las elecciones durante la presidencia de Menem fueron beneficiosos para su partido (Cuadro </w:t>
      </w:r>
      <w:proofErr w:type="gramStart"/>
      <w:r w:rsidRPr="00D470F4">
        <w:rPr>
          <w:rFonts w:ascii="Times New Roman" w:hAnsi="Times New Roman" w:cs="Times New Roman"/>
          <w:sz w:val="24"/>
          <w:szCs w:val="24"/>
        </w:rPr>
        <w:t>1,a</w:t>
      </w:r>
      <w:proofErr w:type="gramEnd"/>
      <w:r w:rsidRPr="00D470F4">
        <w:rPr>
          <w:rFonts w:ascii="Times New Roman" w:hAnsi="Times New Roman" w:cs="Times New Roman"/>
          <w:sz w:val="24"/>
          <w:szCs w:val="24"/>
        </w:rPr>
        <w:t>), dándole a Menem un mandato sustancial al comienzo de su primer gobierno y revigorizando la agenda reformadora más adelante. La subsiguiente asignación de poder institucional fue paralela a los resultados electorales favorables (Cuadro 1, b, c y d). Esta estructura de poder sugirió que se llevaron a cabo una serie de conversaciones políticas cruciales con los jugadores del Partido Peronista (PJ)</w:t>
      </w:r>
      <w:r w:rsidR="003E6D2A" w:rsidRPr="00D470F4">
        <w:rPr>
          <w:rFonts w:ascii="Times New Roman" w:hAnsi="Times New Roman" w:cs="Times New Roman"/>
          <w:sz w:val="24"/>
          <w:szCs w:val="24"/>
        </w:rPr>
        <w:t>.</w:t>
      </w:r>
    </w:p>
    <w:p w14:paraId="177E9396" w14:textId="77777777"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Una medida que amplió el número de magistrados de la Corte Suprema de 5 a 9 facilitó la composición partidaria favorable en nodos institucionales clave. Este mecanismo permitió a Menem nombrar cuatro jueces (con acuerdo del Senado). Luego, cuando un magistrado renunció en protesta, a Menem se le permitió una quinta oportunidad de designación. Además, Menem recurrió al uso de dos formas de instrumentos legislativos (antes del cambio constitucional de 1994) de dudosa validez —los decretos de "necesidad y urgencia" (DNU) y el veto por partidas) de manera inédita.</w:t>
      </w:r>
    </w:p>
    <w:p w14:paraId="6DF0902C" w14:textId="77777777"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La crisis económica tiene el impacto añadido de desencadenar una serie de patrones de delegación. En particular, se llegó a un acuerdo político para acelerar la transición presidencial en 1989 y se establecieron dos leyes que otorgan al Ejecutivo amplia libertad para definir las particularidades de las medidas de reforma.</w:t>
      </w:r>
    </w:p>
    <w:p w14:paraId="40D7C80B" w14:textId="77777777"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lastRenderedPageBreak/>
        <w:t>La crisis económica ayudó a construir un acuerdo político entre los dos partidos principales: el Partido Radical (el gobierno saliente) y el Partido Peronista para acelerar la transición presidencial. El presidente Alfonso (1983-1989) renunció, Menem accedió a asumir el cargo cinco meses antes de lo previsto y, a cambio, el Partido Radical prometió apoyo legislativo al gobierno entrante.</w:t>
      </w:r>
    </w:p>
    <w:p w14:paraId="312222BE" w14:textId="77777777"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El Congreso entregó al Ejecutivo poderes legislativos sustanciales en la Ley 23.696 de Emergencia Económica (Ley de Emergencia Económica) y la Ley 23.697 de Reforma del Estado poco después de que Menem asumiera la presidencia en julio de 1989 (Ley de Reforma del Estado). El propósito de la primera de estas leyes fue abolir la mayoría de las instituciones asociadas con el modelo de crecimiento centrado en el Estado y mirando hacia adentro, incluidos los subsidios, los regímenes de promoción industrial, etc. La segunda le otorgó al gobierno amplia autoridad para especificar los detalles de planes de reforma, como la privatización de empresas estatales.</w:t>
      </w:r>
    </w:p>
    <w:p w14:paraId="059B9736" w14:textId="77777777"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En conclusión, la asignación partidista de la autoridad institucional en conjunto con estos patrones de delegación permitió al Ejecutivo sortear obstáculos institucionales para iniciar cambios estructurales. Sin embargo, esto no insensibilizó del todo a los actores políticos e institucionales.</w:t>
      </w:r>
    </w:p>
    <w:p w14:paraId="7813E4FD" w14:textId="77777777"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Contrariamente a lo que afirma la mayoría de las investigaciones sobre la economía política de las reformas en Argentina, el proceso de reforma no fue llevado a cabo por el Ejecutivo aislado de los actores sociales, políticos e institucionales. Las reformas fueron más bien el resultado de una serie de transacciones entre el Ejecutivo y actores importantes en cada etapa del proceso. En este subpárrafo, describimos las partes relevantes con las que el Ejecutivo interactuó para lograr la agenda de reformas.</w:t>
      </w:r>
    </w:p>
    <w:p w14:paraId="2E44B952" w14:textId="77777777"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lastRenderedPageBreak/>
        <w:t>A lo largo de la era de la reforma, el gobierno reformista fue experto en influir en la formación de coaliciones electorales y políticas. Luego de ser elegido por una coalición de fuentes peronistas tradicionales y de centro izquierda, gobernó y fue reelegido por una coalición de fuentes peronistas tradicionales (con pesos alterados dentro de esa coalición) y centro derecha. Este último fue considerado no solo como una fuente electoral, sino principalmente por sus vínculos con actores comerciales y extranjeros cuyo respaldo económico se requería.</w:t>
      </w:r>
    </w:p>
    <w:p w14:paraId="0796DB71" w14:textId="77777777" w:rsidR="003E6D2A"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 xml:space="preserve">Menem hizo un uso astuto de sus recursos institucionales y fiscales para obtener el apoyo de las provincias políticamente atrasadas; otorgó beneficios selectivos a algunos sindicatos y dirigentes sindicales mientras debilitaba a todo el movimiento obrero; y pudo obtener el apoyo de actores comerciales influyentes a través de una combinación de políticas generales y acuerdos particulares. El resto de esta sección describe el enfoque en relación con cada uno de los actores clave. Comenzamos con una serie de actores cuyas funciones principales se encuentran en la arena electoral/gubernamental (partidos, gobiernos provinciales y votantes), y luego analizamos otros actores (en su mayoría corporativos) que operan principalmente en otros dominios (resolución de conflictos, creación de opinión, la economía). </w:t>
      </w:r>
    </w:p>
    <w:p w14:paraId="6F48622C" w14:textId="492E12DF"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 xml:space="preserve">Por otro lado, hubo una tremenda conmoción dentro del partido, ya que las ideas de Menem representaron un alejamiento drástico de las políticas populistas que siempre había representado el peronismo. Los esfuerzos intelectuales dedicados a "reconstruir" la identidad peronista y las concesiones utilizadas para construir apoyo ayudaron a moderar estas tensiones. La conversión de Menem a las políticas neoliberales provocó diferencias entre el gobierno y los legisladores oficiales, lo que resultó en escisiones en el bloque peronista de la Cámara de Diputados. Antes de aprobar las leyes de reforma del Estado, los diputados oficialistas entablaron una rigurosa discusión. Finalmente, el plan fue </w:t>
      </w:r>
      <w:r w:rsidRPr="00D470F4">
        <w:rPr>
          <w:rFonts w:ascii="Times New Roman" w:hAnsi="Times New Roman" w:cs="Times New Roman"/>
          <w:sz w:val="24"/>
          <w:szCs w:val="24"/>
        </w:rPr>
        <w:lastRenderedPageBreak/>
        <w:t>aceptado bajo la presión del Ejecutivo. Sin embargo, se fundó un grupo disidente de legisladores peronistas, conocido como el "Grupo de los Ocho".</w:t>
      </w:r>
    </w:p>
    <w:p w14:paraId="46EB1DBB" w14:textId="77777777"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 xml:space="preserve">En contraste con la imagen de un ejecutivo sin control, el Congreso enmendó alrededor del 46 por ciento de las medidas legislativas del </w:t>
      </w:r>
      <w:proofErr w:type="gramStart"/>
      <w:r w:rsidRPr="00D470F4">
        <w:rPr>
          <w:rFonts w:ascii="Times New Roman" w:hAnsi="Times New Roman" w:cs="Times New Roman"/>
          <w:sz w:val="24"/>
          <w:szCs w:val="24"/>
        </w:rPr>
        <w:t>Presidente</w:t>
      </w:r>
      <w:proofErr w:type="gramEnd"/>
      <w:r w:rsidRPr="00D470F4">
        <w:rPr>
          <w:rFonts w:ascii="Times New Roman" w:hAnsi="Times New Roman" w:cs="Times New Roman"/>
          <w:sz w:val="24"/>
          <w:szCs w:val="24"/>
        </w:rPr>
        <w:t xml:space="preserve"> entre 1992 y 1994. El Ejecutivo pudo abordar estas disparidades mediante el uso extensivo de "Decretos de Necesidad y Urgencia" y vetos que fortalecieron su posición de negociación en la legislatura, así como a través de transacciones políticas con pequeños partidos provinciales y nacionales y concesiones en el diseño de políticas.</w:t>
      </w:r>
    </w:p>
    <w:p w14:paraId="44E07091" w14:textId="416D3D24"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Menem contrarrestó la respuesta del partido de varias maneras. Aprovechó la grave crisis que se vivió cuando asumió el cargo para desviar las críticas, que muchas veces se centraron en las consecuencias socioeconómicas de las medidas aprobadas. Sostuvo que no había opciones y que no había oportunidad de maniobra. Finalmente, ocupó cargos de dirección partidaria con estrechos colaboradores del Ejecutivo. Menem mostró un pragmatismo significativo al seleccionar candidatos electorales. Cuando era probable que los no peronistas ganaran una elección o apoyaran la dirección económica del gobierno, el Ejecutivo no dudó en incluirlos.</w:t>
      </w:r>
    </w:p>
    <w:p w14:paraId="6DB602F6" w14:textId="7CFF614A"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 xml:space="preserve">Debido al pésimo desempeño económico del gobierno de Alfonsín, que impulsó a </w:t>
      </w:r>
      <w:r w:rsidR="00652520" w:rsidRPr="00D470F4">
        <w:rPr>
          <w:rFonts w:ascii="Times New Roman" w:hAnsi="Times New Roman" w:cs="Times New Roman"/>
          <w:sz w:val="24"/>
          <w:szCs w:val="24"/>
        </w:rPr>
        <w:t>Menem a</w:t>
      </w:r>
      <w:r w:rsidRPr="00D470F4">
        <w:rPr>
          <w:rFonts w:ascii="Times New Roman" w:hAnsi="Times New Roman" w:cs="Times New Roman"/>
          <w:sz w:val="24"/>
          <w:szCs w:val="24"/>
        </w:rPr>
        <w:t xml:space="preserve"> asumir el cargo con seis meses de anticipación en 1989, el Partido Radical se enfrentó al gobierno desde una posición debilitada. Durante los seis meses previos a la toma de posesión del recién electo Congreso, el partido se comprometió a no oponerse a ninguna medida legislativa iniciada por el Ejecutivo.</w:t>
      </w:r>
    </w:p>
    <w:p w14:paraId="7A9C8CA0" w14:textId="70245592"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El temprano éxito del enfoque económico y político de Menem disminuyó la probabilidad de una resistencia. La debilidad del principal partido de oposición se reflejó en el Pacto de Olivos</w:t>
      </w:r>
      <w:r w:rsidR="00652520" w:rsidRPr="00D470F4">
        <w:rPr>
          <w:rFonts w:ascii="Times New Roman" w:hAnsi="Times New Roman" w:cs="Times New Roman"/>
          <w:sz w:val="24"/>
          <w:szCs w:val="24"/>
        </w:rPr>
        <w:t xml:space="preserve"> </w:t>
      </w:r>
      <w:r w:rsidRPr="00D470F4">
        <w:rPr>
          <w:rFonts w:ascii="Times New Roman" w:hAnsi="Times New Roman" w:cs="Times New Roman"/>
          <w:sz w:val="24"/>
          <w:szCs w:val="24"/>
        </w:rPr>
        <w:t xml:space="preserve">entre Menem y Alfonsín para iniciar el proceso de cambio constitucional, </w:t>
      </w:r>
      <w:r w:rsidRPr="00D470F4">
        <w:rPr>
          <w:rFonts w:ascii="Times New Roman" w:hAnsi="Times New Roman" w:cs="Times New Roman"/>
          <w:sz w:val="24"/>
          <w:szCs w:val="24"/>
        </w:rPr>
        <w:lastRenderedPageBreak/>
        <w:t>permitiendo así que Menem se presentara a la reelección (Acu</w:t>
      </w:r>
      <w:r w:rsidR="00652520" w:rsidRPr="00D470F4">
        <w:rPr>
          <w:rFonts w:ascii="Times New Roman" w:hAnsi="Times New Roman" w:cs="Times New Roman"/>
          <w:sz w:val="24"/>
          <w:szCs w:val="24"/>
        </w:rPr>
        <w:t>ñ</w:t>
      </w:r>
      <w:r w:rsidRPr="00D470F4">
        <w:rPr>
          <w:rFonts w:ascii="Times New Roman" w:hAnsi="Times New Roman" w:cs="Times New Roman"/>
          <w:sz w:val="24"/>
          <w:szCs w:val="24"/>
        </w:rPr>
        <w:t>a 1995b). En resumen, a pesar de que el Partido Radical comenzó a consolidarse nuevamente después de 1991, a pesar de estar ideológicamente dividido y electoralmente más débil, era una oposición moderada.</w:t>
      </w:r>
    </w:p>
    <w:p w14:paraId="62CBE0AA" w14:textId="77777777"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De manera similar, una disminución estimada del 37% en el empleo público (tanto en el gobierno central como en las empresas públicas privatizadas) se concentró en el área urbana. Aun bajo la premisa de que la disminución fuera uniforme en todo el país, el 74 por ciento se habría producido en la zona metropolitana (Buenos Aires, Córdoba, Mendoza, Santa Fe y Ciudad de Buenos Aires), mientras que el 26 por ciento se habría producido en la periferia.  No obstante, la distribución real de la pérdida de mano de obra estuvo considerablemente más concentrada en el centro. Además de la reducción de la fuerza laboral, los esfuerzos de reforma adicionales se centraron en las normas nacionales en lugar de las subnacionales.</w:t>
      </w:r>
    </w:p>
    <w:p w14:paraId="4276D46A" w14:textId="2FB653BE"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El declive de la actividad de los sindicatos en relación con las alturas alcanzadas bajo el gobierno de Alfonsín fue indicativo de su postura cada vez más indulgente con los cambios. A cambio de su conducta no conflictiva, el gobierno permitió que los sindicatos mantuvieran sus fuentes de poder —el control de la negociación colectiva y las Obras Sociales22— a pesar de la disminución de la presencia de los sindicatos en la legislatura. Además, disminuyó el número promedio de personas que participan en cada huelga.24</w:t>
      </w:r>
    </w:p>
    <w:p w14:paraId="63BFCD9B" w14:textId="77777777"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 xml:space="preserve">En su primer gabinete como Ministro de Hacienda, Menem incluyó a un representante de un fuerte holding empresarial. La estrategia consistió en establecer una estrecha relación con un holding específico, Bunge &amp; Born (en el imaginario peronista, símbolo de la oligarquía con intereses incompatibles con los del "pueblo y la nación"), en lugar de tratar </w:t>
      </w:r>
      <w:r w:rsidRPr="00D470F4">
        <w:rPr>
          <w:rFonts w:ascii="Times New Roman" w:hAnsi="Times New Roman" w:cs="Times New Roman"/>
          <w:sz w:val="24"/>
          <w:szCs w:val="24"/>
        </w:rPr>
        <w:lastRenderedPageBreak/>
        <w:t>con representantes de gremios empresariales, como había sido la tradición peronista y como lo había intentado sin éxito el expresidente radical Alfonsín.</w:t>
      </w:r>
    </w:p>
    <w:p w14:paraId="503FB11D" w14:textId="77777777"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El gobierno experimentó una serie de desafíos en sus tratos con ciertos sectores de la industria. El sector industrial se mostró reacio a respaldar las medidas de liberalización del comercio, ya que aumentarían la competitividad internacional de los productos. Además, las políticas de privatización impusieron costos a varias corporaciones que eran proveedores privilegiados de las industrias estatales, al tiempo que impactaron a las empresas como consumidoras de servicios públicos financiados por el estado.</w:t>
      </w:r>
    </w:p>
    <w:p w14:paraId="367A7E67" w14:textId="77777777"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Podemos argumentar que el enfoque del gobierno hacia diversos sectores corporativos reflejó su enfoque hacia los actores partidistas: ignorar a los débiles, debilitar a los que puedas y comprar el apoyo de los poderosos.</w:t>
      </w:r>
    </w:p>
    <w:p w14:paraId="144FF93B" w14:textId="77777777"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 xml:space="preserve">Los agrupamientos corporativos más fuertes (económica y políticamente) fueron los conglomerados industriales que se potenciaron bajo la dictadura de 1976-1983, cuyos intereses se vieron afectados por la contracción del Estado. A pesar de que estas organizaciones estaban diversificadas horizontalmente y con capacidad de exportación, dependían significativamente de los ingresos (sobrevalorados) de los proveedores estatales. Estas organizaciones representaban un peligro importante ya que podrían aliarse con otros sectores y basarse en una retórica "nacionalista" para defender el Estado. El plan del gobierno para neutralizar la posible respuesta de estos conglomerados era compensar su pérdida de ingresos como proveedores del Estado mediante la privatización de empresas estatales establecidas en posiciones monopólicas u oligopólicas (especialmente proveedores de servicios públicos, aún más atractivos por el peso). - paridad del dólar). Esta estrategia fue muy exitosa. Si bien no todos los grandes ex proveedores estatales cosecharon los mismos beneficios durante el proceso de </w:t>
      </w:r>
      <w:r w:rsidRPr="00D470F4">
        <w:rPr>
          <w:rFonts w:ascii="Times New Roman" w:hAnsi="Times New Roman" w:cs="Times New Roman"/>
          <w:sz w:val="24"/>
          <w:szCs w:val="24"/>
        </w:rPr>
        <w:lastRenderedPageBreak/>
        <w:t>privatización, aquellos que sufrieron pérdidas absolutas en la competencia por la apropiación de empresas estatales no representaron un grupo lo suficientemente poderoso como para complicar la gestión del gobierno. estrategia.</w:t>
      </w:r>
    </w:p>
    <w:p w14:paraId="5B190EAB" w14:textId="77777777"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Políticamente, el gobierno mantuvo una política similar a la utilizada con ciertos sindicatos, a saber, el intercambio de "favores" junto con amenazas de sanciones si no se lograba una solución a los problemas con los sectores económicos afectados como productores. El efecto general de los cambios fue una consolidación significativa de los conglomerados industriales locales a expensas de las empresas industriales más pequeñas y menos diversificadas horizontalmente que tuvieron que pagar los gastos de la liberalización comercial y la privatización de las empresas estatales.</w:t>
      </w:r>
    </w:p>
    <w:p w14:paraId="6B54A5D6" w14:textId="77777777"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El enfoque de privatización benefició más que solo a estas corporaciones. Los bancos (temporalmente) y las corporaciones extranjeras fueron importantes benefactores de los cambios, como se anticipó. A largo plazo y fuera del sector urbano, los productores agrícolas también emergen como evidentes benefactores de la liberalización del comercio.</w:t>
      </w:r>
    </w:p>
    <w:p w14:paraId="296AFC47" w14:textId="77777777"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En conclusión, la administración logró construir una alianza de los más poderosos y diversificados intereses comerciales, dejando poca oportunidad para la respuesta de quienes correrían con los gastos de los cambios.</w:t>
      </w:r>
    </w:p>
    <w:p w14:paraId="085CFB40" w14:textId="77777777"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 xml:space="preserve">El gobierno de los Estados Unidos fue un actor internacional crucial para garantizar un clima propicio para los cambios. Con el fin de incorporar a esta administración como uno de los actores de apoyo para las reformas, el objetivo de Menem era forjar una estrecha asociación con los Estados Unidos mediante la alteración fundamental de las posturas exteriores de larga data de Argentina. En este sentido, Argentina no condenó la invasión estadounidense de Panamá, se retiró del Movimiento de Países No Alineados, desmanteló </w:t>
      </w:r>
      <w:r w:rsidRPr="00D470F4">
        <w:rPr>
          <w:rFonts w:ascii="Times New Roman" w:hAnsi="Times New Roman" w:cs="Times New Roman"/>
          <w:sz w:val="24"/>
          <w:szCs w:val="24"/>
        </w:rPr>
        <w:lastRenderedPageBreak/>
        <w:t>el proyecto de Misiles Cóndor —un gran interés estadounidense en ese momento, envió tropas a la Guerra del Golfo, firmó el Tratado de Tlatelolco y mantuvo un patrón de votación casi idéntico al de Estados Unidos en varios foros internacionales.</w:t>
      </w:r>
    </w:p>
    <w:p w14:paraId="721F765A" w14:textId="400EC1CB" w:rsidR="003D31E4" w:rsidRPr="00D470F4" w:rsidRDefault="003D31E4"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El persistente respaldo extranjero del gobierno de los Estados Unidos, la Comunidad Económica Europea, el Fondo Monetario Internacional, el Banco Interamericano de Desarrollo y el Banco Mundial fue crucial para reforzar la legitimidad de la agenda de reforma interna de la administración. En julio de 1997, por ejemplo, el FMI optó por aumentar la línea de crédito de Argentina debido al historial de "excelente gobernabilidad" de esa nación. Además, las privatizaciones jugaron un papel crucial en la capacidad de Argentina para unirse al Plan Brady. Menem desarrolló una estrategia exterior enfocada en alinear estrechamente a Argentina con los Estados Unidos para lograr este objetivo.</w:t>
      </w:r>
    </w:p>
    <w:p w14:paraId="64E8ED0F" w14:textId="3CF3C889" w:rsidR="00EF29B2" w:rsidRPr="00D470F4" w:rsidRDefault="00E95E8B" w:rsidP="00132D23">
      <w:pPr>
        <w:pStyle w:val="Ttulo2"/>
        <w:spacing w:before="153" w:line="480" w:lineRule="auto"/>
        <w:ind w:right="0"/>
        <w:rPr>
          <w:rFonts w:ascii="Times New Roman" w:hAnsi="Times New Roman" w:cs="Times New Roman"/>
          <w:b/>
          <w:sz w:val="24"/>
          <w:szCs w:val="24"/>
          <w:lang w:val="es"/>
        </w:rPr>
      </w:pPr>
      <w:r w:rsidRPr="00D470F4">
        <w:rPr>
          <w:rFonts w:ascii="Times New Roman" w:hAnsi="Times New Roman" w:cs="Times New Roman"/>
          <w:b/>
          <w:sz w:val="24"/>
          <w:szCs w:val="24"/>
          <w:lang w:val="es"/>
        </w:rPr>
        <w:t>L</w:t>
      </w:r>
      <w:r w:rsidR="00EF29B2" w:rsidRPr="00D470F4">
        <w:rPr>
          <w:rFonts w:ascii="Times New Roman" w:hAnsi="Times New Roman" w:cs="Times New Roman"/>
          <w:b/>
          <w:sz w:val="24"/>
          <w:szCs w:val="24"/>
          <w:lang w:val="es"/>
        </w:rPr>
        <w:t>a reforma</w:t>
      </w:r>
      <w:r w:rsidRPr="00D470F4">
        <w:rPr>
          <w:rFonts w:ascii="Times New Roman" w:hAnsi="Times New Roman" w:cs="Times New Roman"/>
          <w:b/>
          <w:sz w:val="24"/>
          <w:szCs w:val="24"/>
          <w:lang w:val="es"/>
        </w:rPr>
        <w:t xml:space="preserve"> del sistema eléctrico</w:t>
      </w:r>
    </w:p>
    <w:p w14:paraId="56DB4518" w14:textId="1D533E69" w:rsidR="00EF29B2" w:rsidRPr="00D470F4" w:rsidRDefault="00EF29B2"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 xml:space="preserve">Las reformas de la industria eléctrica argentina comenzaron </w:t>
      </w:r>
      <w:r w:rsidR="00652520" w:rsidRPr="00D470F4">
        <w:rPr>
          <w:rFonts w:ascii="Times New Roman" w:hAnsi="Times New Roman" w:cs="Times New Roman"/>
          <w:sz w:val="24"/>
          <w:szCs w:val="24"/>
        </w:rPr>
        <w:t>a fines</w:t>
      </w:r>
      <w:r w:rsidRPr="00D470F4">
        <w:rPr>
          <w:rFonts w:ascii="Times New Roman" w:hAnsi="Times New Roman" w:cs="Times New Roman"/>
          <w:sz w:val="24"/>
          <w:szCs w:val="24"/>
        </w:rPr>
        <w:t xml:space="preserve"> de la década de 1980 y experimentaron cambios integrales en la década de 1990 que implicaron la </w:t>
      </w:r>
      <w:proofErr w:type="gramStart"/>
      <w:r w:rsidRPr="00D470F4">
        <w:rPr>
          <w:rFonts w:ascii="Times New Roman" w:hAnsi="Times New Roman" w:cs="Times New Roman"/>
          <w:sz w:val="24"/>
          <w:szCs w:val="24"/>
        </w:rPr>
        <w:t>separación  y</w:t>
      </w:r>
      <w:proofErr w:type="gramEnd"/>
      <w:r w:rsidRPr="00D470F4">
        <w:rPr>
          <w:rFonts w:ascii="Times New Roman" w:hAnsi="Times New Roman" w:cs="Times New Roman"/>
          <w:sz w:val="24"/>
          <w:szCs w:val="24"/>
        </w:rPr>
        <w:t xml:space="preserve"> privatización de las empresas estatales  integradas y la creación de un mercado  mayorista competitivo  de electricidad.   Debido a que Argentina es generalmente considerada como un </w:t>
      </w:r>
      <w:r w:rsidR="00652520" w:rsidRPr="00D470F4">
        <w:rPr>
          <w:rFonts w:ascii="Times New Roman" w:hAnsi="Times New Roman" w:cs="Times New Roman"/>
          <w:sz w:val="24"/>
          <w:szCs w:val="24"/>
        </w:rPr>
        <w:t>líder en</w:t>
      </w:r>
      <w:r w:rsidRPr="00D470F4">
        <w:rPr>
          <w:rFonts w:ascii="Times New Roman" w:hAnsi="Times New Roman" w:cs="Times New Roman"/>
          <w:sz w:val="24"/>
          <w:szCs w:val="24"/>
        </w:rPr>
        <w:t xml:space="preserve"> el movimiento global para reformar los sectores energéticos, esta revisión se </w:t>
      </w:r>
      <w:r w:rsidR="00652520" w:rsidRPr="00D470F4">
        <w:rPr>
          <w:rFonts w:ascii="Times New Roman" w:hAnsi="Times New Roman" w:cs="Times New Roman"/>
          <w:sz w:val="24"/>
          <w:szCs w:val="24"/>
        </w:rPr>
        <w:t>centra en</w:t>
      </w:r>
      <w:r w:rsidRPr="00D470F4">
        <w:rPr>
          <w:rFonts w:ascii="Times New Roman" w:hAnsi="Times New Roman" w:cs="Times New Roman"/>
          <w:sz w:val="24"/>
          <w:szCs w:val="24"/>
        </w:rPr>
        <w:t xml:space="preserve"> detalle </w:t>
      </w:r>
      <w:proofErr w:type="gramStart"/>
      <w:r w:rsidRPr="00D470F4">
        <w:rPr>
          <w:rFonts w:ascii="Times New Roman" w:hAnsi="Times New Roman" w:cs="Times New Roman"/>
          <w:sz w:val="24"/>
          <w:szCs w:val="24"/>
        </w:rPr>
        <w:t>en  las</w:t>
      </w:r>
      <w:proofErr w:type="gramEnd"/>
      <w:r w:rsidRPr="00D470F4">
        <w:rPr>
          <w:rFonts w:ascii="Times New Roman" w:hAnsi="Times New Roman" w:cs="Times New Roman"/>
          <w:sz w:val="24"/>
          <w:szCs w:val="24"/>
        </w:rPr>
        <w:t xml:space="preserve"> principales reformas estructurales y regulatorias durante este período y las consecuencias inmediatas  de la crisis   macroeconómica a principios de la crisis macroeconómica. años del siglo.  </w:t>
      </w:r>
    </w:p>
    <w:p w14:paraId="742AC200" w14:textId="222F0EAE" w:rsidR="00EF29B2" w:rsidRPr="00D470F4" w:rsidRDefault="00652520"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Ha</w:t>
      </w:r>
      <w:r w:rsidR="00EF29B2" w:rsidRPr="00D470F4">
        <w:rPr>
          <w:rFonts w:ascii="Times New Roman" w:hAnsi="Times New Roman" w:cs="Times New Roman"/>
          <w:sz w:val="24"/>
          <w:szCs w:val="24"/>
        </w:rPr>
        <w:t xml:space="preserve">sta 1989 el sector eléctrico </w:t>
      </w:r>
      <w:proofErr w:type="gramStart"/>
      <w:r w:rsidR="00EF29B2" w:rsidRPr="00D470F4">
        <w:rPr>
          <w:rFonts w:ascii="Times New Roman" w:hAnsi="Times New Roman" w:cs="Times New Roman"/>
          <w:sz w:val="24"/>
          <w:szCs w:val="24"/>
        </w:rPr>
        <w:t xml:space="preserve">argentino,   </w:t>
      </w:r>
      <w:proofErr w:type="gramEnd"/>
      <w:r w:rsidR="00EF29B2" w:rsidRPr="00D470F4">
        <w:rPr>
          <w:rFonts w:ascii="Times New Roman" w:hAnsi="Times New Roman" w:cs="Times New Roman"/>
          <w:sz w:val="24"/>
          <w:szCs w:val="24"/>
        </w:rPr>
        <w:t xml:space="preserve">regulado por la Ley 14. 772 de 1958, se consideraba un servicio público prestado por el Estado o empresas estatales. </w:t>
      </w:r>
      <w:proofErr w:type="gramStart"/>
      <w:r w:rsidR="00EF29B2" w:rsidRPr="00D470F4">
        <w:rPr>
          <w:rFonts w:ascii="Times New Roman" w:hAnsi="Times New Roman" w:cs="Times New Roman"/>
          <w:sz w:val="24"/>
          <w:szCs w:val="24"/>
        </w:rPr>
        <w:t>Tres  de</w:t>
      </w:r>
      <w:proofErr w:type="gramEnd"/>
      <w:r w:rsidR="00EF29B2" w:rsidRPr="00D470F4">
        <w:rPr>
          <w:rFonts w:ascii="Times New Roman" w:hAnsi="Times New Roman" w:cs="Times New Roman"/>
          <w:sz w:val="24"/>
          <w:szCs w:val="24"/>
        </w:rPr>
        <w:t xml:space="preserve"> las principales empresas de  servicios públicos estatales proporcionaron servicios </w:t>
      </w:r>
      <w:r w:rsidR="00EF29B2" w:rsidRPr="00D470F4">
        <w:rPr>
          <w:rFonts w:ascii="Times New Roman" w:hAnsi="Times New Roman" w:cs="Times New Roman"/>
          <w:sz w:val="24"/>
          <w:szCs w:val="24"/>
        </w:rPr>
        <w:lastRenderedPageBreak/>
        <w:t xml:space="preserve">combinados de generación, transmisión y distribución.  </w:t>
      </w:r>
      <w:r w:rsidR="00DA789D" w:rsidRPr="00D470F4">
        <w:rPr>
          <w:rFonts w:ascii="Times New Roman" w:hAnsi="Times New Roman" w:cs="Times New Roman"/>
          <w:sz w:val="24"/>
          <w:szCs w:val="24"/>
        </w:rPr>
        <w:t xml:space="preserve">También </w:t>
      </w:r>
      <w:proofErr w:type="gramStart"/>
      <w:r w:rsidR="00DA789D" w:rsidRPr="00D470F4">
        <w:rPr>
          <w:rFonts w:ascii="Times New Roman" w:hAnsi="Times New Roman" w:cs="Times New Roman"/>
          <w:sz w:val="24"/>
          <w:szCs w:val="24"/>
        </w:rPr>
        <w:t>existían</w:t>
      </w:r>
      <w:r w:rsidR="00EF29B2" w:rsidRPr="00D470F4">
        <w:rPr>
          <w:rFonts w:ascii="Times New Roman" w:hAnsi="Times New Roman" w:cs="Times New Roman"/>
          <w:sz w:val="24"/>
          <w:szCs w:val="24"/>
        </w:rPr>
        <w:t xml:space="preserve">  nueve</w:t>
      </w:r>
      <w:proofErr w:type="gramEnd"/>
      <w:r w:rsidR="00EF29B2" w:rsidRPr="00D470F4">
        <w:rPr>
          <w:rFonts w:ascii="Times New Roman" w:hAnsi="Times New Roman" w:cs="Times New Roman"/>
          <w:sz w:val="24"/>
          <w:szCs w:val="24"/>
        </w:rPr>
        <w:t xml:space="preserve"> empresas provinciales de electricidad, principalmente distribuidoras, y varias cooperativas eléctricas.  La principal fuente de generación fue la hidroeléctrica.  La industria estaba regulada por el </w:t>
      </w:r>
      <w:r w:rsidRPr="00D470F4">
        <w:rPr>
          <w:rFonts w:ascii="Times New Roman" w:hAnsi="Times New Roman" w:cs="Times New Roman"/>
          <w:sz w:val="24"/>
          <w:szCs w:val="24"/>
        </w:rPr>
        <w:t>gobierno nacional</w:t>
      </w:r>
      <w:r w:rsidR="00EF29B2" w:rsidRPr="00D470F4">
        <w:rPr>
          <w:rFonts w:ascii="Times New Roman" w:hAnsi="Times New Roman" w:cs="Times New Roman"/>
          <w:sz w:val="24"/>
          <w:szCs w:val="24"/>
        </w:rPr>
        <w:t xml:space="preserve"> a </w:t>
      </w:r>
      <w:r w:rsidRPr="00D470F4">
        <w:rPr>
          <w:rFonts w:ascii="Times New Roman" w:hAnsi="Times New Roman" w:cs="Times New Roman"/>
          <w:sz w:val="24"/>
          <w:szCs w:val="24"/>
        </w:rPr>
        <w:t>través de</w:t>
      </w:r>
      <w:r w:rsidR="00DA789D" w:rsidRPr="00D470F4">
        <w:rPr>
          <w:rFonts w:ascii="Times New Roman" w:hAnsi="Times New Roman" w:cs="Times New Roman"/>
          <w:sz w:val="24"/>
          <w:szCs w:val="24"/>
        </w:rPr>
        <w:t xml:space="preserve"> la Secretaría </w:t>
      </w:r>
      <w:r w:rsidR="00EF29B2" w:rsidRPr="00D470F4">
        <w:rPr>
          <w:rFonts w:ascii="Times New Roman" w:hAnsi="Times New Roman" w:cs="Times New Roman"/>
          <w:sz w:val="24"/>
          <w:szCs w:val="24"/>
        </w:rPr>
        <w:t xml:space="preserve">de </w:t>
      </w:r>
      <w:r w:rsidR="00DA789D" w:rsidRPr="00D470F4">
        <w:rPr>
          <w:rFonts w:ascii="Times New Roman" w:hAnsi="Times New Roman" w:cs="Times New Roman"/>
          <w:sz w:val="24"/>
          <w:szCs w:val="24"/>
        </w:rPr>
        <w:t>E</w:t>
      </w:r>
      <w:r w:rsidR="00EF29B2" w:rsidRPr="00D470F4">
        <w:rPr>
          <w:rFonts w:ascii="Times New Roman" w:hAnsi="Times New Roman" w:cs="Times New Roman"/>
          <w:sz w:val="24"/>
          <w:szCs w:val="24"/>
        </w:rPr>
        <w:t xml:space="preserve">nergía.  </w:t>
      </w:r>
      <w:r w:rsidRPr="00D470F4">
        <w:rPr>
          <w:rFonts w:ascii="Times New Roman" w:hAnsi="Times New Roman" w:cs="Times New Roman"/>
          <w:sz w:val="24"/>
          <w:szCs w:val="24"/>
        </w:rPr>
        <w:t>La estructura</w:t>
      </w:r>
      <w:r w:rsidR="00EF29B2" w:rsidRPr="00D470F4">
        <w:rPr>
          <w:rFonts w:ascii="Times New Roman" w:hAnsi="Times New Roman" w:cs="Times New Roman"/>
          <w:sz w:val="24"/>
          <w:szCs w:val="24"/>
        </w:rPr>
        <w:t xml:space="preserve"> sectorial de la reforma electrónica de relaciones públicas se muestra en el gráfico 2. 1.</w:t>
      </w:r>
    </w:p>
    <w:p w14:paraId="27616945" w14:textId="24164C5A" w:rsidR="00EF29B2" w:rsidRPr="00D470F4" w:rsidRDefault="00EF29B2"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 xml:space="preserve">El sector de la energía eléctrica de </w:t>
      </w:r>
      <w:r w:rsidR="00DA789D" w:rsidRPr="00D470F4">
        <w:rPr>
          <w:rFonts w:ascii="Times New Roman" w:hAnsi="Times New Roman" w:cs="Times New Roman"/>
          <w:sz w:val="24"/>
          <w:szCs w:val="24"/>
        </w:rPr>
        <w:t xml:space="preserve">alta tensión </w:t>
      </w:r>
      <w:r w:rsidRPr="00D470F4">
        <w:rPr>
          <w:rFonts w:ascii="Times New Roman" w:hAnsi="Times New Roman" w:cs="Times New Roman"/>
          <w:sz w:val="24"/>
          <w:szCs w:val="24"/>
        </w:rPr>
        <w:t xml:space="preserve">sufrió dificultades financieras y operativas </w:t>
      </w:r>
      <w:r w:rsidR="00652520" w:rsidRPr="00D470F4">
        <w:rPr>
          <w:rFonts w:ascii="Times New Roman" w:hAnsi="Times New Roman" w:cs="Times New Roman"/>
          <w:sz w:val="24"/>
          <w:szCs w:val="24"/>
        </w:rPr>
        <w:t>debido a</w:t>
      </w:r>
      <w:r w:rsidRPr="00D470F4">
        <w:rPr>
          <w:rFonts w:ascii="Times New Roman" w:hAnsi="Times New Roman" w:cs="Times New Roman"/>
          <w:sz w:val="24"/>
          <w:szCs w:val="24"/>
        </w:rPr>
        <w:t xml:space="preserve"> las </w:t>
      </w:r>
      <w:proofErr w:type="gramStart"/>
      <w:r w:rsidRPr="00D470F4">
        <w:rPr>
          <w:rFonts w:ascii="Times New Roman" w:hAnsi="Times New Roman" w:cs="Times New Roman"/>
          <w:sz w:val="24"/>
          <w:szCs w:val="24"/>
        </w:rPr>
        <w:t>malas  prácticas</w:t>
      </w:r>
      <w:proofErr w:type="gramEnd"/>
      <w:r w:rsidRPr="00D470F4">
        <w:rPr>
          <w:rFonts w:ascii="Times New Roman" w:hAnsi="Times New Roman" w:cs="Times New Roman"/>
          <w:sz w:val="24"/>
          <w:szCs w:val="24"/>
        </w:rPr>
        <w:t xml:space="preserve"> de gestión y a la inversión insuficiente, así como a la ausencia  de objetivos claros,  a los motivos políticos  de las empresas estatales y a un   entorno económico. de hiperinflación que alcanzó el 200 por ciento mensual en 1989.  El </w:t>
      </w:r>
      <w:proofErr w:type="gramStart"/>
      <w:r w:rsidRPr="00D470F4">
        <w:rPr>
          <w:rFonts w:ascii="Times New Roman" w:hAnsi="Times New Roman" w:cs="Times New Roman"/>
          <w:sz w:val="24"/>
          <w:szCs w:val="24"/>
        </w:rPr>
        <w:t>robo  de</w:t>
      </w:r>
      <w:proofErr w:type="gramEnd"/>
      <w:r w:rsidRPr="00D470F4">
        <w:rPr>
          <w:rFonts w:ascii="Times New Roman" w:hAnsi="Times New Roman" w:cs="Times New Roman"/>
          <w:sz w:val="24"/>
          <w:szCs w:val="24"/>
        </w:rPr>
        <w:t xml:space="preserve"> electricidad y los  apagones, que empeoraron durante las estaciones secas debido a la gran dependencia de  la   generación hidroeléctrica, fueron problemas comunes. En general, las empresas federales de servicios públicos estaban perdiendo más del 20 por ciento de su potencial a</w:t>
      </w:r>
      <w:r w:rsidR="00DA789D" w:rsidRPr="00D470F4">
        <w:rPr>
          <w:rFonts w:ascii="Times New Roman" w:hAnsi="Times New Roman" w:cs="Times New Roman"/>
          <w:sz w:val="24"/>
          <w:szCs w:val="24"/>
        </w:rPr>
        <w:t xml:space="preserve"> causa de</w:t>
      </w:r>
      <w:r w:rsidRPr="00D470F4">
        <w:rPr>
          <w:rFonts w:ascii="Times New Roman" w:hAnsi="Times New Roman" w:cs="Times New Roman"/>
          <w:sz w:val="24"/>
          <w:szCs w:val="24"/>
        </w:rPr>
        <w:t xml:space="preserve"> los clientes que no pagaban.</w:t>
      </w:r>
    </w:p>
    <w:p w14:paraId="18B6068B" w14:textId="10807C54" w:rsidR="00DA789D" w:rsidRPr="00D470F4" w:rsidRDefault="00DA789D"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Gráfico Argentina: Taxonomía del sector eléctrico antes de la reforma (1990</w:t>
      </w:r>
      <w:r w:rsidR="00652520" w:rsidRPr="00D470F4">
        <w:rPr>
          <w:rFonts w:ascii="Times New Roman" w:hAnsi="Times New Roman" w:cs="Times New Roman"/>
          <w:sz w:val="24"/>
          <w:szCs w:val="24"/>
        </w:rPr>
        <w:t>)</w:t>
      </w:r>
    </w:p>
    <w:p w14:paraId="5B85820A" w14:textId="5FE45C89" w:rsidR="00EF29B2" w:rsidRPr="00D470F4" w:rsidRDefault="00EF29B2"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 xml:space="preserve">El primer instrumento legislativo para reformar el sector eléctrico fue la Ley </w:t>
      </w:r>
      <w:proofErr w:type="spellStart"/>
      <w:r w:rsidRPr="00D470F4">
        <w:rPr>
          <w:rFonts w:ascii="Times New Roman" w:hAnsi="Times New Roman" w:cs="Times New Roman"/>
          <w:sz w:val="24"/>
          <w:szCs w:val="24"/>
        </w:rPr>
        <w:t>N</w:t>
      </w:r>
      <w:r w:rsidR="00652520" w:rsidRPr="00D470F4">
        <w:rPr>
          <w:rFonts w:ascii="Times New Roman" w:hAnsi="Times New Roman" w:cs="Times New Roman"/>
          <w:sz w:val="24"/>
          <w:szCs w:val="24"/>
        </w:rPr>
        <w:t>°</w:t>
      </w:r>
      <w:proofErr w:type="spellEnd"/>
      <w:r w:rsidRPr="00D470F4">
        <w:rPr>
          <w:rFonts w:ascii="Times New Roman" w:hAnsi="Times New Roman" w:cs="Times New Roman"/>
          <w:sz w:val="24"/>
          <w:szCs w:val="24"/>
        </w:rPr>
        <w:t xml:space="preserve"> </w:t>
      </w:r>
      <w:proofErr w:type="gramStart"/>
      <w:r w:rsidRPr="00D470F4">
        <w:rPr>
          <w:rFonts w:ascii="Times New Roman" w:hAnsi="Times New Roman" w:cs="Times New Roman"/>
          <w:sz w:val="24"/>
          <w:szCs w:val="24"/>
        </w:rPr>
        <w:t>23</w:t>
      </w:r>
      <w:r w:rsidR="00652520" w:rsidRPr="00D470F4">
        <w:rPr>
          <w:rFonts w:ascii="Times New Roman" w:hAnsi="Times New Roman" w:cs="Times New Roman"/>
          <w:sz w:val="24"/>
          <w:szCs w:val="24"/>
        </w:rPr>
        <w:t>.</w:t>
      </w:r>
      <w:r w:rsidRPr="00D470F4">
        <w:rPr>
          <w:rFonts w:ascii="Times New Roman" w:hAnsi="Times New Roman" w:cs="Times New Roman"/>
          <w:sz w:val="24"/>
          <w:szCs w:val="24"/>
        </w:rPr>
        <w:t>696  de</w:t>
      </w:r>
      <w:proofErr w:type="gramEnd"/>
      <w:r w:rsidRPr="00D470F4">
        <w:rPr>
          <w:rFonts w:ascii="Times New Roman" w:hAnsi="Times New Roman" w:cs="Times New Roman"/>
          <w:sz w:val="24"/>
          <w:szCs w:val="24"/>
        </w:rPr>
        <w:t xml:space="preserve">  1989 -la  Ley de Reforma del Estado- que </w:t>
      </w:r>
      <w:r w:rsidR="00DA789D" w:rsidRPr="00D470F4">
        <w:rPr>
          <w:rFonts w:ascii="Times New Roman" w:hAnsi="Times New Roman" w:cs="Times New Roman"/>
          <w:sz w:val="24"/>
          <w:szCs w:val="24"/>
        </w:rPr>
        <w:t xml:space="preserve">creó </w:t>
      </w:r>
      <w:r w:rsidRPr="00D470F4">
        <w:rPr>
          <w:rFonts w:ascii="Times New Roman" w:hAnsi="Times New Roman" w:cs="Times New Roman"/>
          <w:sz w:val="24"/>
          <w:szCs w:val="24"/>
        </w:rPr>
        <w:t>la</w:t>
      </w:r>
      <w:r w:rsidR="00DA789D" w:rsidRPr="00D470F4">
        <w:rPr>
          <w:rFonts w:ascii="Times New Roman" w:hAnsi="Times New Roman" w:cs="Times New Roman"/>
          <w:sz w:val="24"/>
          <w:szCs w:val="24"/>
        </w:rPr>
        <w:t xml:space="preserve"> </w:t>
      </w:r>
      <w:r w:rsidRPr="00D470F4">
        <w:rPr>
          <w:rFonts w:ascii="Times New Roman" w:hAnsi="Times New Roman" w:cs="Times New Roman"/>
          <w:sz w:val="24"/>
          <w:szCs w:val="24"/>
        </w:rPr>
        <w:t xml:space="preserve"> Oficina Ejecutiva  para reorganizar y privatizar empresas  públicas.  El Decreto </w:t>
      </w:r>
      <w:proofErr w:type="spellStart"/>
      <w:r w:rsidRPr="00D470F4">
        <w:rPr>
          <w:rFonts w:ascii="Times New Roman" w:hAnsi="Times New Roman" w:cs="Times New Roman"/>
          <w:sz w:val="24"/>
          <w:szCs w:val="24"/>
        </w:rPr>
        <w:t>Nº</w:t>
      </w:r>
      <w:proofErr w:type="spellEnd"/>
      <w:r w:rsidRPr="00D470F4">
        <w:rPr>
          <w:rFonts w:ascii="Times New Roman" w:hAnsi="Times New Roman" w:cs="Times New Roman"/>
          <w:sz w:val="24"/>
          <w:szCs w:val="24"/>
        </w:rPr>
        <w:t xml:space="preserve"> 634/91 de 1991 fue expedido por el Ministerio de Economía y estableció directrices para la aplicación de la ley de reforma del Estado en el sector eléctrico. </w:t>
      </w:r>
      <w:proofErr w:type="gramStart"/>
      <w:r w:rsidRPr="00D470F4">
        <w:rPr>
          <w:rFonts w:ascii="Times New Roman" w:hAnsi="Times New Roman" w:cs="Times New Roman"/>
          <w:sz w:val="24"/>
          <w:szCs w:val="24"/>
        </w:rPr>
        <w:t>Eliminó  al</w:t>
      </w:r>
      <w:proofErr w:type="gramEnd"/>
      <w:r w:rsidRPr="00D470F4">
        <w:rPr>
          <w:rFonts w:ascii="Times New Roman" w:hAnsi="Times New Roman" w:cs="Times New Roman"/>
          <w:sz w:val="24"/>
          <w:szCs w:val="24"/>
        </w:rPr>
        <w:t xml:space="preserve"> gobierno de la operación directa  en la  industria eléctrica e introdujo los principios básicos de competencia en el mercado de la energía.   La </w:t>
      </w:r>
      <w:r w:rsidR="00DA789D" w:rsidRPr="00D470F4">
        <w:rPr>
          <w:rFonts w:ascii="Times New Roman" w:hAnsi="Times New Roman" w:cs="Times New Roman"/>
          <w:sz w:val="24"/>
          <w:szCs w:val="24"/>
        </w:rPr>
        <w:t xml:space="preserve">Ley </w:t>
      </w:r>
      <w:proofErr w:type="spellStart"/>
      <w:r w:rsidR="00DA789D" w:rsidRPr="00D470F4">
        <w:rPr>
          <w:rFonts w:ascii="Times New Roman" w:hAnsi="Times New Roman" w:cs="Times New Roman"/>
          <w:sz w:val="24"/>
          <w:szCs w:val="24"/>
        </w:rPr>
        <w:t>Nº</w:t>
      </w:r>
      <w:proofErr w:type="spellEnd"/>
      <w:r w:rsidRPr="00D470F4">
        <w:rPr>
          <w:rFonts w:ascii="Times New Roman" w:hAnsi="Times New Roman" w:cs="Times New Roman"/>
          <w:sz w:val="24"/>
          <w:szCs w:val="24"/>
        </w:rPr>
        <w:t xml:space="preserve"> 24065 (1992), Ley </w:t>
      </w:r>
      <w:r w:rsidR="00DA789D" w:rsidRPr="00D470F4">
        <w:rPr>
          <w:rFonts w:ascii="Times New Roman" w:hAnsi="Times New Roman" w:cs="Times New Roman"/>
          <w:sz w:val="24"/>
          <w:szCs w:val="24"/>
        </w:rPr>
        <w:t>de Regulación</w:t>
      </w:r>
      <w:r w:rsidRPr="00D470F4">
        <w:rPr>
          <w:rFonts w:ascii="Times New Roman" w:hAnsi="Times New Roman" w:cs="Times New Roman"/>
          <w:sz w:val="24"/>
          <w:szCs w:val="24"/>
        </w:rPr>
        <w:t xml:space="preserve"> de la Electricidad, </w:t>
      </w:r>
      <w:proofErr w:type="gramStart"/>
      <w:r w:rsidRPr="00D470F4">
        <w:rPr>
          <w:rFonts w:ascii="Times New Roman" w:hAnsi="Times New Roman" w:cs="Times New Roman"/>
          <w:sz w:val="24"/>
          <w:szCs w:val="24"/>
        </w:rPr>
        <w:t>fue  la</w:t>
      </w:r>
      <w:proofErr w:type="gramEnd"/>
      <w:r w:rsidRPr="00D470F4">
        <w:rPr>
          <w:rFonts w:ascii="Times New Roman" w:hAnsi="Times New Roman" w:cs="Times New Roman"/>
          <w:sz w:val="24"/>
          <w:szCs w:val="24"/>
        </w:rPr>
        <w:t xml:space="preserve"> piedra  angular para la ambiciosa reforma y privatización del  sector.  Estableció   </w:t>
      </w:r>
      <w:r w:rsidR="00DA789D" w:rsidRPr="00D470F4">
        <w:rPr>
          <w:rFonts w:ascii="Times New Roman" w:hAnsi="Times New Roman" w:cs="Times New Roman"/>
          <w:sz w:val="24"/>
          <w:szCs w:val="24"/>
        </w:rPr>
        <w:t>el marco</w:t>
      </w:r>
      <w:r w:rsidRPr="00D470F4">
        <w:rPr>
          <w:rFonts w:ascii="Times New Roman" w:hAnsi="Times New Roman" w:cs="Times New Roman"/>
          <w:sz w:val="24"/>
          <w:szCs w:val="24"/>
        </w:rPr>
        <w:t xml:space="preserve"> jurídico para una nueva reestructuración </w:t>
      </w:r>
      <w:proofErr w:type="gramStart"/>
      <w:r w:rsidRPr="00D470F4">
        <w:rPr>
          <w:rFonts w:ascii="Times New Roman" w:hAnsi="Times New Roman" w:cs="Times New Roman"/>
          <w:sz w:val="24"/>
          <w:szCs w:val="24"/>
        </w:rPr>
        <w:t>y  privatización</w:t>
      </w:r>
      <w:proofErr w:type="gramEnd"/>
      <w:r w:rsidRPr="00D470F4">
        <w:rPr>
          <w:rFonts w:ascii="Times New Roman" w:hAnsi="Times New Roman" w:cs="Times New Roman"/>
          <w:sz w:val="24"/>
          <w:szCs w:val="24"/>
        </w:rPr>
        <w:t xml:space="preserve"> destinadas  a estimular la </w:t>
      </w:r>
      <w:r w:rsidRPr="00D470F4">
        <w:rPr>
          <w:rFonts w:ascii="Times New Roman" w:hAnsi="Times New Roman" w:cs="Times New Roman"/>
          <w:sz w:val="24"/>
          <w:szCs w:val="24"/>
        </w:rPr>
        <w:lastRenderedPageBreak/>
        <w:t xml:space="preserve">competencia y beneficiar a los consumidores tanto en precio  como en  calidad del servicio.    Preveía   la privatización </w:t>
      </w:r>
      <w:r w:rsidR="00DA789D" w:rsidRPr="00D470F4">
        <w:rPr>
          <w:rFonts w:ascii="Times New Roman" w:hAnsi="Times New Roman" w:cs="Times New Roman"/>
          <w:sz w:val="24"/>
          <w:szCs w:val="24"/>
        </w:rPr>
        <w:t>de prácticamente</w:t>
      </w:r>
      <w:r w:rsidRPr="00D470F4">
        <w:rPr>
          <w:rFonts w:ascii="Times New Roman" w:hAnsi="Times New Roman" w:cs="Times New Roman"/>
          <w:sz w:val="24"/>
          <w:szCs w:val="24"/>
        </w:rPr>
        <w:t xml:space="preserve"> todas las actividades comerciales </w:t>
      </w:r>
      <w:proofErr w:type="gramStart"/>
      <w:r w:rsidRPr="00D470F4">
        <w:rPr>
          <w:rFonts w:ascii="Times New Roman" w:hAnsi="Times New Roman" w:cs="Times New Roman"/>
          <w:sz w:val="24"/>
          <w:szCs w:val="24"/>
        </w:rPr>
        <w:t>realizadas  por</w:t>
      </w:r>
      <w:proofErr w:type="gramEnd"/>
      <w:r w:rsidRPr="00D470F4">
        <w:rPr>
          <w:rFonts w:ascii="Times New Roman" w:hAnsi="Times New Roman" w:cs="Times New Roman"/>
          <w:sz w:val="24"/>
          <w:szCs w:val="24"/>
        </w:rPr>
        <w:t xml:space="preserve"> empresas  de propiedad  federal.   Estableció las bases </w:t>
      </w:r>
      <w:proofErr w:type="gramStart"/>
      <w:r w:rsidRPr="00D470F4">
        <w:rPr>
          <w:rFonts w:ascii="Times New Roman" w:hAnsi="Times New Roman" w:cs="Times New Roman"/>
          <w:sz w:val="24"/>
          <w:szCs w:val="24"/>
        </w:rPr>
        <w:t>para  el</w:t>
      </w:r>
      <w:proofErr w:type="gramEnd"/>
      <w:r w:rsidRPr="00D470F4">
        <w:rPr>
          <w:rFonts w:ascii="Times New Roman" w:hAnsi="Times New Roman" w:cs="Times New Roman"/>
          <w:sz w:val="24"/>
          <w:szCs w:val="24"/>
        </w:rPr>
        <w:t xml:space="preserve"> regulador  independiente  del sector, el Ente Nacional Regulador de la Electricidad (ENRE), y  otras autoridades  institucionales del sector, y creó   el  Mercado  Eléctrico Mayorista  (MEM), y su operador  independiente, Compañía Administradora del Mercado Mayorista  Eléctrico S.A.    (CAMMESA).   También sentó las bases </w:t>
      </w:r>
      <w:proofErr w:type="gramStart"/>
      <w:r w:rsidRPr="00D470F4">
        <w:rPr>
          <w:rFonts w:ascii="Times New Roman" w:hAnsi="Times New Roman" w:cs="Times New Roman"/>
          <w:sz w:val="24"/>
          <w:szCs w:val="24"/>
        </w:rPr>
        <w:t>para  la</w:t>
      </w:r>
      <w:proofErr w:type="gramEnd"/>
      <w:r w:rsidRPr="00D470F4">
        <w:rPr>
          <w:rFonts w:ascii="Times New Roman" w:hAnsi="Times New Roman" w:cs="Times New Roman"/>
          <w:sz w:val="24"/>
          <w:szCs w:val="24"/>
        </w:rPr>
        <w:t xml:space="preserve"> administración de todo el mercado de  venta  de energía, la fijación de   precios en el mercado spot, la fijación de tarifas en áreas reguladas  y la valoración  de los activos a privatizar.  </w:t>
      </w:r>
      <w:r w:rsidR="00DA789D" w:rsidRPr="00D470F4">
        <w:rPr>
          <w:rFonts w:ascii="Times New Roman" w:hAnsi="Times New Roman" w:cs="Times New Roman"/>
          <w:sz w:val="24"/>
          <w:szCs w:val="24"/>
        </w:rPr>
        <w:t xml:space="preserve">LA </w:t>
      </w:r>
      <w:r w:rsidRPr="00D470F4">
        <w:rPr>
          <w:rFonts w:ascii="Times New Roman" w:hAnsi="Times New Roman" w:cs="Times New Roman"/>
          <w:sz w:val="24"/>
          <w:szCs w:val="24"/>
        </w:rPr>
        <w:t>Resolución 38/91</w:t>
      </w:r>
      <w:r w:rsidR="00DA789D" w:rsidRPr="00D470F4">
        <w:rPr>
          <w:rFonts w:ascii="Times New Roman" w:hAnsi="Times New Roman" w:cs="Times New Roman"/>
          <w:sz w:val="24"/>
          <w:szCs w:val="24"/>
        </w:rPr>
        <w:t xml:space="preserve"> </w:t>
      </w:r>
      <w:r w:rsidRPr="00D470F4">
        <w:rPr>
          <w:rFonts w:ascii="Times New Roman" w:hAnsi="Times New Roman" w:cs="Times New Roman"/>
          <w:sz w:val="24"/>
          <w:szCs w:val="24"/>
        </w:rPr>
        <w:t xml:space="preserve">estableció </w:t>
      </w:r>
      <w:r w:rsidR="00DA789D" w:rsidRPr="00D470F4">
        <w:rPr>
          <w:rFonts w:ascii="Times New Roman" w:hAnsi="Times New Roman" w:cs="Times New Roman"/>
          <w:sz w:val="24"/>
          <w:szCs w:val="24"/>
        </w:rPr>
        <w:t xml:space="preserve">las </w:t>
      </w:r>
      <w:r w:rsidRPr="00D470F4">
        <w:rPr>
          <w:rFonts w:ascii="Times New Roman" w:hAnsi="Times New Roman" w:cs="Times New Roman"/>
          <w:sz w:val="24"/>
          <w:szCs w:val="24"/>
        </w:rPr>
        <w:t>reglas para el MEM.</w:t>
      </w:r>
    </w:p>
    <w:p w14:paraId="01028A66" w14:textId="136CF9A4" w:rsidR="00DA789D" w:rsidRPr="00D470F4" w:rsidRDefault="00EF29B2"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 xml:space="preserve">La ley de 1992 dividió la industria eléctrica en sectores de generación, transmisión y distribución. Se introdujo la competencia en el sector de </w:t>
      </w:r>
      <w:proofErr w:type="gramStart"/>
      <w:r w:rsidRPr="00D470F4">
        <w:rPr>
          <w:rFonts w:ascii="Times New Roman" w:hAnsi="Times New Roman" w:cs="Times New Roman"/>
          <w:sz w:val="24"/>
          <w:szCs w:val="24"/>
        </w:rPr>
        <w:t>la  generación</w:t>
      </w:r>
      <w:proofErr w:type="gramEnd"/>
      <w:r w:rsidRPr="00D470F4">
        <w:rPr>
          <w:rFonts w:ascii="Times New Roman" w:hAnsi="Times New Roman" w:cs="Times New Roman"/>
          <w:sz w:val="24"/>
          <w:szCs w:val="24"/>
        </w:rPr>
        <w:t xml:space="preserve"> de electricidad y  se  aplicó  una regulación a los  monopolios  privados de transmisión y distribución de electricidad.  Según la ley, las empresas de generación de </w:t>
      </w:r>
      <w:proofErr w:type="gramStart"/>
      <w:r w:rsidRPr="00D470F4">
        <w:rPr>
          <w:rFonts w:ascii="Times New Roman" w:hAnsi="Times New Roman" w:cs="Times New Roman"/>
          <w:sz w:val="24"/>
          <w:szCs w:val="24"/>
        </w:rPr>
        <w:t>energía  no</w:t>
      </w:r>
      <w:proofErr w:type="gramEnd"/>
      <w:r w:rsidRPr="00D470F4">
        <w:rPr>
          <w:rFonts w:ascii="Times New Roman" w:hAnsi="Times New Roman" w:cs="Times New Roman"/>
          <w:sz w:val="24"/>
          <w:szCs w:val="24"/>
        </w:rPr>
        <w:t xml:space="preserve"> pueden poseer acciones mayoritarias en  las  tres compañías de  transmisión de Argentina.   Las compañías </w:t>
      </w:r>
      <w:proofErr w:type="gramStart"/>
      <w:r w:rsidRPr="00D470F4">
        <w:rPr>
          <w:rFonts w:ascii="Times New Roman" w:hAnsi="Times New Roman" w:cs="Times New Roman"/>
          <w:sz w:val="24"/>
          <w:szCs w:val="24"/>
        </w:rPr>
        <w:t>de  transmisión</w:t>
      </w:r>
      <w:proofErr w:type="gramEnd"/>
      <w:r w:rsidRPr="00D470F4">
        <w:rPr>
          <w:rFonts w:ascii="Times New Roman" w:hAnsi="Times New Roman" w:cs="Times New Roman"/>
          <w:sz w:val="24"/>
          <w:szCs w:val="24"/>
        </w:rPr>
        <w:t xml:space="preserve"> tienen que proporcionar  acceso abierto a sus sistemas para los generadores de energía de forma regulada.   Los transmisores tienen prohibido generar o distribuir </w:t>
      </w:r>
      <w:proofErr w:type="gramStart"/>
      <w:r w:rsidRPr="00D470F4">
        <w:rPr>
          <w:rFonts w:ascii="Times New Roman" w:hAnsi="Times New Roman" w:cs="Times New Roman"/>
          <w:sz w:val="24"/>
          <w:szCs w:val="24"/>
        </w:rPr>
        <w:t>energía;  Se</w:t>
      </w:r>
      <w:proofErr w:type="gramEnd"/>
      <w:r w:rsidRPr="00D470F4">
        <w:rPr>
          <w:rFonts w:ascii="Times New Roman" w:hAnsi="Times New Roman" w:cs="Times New Roman"/>
          <w:sz w:val="24"/>
          <w:szCs w:val="24"/>
        </w:rPr>
        <w:t xml:space="preserve"> les permite  cobrar un peaje/tarifa por sus servicios  de transmisión.    Las empresas distribuidoras se organizan como monopolios regionales y compran electricidad al MEM o mediante contratos con empresas de generación de energía. Argentina también redujo las barreras al mercado de energía para nuevos productores independientes </w:t>
      </w:r>
      <w:proofErr w:type="gramStart"/>
      <w:r w:rsidRPr="00D470F4">
        <w:rPr>
          <w:rFonts w:ascii="Times New Roman" w:hAnsi="Times New Roman" w:cs="Times New Roman"/>
          <w:sz w:val="24"/>
          <w:szCs w:val="24"/>
        </w:rPr>
        <w:t>de  energía</w:t>
      </w:r>
      <w:proofErr w:type="gramEnd"/>
      <w:r w:rsidRPr="00D470F4">
        <w:rPr>
          <w:rFonts w:ascii="Times New Roman" w:hAnsi="Times New Roman" w:cs="Times New Roman"/>
          <w:sz w:val="24"/>
          <w:szCs w:val="24"/>
        </w:rPr>
        <w:t xml:space="preserve"> y grupos de proveedores.  El   mercado de la </w:t>
      </w:r>
      <w:proofErr w:type="gramStart"/>
      <w:r w:rsidRPr="00D470F4">
        <w:rPr>
          <w:rFonts w:ascii="Times New Roman" w:hAnsi="Times New Roman" w:cs="Times New Roman"/>
          <w:sz w:val="24"/>
          <w:szCs w:val="24"/>
        </w:rPr>
        <w:t>energía  se</w:t>
      </w:r>
      <w:proofErr w:type="gramEnd"/>
      <w:r w:rsidRPr="00D470F4">
        <w:rPr>
          <w:rFonts w:ascii="Times New Roman" w:hAnsi="Times New Roman" w:cs="Times New Roman"/>
          <w:sz w:val="24"/>
          <w:szCs w:val="24"/>
        </w:rPr>
        <w:t xml:space="preserve"> abrió inicialmente  a clientes con demandas superiores  a 5 MW, y este umbral se ha  reducido sucesivamente a 30 kW</w:t>
      </w:r>
      <w:r w:rsidR="00DA789D" w:rsidRPr="00D470F4">
        <w:rPr>
          <w:rFonts w:ascii="Times New Roman" w:hAnsi="Times New Roman" w:cs="Times New Roman"/>
          <w:sz w:val="24"/>
          <w:szCs w:val="24"/>
        </w:rPr>
        <w:t xml:space="preserve"> lo cual permite</w:t>
      </w:r>
      <w:r w:rsidRPr="00D470F4">
        <w:rPr>
          <w:rFonts w:ascii="Times New Roman" w:hAnsi="Times New Roman" w:cs="Times New Roman"/>
          <w:sz w:val="24"/>
          <w:szCs w:val="24"/>
        </w:rPr>
        <w:t xml:space="preserve"> contratar  directamente  con generadores y participar directamente en MEM.  La estructura del sector posterior a la reforma se </w:t>
      </w:r>
      <w:r w:rsidRPr="00D470F4">
        <w:rPr>
          <w:rFonts w:ascii="Times New Roman" w:hAnsi="Times New Roman" w:cs="Times New Roman"/>
          <w:sz w:val="24"/>
          <w:szCs w:val="24"/>
        </w:rPr>
        <w:lastRenderedPageBreak/>
        <w:t xml:space="preserve">muestra en el gráfico 2.2. Las redes de </w:t>
      </w:r>
      <w:proofErr w:type="gramStart"/>
      <w:r w:rsidRPr="00D470F4">
        <w:rPr>
          <w:rFonts w:ascii="Times New Roman" w:hAnsi="Times New Roman" w:cs="Times New Roman"/>
          <w:sz w:val="24"/>
          <w:szCs w:val="24"/>
        </w:rPr>
        <w:t>distribución  y</w:t>
      </w:r>
      <w:proofErr w:type="gramEnd"/>
      <w:r w:rsidRPr="00D470F4">
        <w:rPr>
          <w:rFonts w:ascii="Times New Roman" w:hAnsi="Times New Roman" w:cs="Times New Roman"/>
          <w:sz w:val="24"/>
          <w:szCs w:val="24"/>
        </w:rPr>
        <w:t xml:space="preserve"> transmisión se  explotan  en virtud de concesiones que se adjudican mediante un proceso de licitación pública.  Las redes de transmisión operan bajo concesiones de 95 </w:t>
      </w:r>
      <w:proofErr w:type="gramStart"/>
      <w:r w:rsidRPr="00D470F4">
        <w:rPr>
          <w:rFonts w:ascii="Times New Roman" w:hAnsi="Times New Roman" w:cs="Times New Roman"/>
          <w:sz w:val="24"/>
          <w:szCs w:val="24"/>
        </w:rPr>
        <w:t>años,  sujetas</w:t>
      </w:r>
      <w:proofErr w:type="gramEnd"/>
      <w:r w:rsidRPr="00D470F4">
        <w:rPr>
          <w:rFonts w:ascii="Times New Roman" w:hAnsi="Times New Roman" w:cs="Times New Roman"/>
          <w:sz w:val="24"/>
          <w:szCs w:val="24"/>
        </w:rPr>
        <w:t xml:space="preserve"> a contratos</w:t>
      </w:r>
      <w:r w:rsidR="00DA789D" w:rsidRPr="00D470F4">
        <w:rPr>
          <w:rFonts w:ascii="Times New Roman" w:hAnsi="Times New Roman" w:cs="Times New Roman"/>
          <w:sz w:val="24"/>
          <w:szCs w:val="24"/>
        </w:rPr>
        <w:t xml:space="preserve"> de gestión</w:t>
      </w:r>
      <w:r w:rsidRPr="00D470F4">
        <w:rPr>
          <w:rFonts w:ascii="Times New Roman" w:hAnsi="Times New Roman" w:cs="Times New Roman"/>
          <w:sz w:val="24"/>
          <w:szCs w:val="24"/>
        </w:rPr>
        <w:t xml:space="preserve"> que se renuevan cada 15 años.  Las tarifas de transmisión debían ser revisadas cada 5 años por ENRE. La distribución de electricidad en el área metropolitana de Buenos Aires está regulada por contratos de concesión por </w:t>
      </w:r>
      <w:proofErr w:type="gramStart"/>
      <w:r w:rsidRPr="00D470F4">
        <w:rPr>
          <w:rFonts w:ascii="Times New Roman" w:hAnsi="Times New Roman" w:cs="Times New Roman"/>
          <w:sz w:val="24"/>
          <w:szCs w:val="24"/>
        </w:rPr>
        <w:t>99  años</w:t>
      </w:r>
      <w:proofErr w:type="gramEnd"/>
      <w:r w:rsidRPr="00D470F4">
        <w:rPr>
          <w:rFonts w:ascii="Times New Roman" w:hAnsi="Times New Roman" w:cs="Times New Roman"/>
          <w:sz w:val="24"/>
          <w:szCs w:val="24"/>
        </w:rPr>
        <w:t>,  con precios originalmente sujetos a revisión cada 5 años, momento en el cual las tarifas de distribución para clientes regulados debían ser restablecidas luego de una evaluación del ENRE bajo los principios de regulación de incentivos.</w:t>
      </w:r>
    </w:p>
    <w:p w14:paraId="52DCD5A0" w14:textId="7A97DAE6" w:rsidR="00EF29B2" w:rsidRPr="00D470F4" w:rsidRDefault="00EF29B2"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 xml:space="preserve"> En virtud de los contratos de concesión, los distribuidores de electricidad recibieron fuertes incentivos para reducir </w:t>
      </w:r>
      <w:proofErr w:type="gramStart"/>
      <w:r w:rsidRPr="00D470F4">
        <w:rPr>
          <w:rFonts w:ascii="Times New Roman" w:hAnsi="Times New Roman" w:cs="Times New Roman"/>
          <w:sz w:val="24"/>
          <w:szCs w:val="24"/>
        </w:rPr>
        <w:t>las  pérdidas</w:t>
      </w:r>
      <w:proofErr w:type="gramEnd"/>
      <w:r w:rsidRPr="00D470F4">
        <w:rPr>
          <w:rFonts w:ascii="Times New Roman" w:hAnsi="Times New Roman" w:cs="Times New Roman"/>
          <w:sz w:val="24"/>
          <w:szCs w:val="24"/>
        </w:rPr>
        <w:t xml:space="preserve">  de energía causadas por una combinación de ineficiencia técnica y robo.  Las tarifas de acceso de terceros a la red de distribución se negocian, en lugar de regularse. Para los clientes regulados (todos los clientes residenciales, pequeños comerciales y pequeños clientes industriales), </w:t>
      </w:r>
      <w:proofErr w:type="gramStart"/>
      <w:r w:rsidRPr="00D470F4">
        <w:rPr>
          <w:rFonts w:ascii="Times New Roman" w:hAnsi="Times New Roman" w:cs="Times New Roman"/>
          <w:sz w:val="24"/>
          <w:szCs w:val="24"/>
        </w:rPr>
        <w:t>la  tarifa</w:t>
      </w:r>
      <w:proofErr w:type="gramEnd"/>
      <w:r w:rsidRPr="00D470F4">
        <w:rPr>
          <w:rFonts w:ascii="Times New Roman" w:hAnsi="Times New Roman" w:cs="Times New Roman"/>
          <w:sz w:val="24"/>
          <w:szCs w:val="24"/>
        </w:rPr>
        <w:t xml:space="preserve"> de electricidad  puede ajustarse cada tres meses sobre la base del precio estacional de la  energía  ,  que se establece cada seis meses.   Fuera de Buenos Aires otras provincias tienen su propio sistema de regulación de la distribución, pero sus distribuidores pagan por la energía para los clientes regulados utilizando la misma fórmula de precios estacionales. La mayoría de ellos han basado la regulación de las tarifas finales en los principios establecidos en la ley de electricidad de 1992.  En 2000 se privatizó alrededor del 25 por ciento de la distribución provincial de electricidad.</w:t>
      </w:r>
    </w:p>
    <w:p w14:paraId="04AF0B66" w14:textId="68ED4E4E" w:rsidR="00EF29B2" w:rsidRPr="00D470F4" w:rsidRDefault="00652520"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 xml:space="preserve">El </w:t>
      </w:r>
      <w:r w:rsidR="00EF29B2" w:rsidRPr="00D470F4">
        <w:rPr>
          <w:rFonts w:ascii="Times New Roman" w:hAnsi="Times New Roman" w:cs="Times New Roman"/>
          <w:sz w:val="24"/>
          <w:szCs w:val="24"/>
        </w:rPr>
        <w:t xml:space="preserve">MEM </w:t>
      </w:r>
      <w:r w:rsidRPr="00D470F4">
        <w:rPr>
          <w:rFonts w:ascii="Times New Roman" w:hAnsi="Times New Roman" w:cs="Times New Roman"/>
          <w:sz w:val="24"/>
          <w:szCs w:val="24"/>
        </w:rPr>
        <w:t xml:space="preserve">contiene </w:t>
      </w:r>
      <w:r w:rsidR="00EF29B2" w:rsidRPr="00D470F4">
        <w:rPr>
          <w:rFonts w:ascii="Times New Roman" w:hAnsi="Times New Roman" w:cs="Times New Roman"/>
          <w:sz w:val="24"/>
          <w:szCs w:val="24"/>
        </w:rPr>
        <w:t xml:space="preserve">el suministro de electricidad de todas las fuentes de generación, incluidos los productores de energía independientes, los generadores federales, los </w:t>
      </w:r>
      <w:proofErr w:type="gramStart"/>
      <w:r w:rsidR="00EF29B2" w:rsidRPr="00D470F4">
        <w:rPr>
          <w:rFonts w:ascii="Times New Roman" w:hAnsi="Times New Roman" w:cs="Times New Roman"/>
          <w:sz w:val="24"/>
          <w:szCs w:val="24"/>
        </w:rPr>
        <w:t>generadores  de</w:t>
      </w:r>
      <w:proofErr w:type="gramEnd"/>
      <w:r w:rsidR="00EF29B2" w:rsidRPr="00D470F4">
        <w:rPr>
          <w:rFonts w:ascii="Times New Roman" w:hAnsi="Times New Roman" w:cs="Times New Roman"/>
          <w:sz w:val="24"/>
          <w:szCs w:val="24"/>
        </w:rPr>
        <w:t xml:space="preserve"> energía hidroeléctrica binacionales y las fuentes extranjeras de energía  interconectadas a la red de Argentina. Comprende (1) un mercado</w:t>
      </w:r>
      <w:r w:rsidR="00DA789D" w:rsidRPr="00D470F4">
        <w:rPr>
          <w:rFonts w:ascii="Times New Roman" w:hAnsi="Times New Roman" w:cs="Times New Roman"/>
          <w:sz w:val="24"/>
          <w:szCs w:val="24"/>
        </w:rPr>
        <w:t xml:space="preserve"> a término</w:t>
      </w:r>
      <w:r w:rsidR="00EF29B2" w:rsidRPr="00D470F4">
        <w:rPr>
          <w:rFonts w:ascii="Times New Roman" w:hAnsi="Times New Roman" w:cs="Times New Roman"/>
          <w:sz w:val="24"/>
          <w:szCs w:val="24"/>
        </w:rPr>
        <w:t xml:space="preserve"> que </w:t>
      </w:r>
      <w:r w:rsidR="00EF29B2" w:rsidRPr="00D470F4">
        <w:rPr>
          <w:rFonts w:ascii="Times New Roman" w:hAnsi="Times New Roman" w:cs="Times New Roman"/>
          <w:sz w:val="24"/>
          <w:szCs w:val="24"/>
        </w:rPr>
        <w:lastRenderedPageBreak/>
        <w:t xml:space="preserve">comprende acuerdos para los cuales las cantidades, precios y condiciones se negocian directamente entre compradores y </w:t>
      </w:r>
      <w:proofErr w:type="gramStart"/>
      <w:r w:rsidR="00EF29B2" w:rsidRPr="00D470F4">
        <w:rPr>
          <w:rFonts w:ascii="Times New Roman" w:hAnsi="Times New Roman" w:cs="Times New Roman"/>
          <w:sz w:val="24"/>
          <w:szCs w:val="24"/>
        </w:rPr>
        <w:t>vendedores;  2</w:t>
      </w:r>
      <w:proofErr w:type="gramEnd"/>
      <w:r w:rsidR="00EF29B2" w:rsidRPr="00D470F4">
        <w:rPr>
          <w:rFonts w:ascii="Times New Roman" w:hAnsi="Times New Roman" w:cs="Times New Roman"/>
          <w:sz w:val="24"/>
          <w:szCs w:val="24"/>
        </w:rPr>
        <w:t>) un mercado al contado  con  precios horarios teniendo en cuenta los costes económicos de producción;  y</w:t>
      </w:r>
      <w:r w:rsidR="00DA789D" w:rsidRPr="00D470F4">
        <w:rPr>
          <w:rFonts w:ascii="Times New Roman" w:hAnsi="Times New Roman" w:cs="Times New Roman"/>
          <w:sz w:val="24"/>
          <w:szCs w:val="24"/>
        </w:rPr>
        <w:t xml:space="preserve"> </w:t>
      </w:r>
      <w:r w:rsidR="00EF29B2" w:rsidRPr="00D470F4">
        <w:rPr>
          <w:rFonts w:ascii="Times New Roman" w:hAnsi="Times New Roman" w:cs="Times New Roman"/>
          <w:sz w:val="24"/>
          <w:szCs w:val="24"/>
        </w:rPr>
        <w:t xml:space="preserve">(3)  un mercado equilibrado.  Todas las entidades que participan en el mercado, independientemente de su propiedad, deben </w:t>
      </w:r>
      <w:r w:rsidRPr="00D470F4">
        <w:rPr>
          <w:rFonts w:ascii="Times New Roman" w:hAnsi="Times New Roman" w:cs="Times New Roman"/>
          <w:sz w:val="24"/>
          <w:szCs w:val="24"/>
        </w:rPr>
        <w:t>seguir las</w:t>
      </w:r>
      <w:r w:rsidR="00EF29B2" w:rsidRPr="00D470F4">
        <w:rPr>
          <w:rFonts w:ascii="Times New Roman" w:hAnsi="Times New Roman" w:cs="Times New Roman"/>
          <w:sz w:val="24"/>
          <w:szCs w:val="24"/>
        </w:rPr>
        <w:t xml:space="preserve"> reglas de operación y fijación de precios del mercado.  Por lo tanto, una compañía individual de generación de energía no puede </w:t>
      </w:r>
      <w:r w:rsidRPr="00D470F4">
        <w:rPr>
          <w:rFonts w:ascii="Times New Roman" w:hAnsi="Times New Roman" w:cs="Times New Roman"/>
          <w:sz w:val="24"/>
          <w:szCs w:val="24"/>
        </w:rPr>
        <w:t>tener ventas</w:t>
      </w:r>
      <w:r w:rsidR="00EF29B2" w:rsidRPr="00D470F4">
        <w:rPr>
          <w:rFonts w:ascii="Times New Roman" w:hAnsi="Times New Roman" w:cs="Times New Roman"/>
          <w:sz w:val="24"/>
          <w:szCs w:val="24"/>
        </w:rPr>
        <w:t xml:space="preserve"> de electricidad que </w:t>
      </w:r>
      <w:proofErr w:type="gramStart"/>
      <w:r w:rsidR="00EF29B2" w:rsidRPr="00D470F4">
        <w:rPr>
          <w:rFonts w:ascii="Times New Roman" w:hAnsi="Times New Roman" w:cs="Times New Roman"/>
          <w:sz w:val="24"/>
          <w:szCs w:val="24"/>
        </w:rPr>
        <w:t>excedan  el</w:t>
      </w:r>
      <w:proofErr w:type="gramEnd"/>
      <w:r w:rsidR="00EF29B2" w:rsidRPr="00D470F4">
        <w:rPr>
          <w:rFonts w:ascii="Times New Roman" w:hAnsi="Times New Roman" w:cs="Times New Roman"/>
          <w:sz w:val="24"/>
          <w:szCs w:val="24"/>
        </w:rPr>
        <w:t xml:space="preserve"> 1 por ciento  de las ventas nacionales de electricidad. </w:t>
      </w:r>
    </w:p>
    <w:p w14:paraId="4A54EE91" w14:textId="2E975C78" w:rsidR="00EF29B2" w:rsidRPr="00D470F4" w:rsidRDefault="00EF29B2"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ENRE se encargó de hacer cumplir las leyes,</w:t>
      </w:r>
      <w:r w:rsidR="00DA789D" w:rsidRPr="00D470F4">
        <w:rPr>
          <w:rFonts w:ascii="Times New Roman" w:hAnsi="Times New Roman" w:cs="Times New Roman"/>
          <w:sz w:val="24"/>
          <w:szCs w:val="24"/>
        </w:rPr>
        <w:t xml:space="preserve"> </w:t>
      </w:r>
      <w:r w:rsidRPr="00D470F4">
        <w:rPr>
          <w:rFonts w:ascii="Times New Roman" w:hAnsi="Times New Roman" w:cs="Times New Roman"/>
          <w:sz w:val="24"/>
          <w:szCs w:val="24"/>
        </w:rPr>
        <w:t xml:space="preserve">reglamentos y términos de concesión, establecer estándares de servicio de distribución, resolver disputas entre compañías eléctricas, supervisar CAMMESA y establecer precios máximos de electricidad. CAMMESA administra el mercado mayorista.  Es una corporación sin fines de lucro propiedad a partes iguales del gobierno federal </w:t>
      </w:r>
      <w:r w:rsidR="00652520" w:rsidRPr="00D470F4">
        <w:rPr>
          <w:rFonts w:ascii="Times New Roman" w:hAnsi="Times New Roman" w:cs="Times New Roman"/>
          <w:sz w:val="24"/>
          <w:szCs w:val="24"/>
        </w:rPr>
        <w:t>y cuatro</w:t>
      </w:r>
      <w:r w:rsidRPr="00D470F4">
        <w:rPr>
          <w:rFonts w:ascii="Times New Roman" w:hAnsi="Times New Roman" w:cs="Times New Roman"/>
          <w:sz w:val="24"/>
          <w:szCs w:val="24"/>
        </w:rPr>
        <w:t xml:space="preserve"> asociaciones que representan a generadores, transmisores, distribuidores y usuarios principales.  Planifica y despacha los generadores de acuerdo con la demanda de energía, </w:t>
      </w:r>
      <w:r w:rsidR="00652520" w:rsidRPr="00D470F4">
        <w:rPr>
          <w:rFonts w:ascii="Times New Roman" w:hAnsi="Times New Roman" w:cs="Times New Roman"/>
          <w:sz w:val="24"/>
          <w:szCs w:val="24"/>
        </w:rPr>
        <w:t>sobre la</w:t>
      </w:r>
      <w:r w:rsidRPr="00D470F4">
        <w:rPr>
          <w:rFonts w:ascii="Times New Roman" w:hAnsi="Times New Roman" w:cs="Times New Roman"/>
          <w:sz w:val="24"/>
          <w:szCs w:val="24"/>
        </w:rPr>
        <w:t xml:space="preserve"> base </w:t>
      </w:r>
      <w:proofErr w:type="gramStart"/>
      <w:r w:rsidRPr="00D470F4">
        <w:rPr>
          <w:rFonts w:ascii="Times New Roman" w:hAnsi="Times New Roman" w:cs="Times New Roman"/>
          <w:sz w:val="24"/>
          <w:szCs w:val="24"/>
        </w:rPr>
        <w:t>de  los</w:t>
      </w:r>
      <w:proofErr w:type="gramEnd"/>
      <w:r w:rsidRPr="00D470F4">
        <w:rPr>
          <w:rFonts w:ascii="Times New Roman" w:hAnsi="Times New Roman" w:cs="Times New Roman"/>
          <w:sz w:val="24"/>
          <w:szCs w:val="24"/>
        </w:rPr>
        <w:t xml:space="preserve"> costos marginales   y la disponibilidad ofrecida por los generadores,  despachando primero aquellos generadores que ofrecen los  costos marginales  más bajos.</w:t>
      </w:r>
    </w:p>
    <w:p w14:paraId="37511874" w14:textId="1E769954" w:rsidR="00EF29B2" w:rsidRPr="00D470F4" w:rsidRDefault="00EF29B2"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Los contratos bilaterales se acuerdan entre los generadores, por una parte, y</w:t>
      </w:r>
      <w:r w:rsidR="00DA789D" w:rsidRPr="00D470F4">
        <w:rPr>
          <w:rFonts w:ascii="Times New Roman" w:hAnsi="Times New Roman" w:cs="Times New Roman"/>
          <w:sz w:val="24"/>
          <w:szCs w:val="24"/>
        </w:rPr>
        <w:t xml:space="preserve"> </w:t>
      </w:r>
      <w:r w:rsidRPr="00D470F4">
        <w:rPr>
          <w:rFonts w:ascii="Times New Roman" w:hAnsi="Times New Roman" w:cs="Times New Roman"/>
          <w:sz w:val="24"/>
          <w:szCs w:val="24"/>
        </w:rPr>
        <w:t xml:space="preserve">los distribuidores o grandes consumidores, por otra, a precios </w:t>
      </w:r>
      <w:r w:rsidR="00652520" w:rsidRPr="00D470F4">
        <w:rPr>
          <w:rFonts w:ascii="Times New Roman" w:hAnsi="Times New Roman" w:cs="Times New Roman"/>
          <w:sz w:val="24"/>
          <w:szCs w:val="24"/>
        </w:rPr>
        <w:t>y cantidades</w:t>
      </w:r>
      <w:r w:rsidRPr="00D470F4">
        <w:rPr>
          <w:rFonts w:ascii="Times New Roman" w:hAnsi="Times New Roman" w:cs="Times New Roman"/>
          <w:sz w:val="24"/>
          <w:szCs w:val="24"/>
        </w:rPr>
        <w:t xml:space="preserve"> libremente negociados. CAMMESA utiliza los costos y </w:t>
      </w:r>
      <w:r w:rsidR="00652520" w:rsidRPr="00D470F4">
        <w:rPr>
          <w:rFonts w:ascii="Times New Roman" w:hAnsi="Times New Roman" w:cs="Times New Roman"/>
          <w:sz w:val="24"/>
          <w:szCs w:val="24"/>
        </w:rPr>
        <w:t>la disponibilidad</w:t>
      </w:r>
      <w:r w:rsidRPr="00D470F4">
        <w:rPr>
          <w:rFonts w:ascii="Times New Roman" w:hAnsi="Times New Roman" w:cs="Times New Roman"/>
          <w:sz w:val="24"/>
          <w:szCs w:val="24"/>
        </w:rPr>
        <w:t xml:space="preserve"> declarados por los participantes del MEM para </w:t>
      </w:r>
      <w:proofErr w:type="gramStart"/>
      <w:r w:rsidRPr="00D470F4">
        <w:rPr>
          <w:rFonts w:ascii="Times New Roman" w:hAnsi="Times New Roman" w:cs="Times New Roman"/>
          <w:sz w:val="24"/>
          <w:szCs w:val="24"/>
        </w:rPr>
        <w:t>realizar  el</w:t>
      </w:r>
      <w:proofErr w:type="gramEnd"/>
      <w:r w:rsidRPr="00D470F4">
        <w:rPr>
          <w:rFonts w:ascii="Times New Roman" w:hAnsi="Times New Roman" w:cs="Times New Roman"/>
          <w:sz w:val="24"/>
          <w:szCs w:val="24"/>
        </w:rPr>
        <w:t xml:space="preserve"> despacho centralizado  de la carga y  estimar los precios spot por hora.  El punto de referencia para </w:t>
      </w:r>
      <w:r w:rsidR="00652520" w:rsidRPr="00D470F4">
        <w:rPr>
          <w:rFonts w:ascii="Times New Roman" w:hAnsi="Times New Roman" w:cs="Times New Roman"/>
          <w:sz w:val="24"/>
          <w:szCs w:val="24"/>
        </w:rPr>
        <w:t>calcular el</w:t>
      </w:r>
      <w:r w:rsidRPr="00D470F4">
        <w:rPr>
          <w:rFonts w:ascii="Times New Roman" w:hAnsi="Times New Roman" w:cs="Times New Roman"/>
          <w:sz w:val="24"/>
          <w:szCs w:val="24"/>
        </w:rPr>
        <w:t xml:space="preserve"> despacho de carga es </w:t>
      </w:r>
      <w:proofErr w:type="gramStart"/>
      <w:r w:rsidRPr="00D470F4">
        <w:rPr>
          <w:rFonts w:ascii="Times New Roman" w:hAnsi="Times New Roman" w:cs="Times New Roman"/>
          <w:sz w:val="24"/>
          <w:szCs w:val="24"/>
        </w:rPr>
        <w:t>el  nodo</w:t>
      </w:r>
      <w:proofErr w:type="gramEnd"/>
      <w:r w:rsidRPr="00D470F4">
        <w:rPr>
          <w:rFonts w:ascii="Times New Roman" w:hAnsi="Times New Roman" w:cs="Times New Roman"/>
          <w:sz w:val="24"/>
          <w:szCs w:val="24"/>
        </w:rPr>
        <w:t xml:space="preserve"> Ezeiza, en el  que CAMMESA calcula el precio  marginal corto tirado del  sistema  ,  basado en los costos  variables de las plantas y  el demanda horaria en el sistema.  El precio spot se complementa con un cargo por la capacidad disponible en el sistema.  Solo las plantas despachadas en condiciones críticas de suministro reciben el cargo por </w:t>
      </w:r>
      <w:r w:rsidRPr="00D470F4">
        <w:rPr>
          <w:rFonts w:ascii="Times New Roman" w:hAnsi="Times New Roman" w:cs="Times New Roman"/>
          <w:sz w:val="24"/>
          <w:szCs w:val="24"/>
        </w:rPr>
        <w:lastRenderedPageBreak/>
        <w:t>capacidad. A</w:t>
      </w:r>
      <w:r w:rsidR="00DA789D" w:rsidRPr="00D470F4">
        <w:rPr>
          <w:rFonts w:ascii="Times New Roman" w:hAnsi="Times New Roman" w:cs="Times New Roman"/>
          <w:sz w:val="24"/>
          <w:szCs w:val="24"/>
        </w:rPr>
        <w:t xml:space="preserve"> </w:t>
      </w:r>
      <w:r w:rsidRPr="00D470F4">
        <w:rPr>
          <w:rFonts w:ascii="Times New Roman" w:hAnsi="Times New Roman" w:cs="Times New Roman"/>
          <w:sz w:val="24"/>
          <w:szCs w:val="24"/>
        </w:rPr>
        <w:t>cada planta se le asigna un nodo específico</w:t>
      </w:r>
      <w:r w:rsidR="00DA789D" w:rsidRPr="00D470F4">
        <w:rPr>
          <w:rFonts w:ascii="Times New Roman" w:hAnsi="Times New Roman" w:cs="Times New Roman"/>
          <w:sz w:val="24"/>
          <w:szCs w:val="24"/>
        </w:rPr>
        <w:t xml:space="preserve"> </w:t>
      </w:r>
      <w:r w:rsidRPr="00D470F4">
        <w:rPr>
          <w:rFonts w:ascii="Times New Roman" w:hAnsi="Times New Roman" w:cs="Times New Roman"/>
          <w:sz w:val="24"/>
          <w:szCs w:val="24"/>
        </w:rPr>
        <w:t>dentro del</w:t>
      </w:r>
      <w:r w:rsidR="00DA789D" w:rsidRPr="00D470F4">
        <w:rPr>
          <w:rFonts w:ascii="Times New Roman" w:hAnsi="Times New Roman" w:cs="Times New Roman"/>
          <w:sz w:val="24"/>
          <w:szCs w:val="24"/>
        </w:rPr>
        <w:t xml:space="preserve"> </w:t>
      </w:r>
      <w:r w:rsidRPr="00D470F4">
        <w:rPr>
          <w:rFonts w:ascii="Times New Roman" w:hAnsi="Times New Roman" w:cs="Times New Roman"/>
          <w:sz w:val="24"/>
          <w:szCs w:val="24"/>
        </w:rPr>
        <w:t xml:space="preserve">sistema interconectado, y cada nodo tiene </w:t>
      </w:r>
      <w:proofErr w:type="gramStart"/>
      <w:r w:rsidRPr="00D470F4">
        <w:rPr>
          <w:rFonts w:ascii="Times New Roman" w:hAnsi="Times New Roman" w:cs="Times New Roman"/>
          <w:sz w:val="24"/>
          <w:szCs w:val="24"/>
        </w:rPr>
        <w:t>un  factor</w:t>
      </w:r>
      <w:proofErr w:type="gramEnd"/>
      <w:r w:rsidRPr="00D470F4">
        <w:rPr>
          <w:rFonts w:ascii="Times New Roman" w:hAnsi="Times New Roman" w:cs="Times New Roman"/>
          <w:sz w:val="24"/>
          <w:szCs w:val="24"/>
        </w:rPr>
        <w:t xml:space="preserve"> específico que  determina los precios finales  a los que se remuneran las plantas.</w:t>
      </w:r>
      <w:r w:rsidR="00DA789D" w:rsidRPr="00D470F4">
        <w:rPr>
          <w:rFonts w:ascii="Times New Roman" w:hAnsi="Times New Roman" w:cs="Times New Roman"/>
          <w:sz w:val="24"/>
          <w:szCs w:val="24"/>
        </w:rPr>
        <w:t xml:space="preserve"> </w:t>
      </w:r>
      <w:r w:rsidRPr="00D470F4">
        <w:rPr>
          <w:rFonts w:ascii="Times New Roman" w:hAnsi="Times New Roman" w:cs="Times New Roman"/>
          <w:sz w:val="24"/>
          <w:szCs w:val="24"/>
        </w:rPr>
        <w:t xml:space="preserve">El factor nodal se calcula teniendo en cuenta las restricciones y pérdidas técnicas en el </w:t>
      </w:r>
      <w:r w:rsidR="00652520" w:rsidRPr="00D470F4">
        <w:rPr>
          <w:rFonts w:ascii="Times New Roman" w:hAnsi="Times New Roman" w:cs="Times New Roman"/>
          <w:sz w:val="24"/>
          <w:szCs w:val="24"/>
        </w:rPr>
        <w:t>sistema de</w:t>
      </w:r>
      <w:r w:rsidRPr="00D470F4">
        <w:rPr>
          <w:rFonts w:ascii="Times New Roman" w:hAnsi="Times New Roman" w:cs="Times New Roman"/>
          <w:sz w:val="24"/>
          <w:szCs w:val="24"/>
        </w:rPr>
        <w:t xml:space="preserve"> transmisión.</w:t>
      </w:r>
    </w:p>
    <w:p w14:paraId="59EB2034" w14:textId="584B056A" w:rsidR="00DA789D" w:rsidRPr="00D470F4" w:rsidRDefault="00EF29B2"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 xml:space="preserve">Entre abril de 1992 y junio de 1995 se privatizaron   más de 25 empresas eléctricas estatales. Las instalaciones de generación convencional (térmica e hidroeléctrica) se vendieron por separado, esencialmente convirtiendo a cada instalación de generación privatizada en un productor de energía independiente. Las instalaciones de generación de petróleo se </w:t>
      </w:r>
      <w:proofErr w:type="gramStart"/>
      <w:r w:rsidRPr="00D470F4">
        <w:rPr>
          <w:rFonts w:ascii="Times New Roman" w:hAnsi="Times New Roman" w:cs="Times New Roman"/>
          <w:sz w:val="24"/>
          <w:szCs w:val="24"/>
        </w:rPr>
        <w:t>vendieron  directamente</w:t>
      </w:r>
      <w:proofErr w:type="gramEnd"/>
      <w:r w:rsidRPr="00D470F4">
        <w:rPr>
          <w:rFonts w:ascii="Times New Roman" w:hAnsi="Times New Roman" w:cs="Times New Roman"/>
          <w:sz w:val="24"/>
          <w:szCs w:val="24"/>
        </w:rPr>
        <w:t>, mientras que las concesiones (promediando</w:t>
      </w:r>
      <w:r w:rsidRPr="00D470F4">
        <w:rPr>
          <w:rFonts w:ascii="Times New Roman" w:hAnsi="Times New Roman" w:cs="Times New Roman"/>
          <w:noProof/>
          <w:sz w:val="24"/>
          <w:szCs w:val="24"/>
        </w:rPr>
        <mc:AlternateContent>
          <mc:Choice Requires="wps">
            <w:drawing>
              <wp:anchor distT="0" distB="0" distL="114300" distR="114300" simplePos="0" relativeHeight="251676672" behindDoc="1" locked="0" layoutInCell="1" allowOverlap="1" wp14:anchorId="03797190" wp14:editId="33788D73">
                <wp:simplePos x="0" y="0"/>
                <wp:positionH relativeFrom="page">
                  <wp:posOffset>2710815</wp:posOffset>
                </wp:positionH>
                <wp:positionV relativeFrom="paragraph">
                  <wp:posOffset>106680</wp:posOffset>
                </wp:positionV>
                <wp:extent cx="0" cy="0"/>
                <wp:effectExtent l="5715" t="19050" r="13335" b="15875"/>
                <wp:wrapNone/>
                <wp:docPr id="38" name="Conector recto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E492FF" id="Conector recto 38" o:spid="_x0000_s1026" style="position:absolute;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3.45pt,8.4pt" to="213.4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" strokeweight=".12pt">
                <w10:wrap anchorx="page"/>
              </v:line>
            </w:pict>
          </mc:Fallback>
        </mc:AlternateContent>
      </w:r>
      <w:r w:rsidRPr="00D470F4">
        <w:rPr>
          <w:rFonts w:ascii="Times New Roman" w:hAnsi="Times New Roman" w:cs="Times New Roman"/>
          <w:noProof/>
          <w:sz w:val="24"/>
          <w:szCs w:val="24"/>
        </w:rPr>
        <w:drawing>
          <wp:anchor distT="0" distB="0" distL="0" distR="0" simplePos="0" relativeHeight="251677696" behindDoc="1" locked="0" layoutInCell="1" allowOverlap="1" wp14:anchorId="4EA0B99A" wp14:editId="06FD22DD">
            <wp:simplePos x="0" y="0"/>
            <wp:positionH relativeFrom="page">
              <wp:posOffset>4002023</wp:posOffset>
            </wp:positionH>
            <wp:positionV relativeFrom="paragraph">
              <wp:posOffset>108202</wp:posOffset>
            </wp:positionV>
            <wp:extent cx="102108" cy="51816"/>
            <wp:effectExtent l="0" t="0" r="0" b="0"/>
            <wp:wrapNone/>
            <wp:docPr id="11"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8.png"/>
                    <pic:cNvPicPr/>
                  </pic:nvPicPr>
                  <pic:blipFill>
                    <a:blip r:embed="rId8" cstate="print"/>
                    <a:stretch>
                      <a:fillRect/>
                    </a:stretch>
                  </pic:blipFill>
                  <pic:spPr>
                    <a:xfrm>
                      <a:off x="0" y="0"/>
                      <a:ext cx="102108" cy="51816"/>
                    </a:xfrm>
                    <a:prstGeom prst="rect">
                      <a:avLst/>
                    </a:prstGeom>
                  </pic:spPr>
                </pic:pic>
              </a:graphicData>
            </a:graphic>
          </wp:anchor>
        </w:drawing>
      </w:r>
      <w:r w:rsidRPr="00D470F4">
        <w:rPr>
          <w:rFonts w:ascii="Times New Roman" w:hAnsi="Times New Roman" w:cs="Times New Roman"/>
          <w:noProof/>
          <w:sz w:val="24"/>
          <w:szCs w:val="24"/>
        </w:rPr>
        <w:drawing>
          <wp:anchor distT="0" distB="0" distL="0" distR="0" simplePos="0" relativeHeight="251678720" behindDoc="1" locked="0" layoutInCell="1" allowOverlap="1" wp14:anchorId="382F2A90" wp14:editId="0480AB96">
            <wp:simplePos x="0" y="0"/>
            <wp:positionH relativeFrom="page">
              <wp:posOffset>2243454</wp:posOffset>
            </wp:positionH>
            <wp:positionV relativeFrom="paragraph">
              <wp:posOffset>272794</wp:posOffset>
            </wp:positionV>
            <wp:extent cx="1524" cy="51816"/>
            <wp:effectExtent l="0" t="0" r="0" b="0"/>
            <wp:wrapNone/>
            <wp:docPr id="13"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9.png"/>
                    <pic:cNvPicPr/>
                  </pic:nvPicPr>
                  <pic:blipFill>
                    <a:blip r:embed="rId9" cstate="print"/>
                    <a:stretch>
                      <a:fillRect/>
                    </a:stretch>
                  </pic:blipFill>
                  <pic:spPr>
                    <a:xfrm>
                      <a:off x="0" y="0"/>
                      <a:ext cx="1524" cy="51816"/>
                    </a:xfrm>
                    <a:prstGeom prst="rect">
                      <a:avLst/>
                    </a:prstGeom>
                  </pic:spPr>
                </pic:pic>
              </a:graphicData>
            </a:graphic>
          </wp:anchor>
        </w:drawing>
      </w:r>
      <w:r w:rsidRPr="00D470F4">
        <w:rPr>
          <w:rFonts w:ascii="Times New Roman" w:hAnsi="Times New Roman" w:cs="Times New Roman"/>
          <w:noProof/>
          <w:sz w:val="24"/>
          <w:szCs w:val="24"/>
        </w:rPr>
        <w:drawing>
          <wp:anchor distT="0" distB="0" distL="0" distR="0" simplePos="0" relativeHeight="251679744" behindDoc="1" locked="0" layoutInCell="1" allowOverlap="1" wp14:anchorId="574341BA" wp14:editId="4A3D6B2A">
            <wp:simplePos x="0" y="0"/>
            <wp:positionH relativeFrom="page">
              <wp:posOffset>1953895</wp:posOffset>
            </wp:positionH>
            <wp:positionV relativeFrom="paragraph">
              <wp:posOffset>431289</wp:posOffset>
            </wp:positionV>
            <wp:extent cx="48768" cy="47245"/>
            <wp:effectExtent l="0" t="0" r="0" b="0"/>
            <wp:wrapNone/>
            <wp:docPr id="15"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0.png"/>
                    <pic:cNvPicPr/>
                  </pic:nvPicPr>
                  <pic:blipFill>
                    <a:blip r:embed="rId10" cstate="print"/>
                    <a:stretch>
                      <a:fillRect/>
                    </a:stretch>
                  </pic:blipFill>
                  <pic:spPr>
                    <a:xfrm>
                      <a:off x="0" y="0"/>
                      <a:ext cx="48768" cy="47245"/>
                    </a:xfrm>
                    <a:prstGeom prst="rect">
                      <a:avLst/>
                    </a:prstGeom>
                  </pic:spPr>
                </pic:pic>
              </a:graphicData>
            </a:graphic>
          </wp:anchor>
        </w:drawing>
      </w:r>
      <w:r w:rsidRPr="00D470F4">
        <w:rPr>
          <w:rFonts w:ascii="Times New Roman" w:hAnsi="Times New Roman" w:cs="Times New Roman"/>
          <w:noProof/>
          <w:sz w:val="24"/>
          <w:szCs w:val="24"/>
        </w:rPr>
        <w:drawing>
          <wp:anchor distT="0" distB="0" distL="0" distR="0" simplePos="0" relativeHeight="251680768" behindDoc="1" locked="0" layoutInCell="1" allowOverlap="1" wp14:anchorId="314507FF" wp14:editId="40507E07">
            <wp:simplePos x="0" y="0"/>
            <wp:positionH relativeFrom="page">
              <wp:posOffset>5489447</wp:posOffset>
            </wp:positionH>
            <wp:positionV relativeFrom="paragraph">
              <wp:posOffset>431290</wp:posOffset>
            </wp:positionV>
            <wp:extent cx="149351" cy="220979"/>
            <wp:effectExtent l="0" t="0" r="0" b="0"/>
            <wp:wrapNone/>
            <wp:docPr id="17"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1.png"/>
                    <pic:cNvPicPr/>
                  </pic:nvPicPr>
                  <pic:blipFill>
                    <a:blip r:embed="rId11" cstate="print"/>
                    <a:stretch>
                      <a:fillRect/>
                    </a:stretch>
                  </pic:blipFill>
                  <pic:spPr>
                    <a:xfrm>
                      <a:off x="0" y="0"/>
                      <a:ext cx="149351" cy="220979"/>
                    </a:xfrm>
                    <a:prstGeom prst="rect">
                      <a:avLst/>
                    </a:prstGeom>
                  </pic:spPr>
                </pic:pic>
              </a:graphicData>
            </a:graphic>
          </wp:anchor>
        </w:drawing>
      </w:r>
      <w:r w:rsidRPr="00D470F4">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5065FCD" wp14:editId="22E8D7A4">
                <wp:simplePos x="0" y="0"/>
                <wp:positionH relativeFrom="page">
                  <wp:posOffset>3985260</wp:posOffset>
                </wp:positionH>
                <wp:positionV relativeFrom="paragraph">
                  <wp:posOffset>596265</wp:posOffset>
                </wp:positionV>
                <wp:extent cx="13970" cy="0"/>
                <wp:effectExtent l="13335" t="13335" r="10795" b="5715"/>
                <wp:wrapNone/>
                <wp:docPr id="36" name="Conector recto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0" cy="0"/>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B8B8EC" id="Conector recto 36"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3.8pt,46.95pt" to="314.9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XOGAIAADIEAAAOAAAAZHJzL2Uyb0RvYy54bWysU8GO2jAQvVfqP1i+QxLIsh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" strokeweight=".12pt">
                <w10:wrap anchorx="page"/>
              </v:line>
            </w:pict>
          </mc:Fallback>
        </mc:AlternateContent>
      </w:r>
      <w:r w:rsidRPr="00D470F4">
        <w:rPr>
          <w:rFonts w:ascii="Times New Roman" w:hAnsi="Times New Roman" w:cs="Times New Roman"/>
          <w:noProof/>
          <w:sz w:val="24"/>
          <w:szCs w:val="24"/>
        </w:rPr>
        <w:drawing>
          <wp:anchor distT="0" distB="0" distL="0" distR="0" simplePos="0" relativeHeight="251682816" behindDoc="1" locked="0" layoutInCell="1" allowOverlap="1" wp14:anchorId="6AFFBBD1" wp14:editId="6FD522A1">
            <wp:simplePos x="0" y="0"/>
            <wp:positionH relativeFrom="page">
              <wp:posOffset>4861559</wp:posOffset>
            </wp:positionH>
            <wp:positionV relativeFrom="paragraph">
              <wp:posOffset>595882</wp:posOffset>
            </wp:positionV>
            <wp:extent cx="173736" cy="59435"/>
            <wp:effectExtent l="0" t="0" r="0" b="0"/>
            <wp:wrapNone/>
            <wp:docPr id="19"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2.png"/>
                    <pic:cNvPicPr/>
                  </pic:nvPicPr>
                  <pic:blipFill>
                    <a:blip r:embed="rId12" cstate="print"/>
                    <a:stretch>
                      <a:fillRect/>
                    </a:stretch>
                  </pic:blipFill>
                  <pic:spPr>
                    <a:xfrm>
                      <a:off x="0" y="0"/>
                      <a:ext cx="173736" cy="59435"/>
                    </a:xfrm>
                    <a:prstGeom prst="rect">
                      <a:avLst/>
                    </a:prstGeom>
                  </pic:spPr>
                </pic:pic>
              </a:graphicData>
            </a:graphic>
          </wp:anchor>
        </w:drawing>
      </w:r>
      <w:r w:rsidRPr="00D470F4">
        <w:rPr>
          <w:rFonts w:ascii="Times New Roman" w:hAnsi="Times New Roman" w:cs="Times New Roman"/>
          <w:noProof/>
          <w:sz w:val="24"/>
          <w:szCs w:val="24"/>
        </w:rPr>
        <w:drawing>
          <wp:anchor distT="0" distB="0" distL="0" distR="0" simplePos="0" relativeHeight="251685888" behindDoc="1" locked="0" layoutInCell="1" allowOverlap="1" wp14:anchorId="5E9E754B" wp14:editId="0006B35D">
            <wp:simplePos x="0" y="0"/>
            <wp:positionH relativeFrom="page">
              <wp:posOffset>2569464</wp:posOffset>
            </wp:positionH>
            <wp:positionV relativeFrom="paragraph">
              <wp:posOffset>760474</wp:posOffset>
            </wp:positionV>
            <wp:extent cx="175260" cy="59435"/>
            <wp:effectExtent l="0" t="0" r="0" b="0"/>
            <wp:wrapNone/>
            <wp:docPr id="21"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png"/>
                    <pic:cNvPicPr/>
                  </pic:nvPicPr>
                  <pic:blipFill>
                    <a:blip r:embed="rId13" cstate="print"/>
                    <a:stretch>
                      <a:fillRect/>
                    </a:stretch>
                  </pic:blipFill>
                  <pic:spPr>
                    <a:xfrm>
                      <a:off x="0" y="0"/>
                      <a:ext cx="175260" cy="59435"/>
                    </a:xfrm>
                    <a:prstGeom prst="rect">
                      <a:avLst/>
                    </a:prstGeom>
                  </pic:spPr>
                </pic:pic>
              </a:graphicData>
            </a:graphic>
          </wp:anchor>
        </w:drawing>
      </w:r>
      <w:r w:rsidRPr="00D470F4">
        <w:rPr>
          <w:rFonts w:ascii="Times New Roman" w:hAnsi="Times New Roman" w:cs="Times New Roman"/>
          <w:noProof/>
          <w:sz w:val="24"/>
          <w:szCs w:val="24"/>
        </w:rPr>
        <w:drawing>
          <wp:anchor distT="0" distB="0" distL="0" distR="0" simplePos="0" relativeHeight="251661312" behindDoc="0" locked="0" layoutInCell="1" allowOverlap="1" wp14:anchorId="1C1BA698" wp14:editId="6BD2C459">
            <wp:simplePos x="0" y="0"/>
            <wp:positionH relativeFrom="page">
              <wp:posOffset>3378834</wp:posOffset>
            </wp:positionH>
            <wp:positionV relativeFrom="paragraph">
              <wp:posOffset>760474</wp:posOffset>
            </wp:positionV>
            <wp:extent cx="64009" cy="1524"/>
            <wp:effectExtent l="0" t="0" r="0" b="0"/>
            <wp:wrapNone/>
            <wp:docPr id="23"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png"/>
                    <pic:cNvPicPr/>
                  </pic:nvPicPr>
                  <pic:blipFill>
                    <a:blip r:embed="rId14" cstate="print"/>
                    <a:stretch>
                      <a:fillRect/>
                    </a:stretch>
                  </pic:blipFill>
                  <pic:spPr>
                    <a:xfrm>
                      <a:off x="0" y="0"/>
                      <a:ext cx="64009" cy="1524"/>
                    </a:xfrm>
                    <a:prstGeom prst="rect">
                      <a:avLst/>
                    </a:prstGeom>
                  </pic:spPr>
                </pic:pic>
              </a:graphicData>
            </a:graphic>
          </wp:anchor>
        </w:drawing>
      </w:r>
      <w:r w:rsidRPr="00D470F4">
        <w:rPr>
          <w:rFonts w:ascii="Times New Roman" w:hAnsi="Times New Roman" w:cs="Times New Roman"/>
          <w:noProof/>
          <w:sz w:val="24"/>
          <w:szCs w:val="24"/>
        </w:rPr>
        <mc:AlternateContent>
          <mc:Choice Requires="wps">
            <w:drawing>
              <wp:anchor distT="0" distB="0" distL="114300" distR="114300" simplePos="0" relativeHeight="251687936" behindDoc="1" locked="0" layoutInCell="1" allowOverlap="1" wp14:anchorId="4096280B" wp14:editId="0582A435">
                <wp:simplePos x="0" y="0"/>
                <wp:positionH relativeFrom="page">
                  <wp:posOffset>2335530</wp:posOffset>
                </wp:positionH>
                <wp:positionV relativeFrom="paragraph">
                  <wp:posOffset>982980</wp:posOffset>
                </wp:positionV>
                <wp:extent cx="0" cy="0"/>
                <wp:effectExtent l="11430" t="28575" r="7620" b="26670"/>
                <wp:wrapNone/>
                <wp:docPr id="34" name="Conector recto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A7BB3A" id="Conector recto 34" o:spid="_x0000_s1026" style="position:absolute;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3.9pt,77.4pt" to="183.9pt,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" strokeweight=".12pt">
                <w10:wrap anchorx="page"/>
              </v:line>
            </w:pict>
          </mc:Fallback>
        </mc:AlternateContent>
      </w:r>
      <w:r w:rsidRPr="00D470F4">
        <w:rPr>
          <w:rFonts w:ascii="Times New Roman" w:hAnsi="Times New Roman" w:cs="Times New Roman"/>
          <w:noProof/>
          <w:sz w:val="24"/>
          <w:szCs w:val="24"/>
        </w:rPr>
        <mc:AlternateContent>
          <mc:Choice Requires="wps">
            <w:drawing>
              <wp:anchor distT="0" distB="0" distL="114300" distR="114300" simplePos="0" relativeHeight="251688960" behindDoc="1" locked="0" layoutInCell="1" allowOverlap="1" wp14:anchorId="5B8B0F67" wp14:editId="440DE429">
                <wp:simplePos x="0" y="0"/>
                <wp:positionH relativeFrom="page">
                  <wp:posOffset>3938905</wp:posOffset>
                </wp:positionH>
                <wp:positionV relativeFrom="paragraph">
                  <wp:posOffset>978535</wp:posOffset>
                </wp:positionV>
                <wp:extent cx="0" cy="0"/>
                <wp:effectExtent l="5080" t="24130" r="13970" b="27940"/>
                <wp:wrapNone/>
                <wp:docPr id="32" name="Conector recto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9E4D02" id="Conector recto 32" o:spid="_x0000_s1026" style="position:absolute;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0.15pt,77.05pt" to="310.15pt,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" strokeweight=".12pt">
                <w10:wrap anchorx="page"/>
              </v:line>
            </w:pict>
          </mc:Fallback>
        </mc:AlternateContent>
      </w:r>
      <w:r w:rsidRPr="00D470F4">
        <w:rPr>
          <w:rFonts w:ascii="Times New Roman" w:hAnsi="Times New Roman" w:cs="Times New Roman"/>
          <w:noProof/>
          <w:sz w:val="24"/>
          <w:szCs w:val="24"/>
        </w:rPr>
        <mc:AlternateContent>
          <mc:Choice Requires="wps">
            <w:drawing>
              <wp:anchor distT="0" distB="0" distL="114300" distR="114300" simplePos="0" relativeHeight="251689984" behindDoc="1" locked="0" layoutInCell="1" allowOverlap="1" wp14:anchorId="00DAC15B" wp14:editId="1A4C96DC">
                <wp:simplePos x="0" y="0"/>
                <wp:positionH relativeFrom="page">
                  <wp:posOffset>4304665</wp:posOffset>
                </wp:positionH>
                <wp:positionV relativeFrom="paragraph">
                  <wp:posOffset>976630</wp:posOffset>
                </wp:positionV>
                <wp:extent cx="0" cy="0"/>
                <wp:effectExtent l="8890" t="22225" r="10160" b="15240"/>
                <wp:wrapNone/>
                <wp:docPr id="30" name="Conector recto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A4BEB6" id="Conector recto 30" o:spid="_x0000_s1026" style="position:absolute;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8.95pt,76.9pt" to="338.95pt,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" strokeweight=".12pt">
                <w10:wrap anchorx="page"/>
              </v:line>
            </w:pict>
          </mc:Fallback>
        </mc:AlternateContent>
      </w:r>
      <w:r w:rsidRPr="00D470F4">
        <w:rPr>
          <w:rFonts w:ascii="Times New Roman" w:hAnsi="Times New Roman" w:cs="Times New Roman"/>
          <w:noProof/>
          <w:sz w:val="24"/>
          <w:szCs w:val="24"/>
        </w:rPr>
        <mc:AlternateContent>
          <mc:Choice Requires="wps">
            <w:drawing>
              <wp:anchor distT="0" distB="0" distL="114300" distR="114300" simplePos="0" relativeHeight="251691008" behindDoc="1" locked="0" layoutInCell="1" allowOverlap="1" wp14:anchorId="633878DA" wp14:editId="02952A25">
                <wp:simplePos x="0" y="0"/>
                <wp:positionH relativeFrom="page">
                  <wp:posOffset>5088255</wp:posOffset>
                </wp:positionH>
                <wp:positionV relativeFrom="paragraph">
                  <wp:posOffset>982980</wp:posOffset>
                </wp:positionV>
                <wp:extent cx="0" cy="0"/>
                <wp:effectExtent l="11430" t="28575" r="7620" b="26670"/>
                <wp:wrapNone/>
                <wp:docPr id="28" name="Conector recto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001E09" id="Conector recto 28" o:spid="_x0000_s1026" style="position:absolute;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0.65pt,77.4pt" to="400.65pt,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" strokeweight=".12pt">
                <w10:wrap anchorx="page"/>
              </v:line>
            </w:pict>
          </mc:Fallback>
        </mc:AlternateContent>
      </w:r>
      <w:r w:rsidRPr="00D470F4">
        <w:rPr>
          <w:rFonts w:ascii="Times New Roman" w:hAnsi="Times New Roman" w:cs="Times New Roman"/>
          <w:noProof/>
          <w:sz w:val="24"/>
          <w:szCs w:val="24"/>
        </w:rPr>
        <w:drawing>
          <wp:anchor distT="0" distB="0" distL="0" distR="0" simplePos="0" relativeHeight="251692032" behindDoc="1" locked="0" layoutInCell="1" allowOverlap="1" wp14:anchorId="0FC37B7A" wp14:editId="5964B596">
            <wp:simplePos x="0" y="0"/>
            <wp:positionH relativeFrom="page">
              <wp:posOffset>2734182</wp:posOffset>
            </wp:positionH>
            <wp:positionV relativeFrom="paragraph">
              <wp:posOffset>1098802</wp:posOffset>
            </wp:positionV>
            <wp:extent cx="1524" cy="51816"/>
            <wp:effectExtent l="0" t="0" r="0" b="0"/>
            <wp:wrapNone/>
            <wp:docPr id="25"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9.png"/>
                    <pic:cNvPicPr/>
                  </pic:nvPicPr>
                  <pic:blipFill>
                    <a:blip r:embed="rId9" cstate="print"/>
                    <a:stretch>
                      <a:fillRect/>
                    </a:stretch>
                  </pic:blipFill>
                  <pic:spPr>
                    <a:xfrm>
                      <a:off x="0" y="0"/>
                      <a:ext cx="1524" cy="51816"/>
                    </a:xfrm>
                    <a:prstGeom prst="rect">
                      <a:avLst/>
                    </a:prstGeom>
                  </pic:spPr>
                </pic:pic>
              </a:graphicData>
            </a:graphic>
          </wp:anchor>
        </w:drawing>
      </w:r>
      <w:r w:rsidRPr="00D470F4">
        <w:rPr>
          <w:rFonts w:ascii="Times New Roman" w:hAnsi="Times New Roman" w:cs="Times New Roman"/>
          <w:noProof/>
          <w:sz w:val="24"/>
          <w:szCs w:val="24"/>
        </w:rPr>
        <w:drawing>
          <wp:anchor distT="0" distB="0" distL="0" distR="0" simplePos="0" relativeHeight="251693056" behindDoc="1" locked="0" layoutInCell="1" allowOverlap="1" wp14:anchorId="07971329" wp14:editId="49C6D34D">
            <wp:simplePos x="0" y="0"/>
            <wp:positionH relativeFrom="page">
              <wp:posOffset>2020823</wp:posOffset>
            </wp:positionH>
            <wp:positionV relativeFrom="paragraph">
              <wp:posOffset>1421890</wp:posOffset>
            </wp:positionV>
            <wp:extent cx="32005" cy="50292"/>
            <wp:effectExtent l="0" t="0" r="0" b="0"/>
            <wp:wrapNone/>
            <wp:docPr id="2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5.png"/>
                    <pic:cNvPicPr/>
                  </pic:nvPicPr>
                  <pic:blipFill>
                    <a:blip r:embed="rId15" cstate="print"/>
                    <a:stretch>
                      <a:fillRect/>
                    </a:stretch>
                  </pic:blipFill>
                  <pic:spPr>
                    <a:xfrm>
                      <a:off x="0" y="0"/>
                      <a:ext cx="32005" cy="50292"/>
                    </a:xfrm>
                    <a:prstGeom prst="rect">
                      <a:avLst/>
                    </a:prstGeom>
                  </pic:spPr>
                </pic:pic>
              </a:graphicData>
            </a:graphic>
          </wp:anchor>
        </w:drawing>
      </w:r>
      <w:r w:rsidRPr="00D470F4">
        <w:rPr>
          <w:rFonts w:ascii="Times New Roman" w:hAnsi="Times New Roman" w:cs="Times New Roman"/>
          <w:noProof/>
          <w:sz w:val="24"/>
          <w:szCs w:val="24"/>
        </w:rPr>
        <w:drawing>
          <wp:anchor distT="0" distB="0" distL="0" distR="0" simplePos="0" relativeHeight="251694080" behindDoc="1" locked="0" layoutInCell="1" allowOverlap="1" wp14:anchorId="6BA50EC8" wp14:editId="3634F862">
            <wp:simplePos x="0" y="0"/>
            <wp:positionH relativeFrom="page">
              <wp:posOffset>4035552</wp:posOffset>
            </wp:positionH>
            <wp:positionV relativeFrom="paragraph">
              <wp:posOffset>1421890</wp:posOffset>
            </wp:positionV>
            <wp:extent cx="688848" cy="635507"/>
            <wp:effectExtent l="0" t="0" r="0" b="0"/>
            <wp:wrapNone/>
            <wp:docPr id="29"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6.png"/>
                    <pic:cNvPicPr/>
                  </pic:nvPicPr>
                  <pic:blipFill>
                    <a:blip r:embed="rId16" cstate="print"/>
                    <a:stretch>
                      <a:fillRect/>
                    </a:stretch>
                  </pic:blipFill>
                  <pic:spPr>
                    <a:xfrm>
                      <a:off x="0" y="0"/>
                      <a:ext cx="688848" cy="635507"/>
                    </a:xfrm>
                    <a:prstGeom prst="rect">
                      <a:avLst/>
                    </a:prstGeom>
                  </pic:spPr>
                </pic:pic>
              </a:graphicData>
            </a:graphic>
          </wp:anchor>
        </w:drawing>
      </w:r>
      <w:r w:rsidRPr="00D470F4">
        <w:rPr>
          <w:rFonts w:ascii="Times New Roman" w:hAnsi="Times New Roman" w:cs="Times New Roman"/>
          <w:noProof/>
          <w:sz w:val="24"/>
          <w:szCs w:val="24"/>
        </w:rPr>
        <w:drawing>
          <wp:anchor distT="0" distB="0" distL="0" distR="0" simplePos="0" relativeHeight="251696128" behindDoc="1" locked="0" layoutInCell="1" allowOverlap="1" wp14:anchorId="29298678" wp14:editId="39186C48">
            <wp:simplePos x="0" y="0"/>
            <wp:positionH relativeFrom="page">
              <wp:posOffset>2618232</wp:posOffset>
            </wp:positionH>
            <wp:positionV relativeFrom="paragraph">
              <wp:posOffset>1751074</wp:posOffset>
            </wp:positionV>
            <wp:extent cx="53339" cy="6096"/>
            <wp:effectExtent l="0" t="0" r="0" b="0"/>
            <wp:wrapNone/>
            <wp:docPr id="31"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7.png"/>
                    <pic:cNvPicPr/>
                  </pic:nvPicPr>
                  <pic:blipFill>
                    <a:blip r:embed="rId17" cstate="print"/>
                    <a:stretch>
                      <a:fillRect/>
                    </a:stretch>
                  </pic:blipFill>
                  <pic:spPr>
                    <a:xfrm>
                      <a:off x="0" y="0"/>
                      <a:ext cx="53339" cy="6096"/>
                    </a:xfrm>
                    <a:prstGeom prst="rect">
                      <a:avLst/>
                    </a:prstGeom>
                  </pic:spPr>
                </pic:pic>
              </a:graphicData>
            </a:graphic>
          </wp:anchor>
        </w:drawing>
      </w:r>
      <w:r w:rsidRPr="00D470F4">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8813744" wp14:editId="36321C8C">
                <wp:simplePos x="0" y="0"/>
                <wp:positionH relativeFrom="page">
                  <wp:posOffset>5010785</wp:posOffset>
                </wp:positionH>
                <wp:positionV relativeFrom="paragraph">
                  <wp:posOffset>1751965</wp:posOffset>
                </wp:positionV>
                <wp:extent cx="18415" cy="0"/>
                <wp:effectExtent l="10160" t="6985" r="9525" b="12065"/>
                <wp:wrapNone/>
                <wp:docPr id="26" name="Conector recto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15" cy="0"/>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2F16E5" id="Conector recto 26"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4.55pt,137.95pt" to="396pt,1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" strokeweight=".12pt">
                <w10:wrap anchorx="page"/>
              </v:line>
            </w:pict>
          </mc:Fallback>
        </mc:AlternateContent>
      </w:r>
      <w:r w:rsidRPr="00D470F4">
        <w:rPr>
          <w:rFonts w:ascii="Times New Roman" w:hAnsi="Times New Roman" w:cs="Times New Roman"/>
          <w:noProof/>
          <w:sz w:val="24"/>
          <w:szCs w:val="24"/>
        </w:rPr>
        <w:drawing>
          <wp:anchor distT="0" distB="0" distL="0" distR="0" simplePos="0" relativeHeight="251698176" behindDoc="1" locked="0" layoutInCell="1" allowOverlap="1" wp14:anchorId="78FED2F4" wp14:editId="62EFE1CF">
            <wp:simplePos x="0" y="0"/>
            <wp:positionH relativeFrom="page">
              <wp:posOffset>5301996</wp:posOffset>
            </wp:positionH>
            <wp:positionV relativeFrom="paragraph">
              <wp:posOffset>1750947</wp:posOffset>
            </wp:positionV>
            <wp:extent cx="434341" cy="202692"/>
            <wp:effectExtent l="0" t="0" r="0" b="0"/>
            <wp:wrapNone/>
            <wp:docPr id="33"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8.png"/>
                    <pic:cNvPicPr/>
                  </pic:nvPicPr>
                  <pic:blipFill>
                    <a:blip r:embed="rId18" cstate="print"/>
                    <a:stretch>
                      <a:fillRect/>
                    </a:stretch>
                  </pic:blipFill>
                  <pic:spPr>
                    <a:xfrm>
                      <a:off x="0" y="0"/>
                      <a:ext cx="434341" cy="202692"/>
                    </a:xfrm>
                    <a:prstGeom prst="rect">
                      <a:avLst/>
                    </a:prstGeom>
                  </pic:spPr>
                </pic:pic>
              </a:graphicData>
            </a:graphic>
          </wp:anchor>
        </w:drawing>
      </w:r>
      <w:r w:rsidRPr="00D470F4">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031D224" wp14:editId="0FAA0F55">
                <wp:simplePos x="0" y="0"/>
                <wp:positionH relativeFrom="page">
                  <wp:posOffset>2095500</wp:posOffset>
                </wp:positionH>
                <wp:positionV relativeFrom="paragraph">
                  <wp:posOffset>1891665</wp:posOffset>
                </wp:positionV>
                <wp:extent cx="6350" cy="0"/>
                <wp:effectExtent l="9525" t="13335" r="12700" b="5715"/>
                <wp:wrapNone/>
                <wp:docPr id="24"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0"/>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B4145B" id="Conector recto 24"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5pt,148.95pt" to="165.5pt,1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" strokeweight=".12pt">
                <w10:wrap anchorx="page"/>
              </v:line>
            </w:pict>
          </mc:Fallback>
        </mc:AlternateContent>
      </w:r>
      <w:r w:rsidRPr="00D470F4">
        <w:rPr>
          <w:rFonts w:ascii="Times New Roman" w:hAnsi="Times New Roman" w:cs="Times New Roman"/>
          <w:noProof/>
          <w:sz w:val="24"/>
          <w:szCs w:val="24"/>
        </w:rPr>
        <w:drawing>
          <wp:anchor distT="0" distB="0" distL="0" distR="0" simplePos="0" relativeHeight="251702272" behindDoc="1" locked="0" layoutInCell="1" allowOverlap="1" wp14:anchorId="27B6B61D" wp14:editId="2775504D">
            <wp:simplePos x="0" y="0"/>
            <wp:positionH relativeFrom="page">
              <wp:posOffset>2734182</wp:posOffset>
            </wp:positionH>
            <wp:positionV relativeFrom="paragraph">
              <wp:posOffset>2089402</wp:posOffset>
            </wp:positionV>
            <wp:extent cx="1524" cy="51816"/>
            <wp:effectExtent l="0" t="0" r="0" b="0"/>
            <wp:wrapNone/>
            <wp:docPr id="35"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9.png"/>
                    <pic:cNvPicPr/>
                  </pic:nvPicPr>
                  <pic:blipFill>
                    <a:blip r:embed="rId9" cstate="print"/>
                    <a:stretch>
                      <a:fillRect/>
                    </a:stretch>
                  </pic:blipFill>
                  <pic:spPr>
                    <a:xfrm>
                      <a:off x="0" y="0"/>
                      <a:ext cx="1524" cy="51816"/>
                    </a:xfrm>
                    <a:prstGeom prst="rect">
                      <a:avLst/>
                    </a:prstGeom>
                  </pic:spPr>
                </pic:pic>
              </a:graphicData>
            </a:graphic>
          </wp:anchor>
        </w:drawing>
      </w:r>
      <w:r w:rsidRPr="00D470F4">
        <w:rPr>
          <w:rFonts w:ascii="Times New Roman" w:hAnsi="Times New Roman" w:cs="Times New Roman"/>
          <w:noProof/>
          <w:sz w:val="24"/>
          <w:szCs w:val="24"/>
        </w:rPr>
        <w:drawing>
          <wp:anchor distT="0" distB="0" distL="0" distR="0" simplePos="0" relativeHeight="251704320" behindDoc="1" locked="0" layoutInCell="1" allowOverlap="1" wp14:anchorId="5A9664AD" wp14:editId="56A11E5B">
            <wp:simplePos x="0" y="0"/>
            <wp:positionH relativeFrom="page">
              <wp:posOffset>4965191</wp:posOffset>
            </wp:positionH>
            <wp:positionV relativeFrom="paragraph">
              <wp:posOffset>2220338</wp:posOffset>
            </wp:positionV>
            <wp:extent cx="117348" cy="62485"/>
            <wp:effectExtent l="0" t="0" r="0" b="0"/>
            <wp:wrapNone/>
            <wp:docPr id="3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9.png"/>
                    <pic:cNvPicPr/>
                  </pic:nvPicPr>
                  <pic:blipFill>
                    <a:blip r:embed="rId19" cstate="print"/>
                    <a:stretch>
                      <a:fillRect/>
                    </a:stretch>
                  </pic:blipFill>
                  <pic:spPr>
                    <a:xfrm>
                      <a:off x="0" y="0"/>
                      <a:ext cx="117348" cy="62485"/>
                    </a:xfrm>
                    <a:prstGeom prst="rect">
                      <a:avLst/>
                    </a:prstGeom>
                  </pic:spPr>
                </pic:pic>
              </a:graphicData>
            </a:graphic>
          </wp:anchor>
        </w:drawing>
      </w:r>
      <w:r w:rsidRPr="00D470F4">
        <w:rPr>
          <w:rFonts w:ascii="Times New Roman" w:hAnsi="Times New Roman" w:cs="Times New Roman"/>
          <w:noProof/>
          <w:sz w:val="24"/>
          <w:szCs w:val="24"/>
        </w:rPr>
        <w:drawing>
          <wp:anchor distT="0" distB="0" distL="0" distR="0" simplePos="0" relativeHeight="251706368" behindDoc="1" locked="0" layoutInCell="1" allowOverlap="1" wp14:anchorId="7E167D45" wp14:editId="3FD0B5B4">
            <wp:simplePos x="0" y="0"/>
            <wp:positionH relativeFrom="page">
              <wp:posOffset>1990470</wp:posOffset>
            </wp:positionH>
            <wp:positionV relativeFrom="paragraph">
              <wp:posOffset>2465703</wp:posOffset>
            </wp:positionV>
            <wp:extent cx="1746505" cy="656844"/>
            <wp:effectExtent l="0" t="0" r="0" b="0"/>
            <wp:wrapNone/>
            <wp:docPr id="39"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0.png"/>
                    <pic:cNvPicPr/>
                  </pic:nvPicPr>
                  <pic:blipFill>
                    <a:blip r:embed="rId20" cstate="print"/>
                    <a:stretch>
                      <a:fillRect/>
                    </a:stretch>
                  </pic:blipFill>
                  <pic:spPr>
                    <a:xfrm>
                      <a:off x="0" y="0"/>
                      <a:ext cx="1746505" cy="656844"/>
                    </a:xfrm>
                    <a:prstGeom prst="rect">
                      <a:avLst/>
                    </a:prstGeom>
                  </pic:spPr>
                </pic:pic>
              </a:graphicData>
            </a:graphic>
          </wp:anchor>
        </w:drawing>
      </w:r>
      <w:r w:rsidRPr="00D470F4">
        <w:rPr>
          <w:rFonts w:ascii="Times New Roman" w:hAnsi="Times New Roman" w:cs="Times New Roman"/>
          <w:noProof/>
          <w:sz w:val="24"/>
          <w:szCs w:val="24"/>
        </w:rPr>
        <w:drawing>
          <wp:anchor distT="0" distB="0" distL="0" distR="0" simplePos="0" relativeHeight="251707392" behindDoc="1" locked="0" layoutInCell="1" allowOverlap="1" wp14:anchorId="44D79B20" wp14:editId="1E66E136">
            <wp:simplePos x="0" y="0"/>
            <wp:positionH relativeFrom="page">
              <wp:posOffset>5385815</wp:posOffset>
            </wp:positionH>
            <wp:positionV relativeFrom="paragraph">
              <wp:posOffset>2412490</wp:posOffset>
            </wp:positionV>
            <wp:extent cx="39624" cy="39624"/>
            <wp:effectExtent l="0" t="0" r="0" b="0"/>
            <wp:wrapNone/>
            <wp:docPr id="41"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1.png"/>
                    <pic:cNvPicPr/>
                  </pic:nvPicPr>
                  <pic:blipFill>
                    <a:blip r:embed="rId21" cstate="print"/>
                    <a:stretch>
                      <a:fillRect/>
                    </a:stretch>
                  </pic:blipFill>
                  <pic:spPr>
                    <a:xfrm>
                      <a:off x="0" y="0"/>
                      <a:ext cx="39624" cy="39624"/>
                    </a:xfrm>
                    <a:prstGeom prst="rect">
                      <a:avLst/>
                    </a:prstGeom>
                  </pic:spPr>
                </pic:pic>
              </a:graphicData>
            </a:graphic>
          </wp:anchor>
        </w:drawing>
      </w:r>
      <w:r w:rsidRPr="00D470F4">
        <w:rPr>
          <w:rFonts w:ascii="Times New Roman" w:hAnsi="Times New Roman" w:cs="Times New Roman"/>
          <w:noProof/>
          <w:sz w:val="24"/>
          <w:szCs w:val="24"/>
        </w:rPr>
        <w:drawing>
          <wp:anchor distT="0" distB="0" distL="0" distR="0" simplePos="0" relativeHeight="251666432" behindDoc="0" locked="0" layoutInCell="1" allowOverlap="1" wp14:anchorId="6BDA8C23" wp14:editId="3A3F0B68">
            <wp:simplePos x="0" y="0"/>
            <wp:positionH relativeFrom="page">
              <wp:posOffset>4725923</wp:posOffset>
            </wp:positionH>
            <wp:positionV relativeFrom="paragraph">
              <wp:posOffset>2741674</wp:posOffset>
            </wp:positionV>
            <wp:extent cx="28957" cy="1524"/>
            <wp:effectExtent l="0" t="0" r="0" b="0"/>
            <wp:wrapNone/>
            <wp:docPr id="43"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2.png"/>
                    <pic:cNvPicPr/>
                  </pic:nvPicPr>
                  <pic:blipFill>
                    <a:blip r:embed="rId22" cstate="print"/>
                    <a:stretch>
                      <a:fillRect/>
                    </a:stretch>
                  </pic:blipFill>
                  <pic:spPr>
                    <a:xfrm>
                      <a:off x="0" y="0"/>
                      <a:ext cx="28957" cy="1524"/>
                    </a:xfrm>
                    <a:prstGeom prst="rect">
                      <a:avLst/>
                    </a:prstGeom>
                  </pic:spPr>
                </pic:pic>
              </a:graphicData>
            </a:graphic>
          </wp:anchor>
        </w:drawing>
      </w:r>
      <w:r w:rsidRPr="00D470F4">
        <w:rPr>
          <w:rFonts w:ascii="Times New Roman" w:hAnsi="Times New Roman" w:cs="Times New Roman"/>
          <w:noProof/>
          <w:sz w:val="24"/>
          <w:szCs w:val="24"/>
        </w:rPr>
        <w:drawing>
          <wp:anchor distT="0" distB="0" distL="0" distR="0" simplePos="0" relativeHeight="251667456" behindDoc="0" locked="0" layoutInCell="1" allowOverlap="1" wp14:anchorId="1FA575D1" wp14:editId="29A58F05">
            <wp:simplePos x="0" y="0"/>
            <wp:positionH relativeFrom="page">
              <wp:posOffset>5298947</wp:posOffset>
            </wp:positionH>
            <wp:positionV relativeFrom="paragraph">
              <wp:posOffset>2741674</wp:posOffset>
            </wp:positionV>
            <wp:extent cx="28957" cy="1524"/>
            <wp:effectExtent l="0" t="0" r="0" b="0"/>
            <wp:wrapNone/>
            <wp:docPr id="45"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2.png"/>
                    <pic:cNvPicPr/>
                  </pic:nvPicPr>
                  <pic:blipFill>
                    <a:blip r:embed="rId22" cstate="print"/>
                    <a:stretch>
                      <a:fillRect/>
                    </a:stretch>
                  </pic:blipFill>
                  <pic:spPr>
                    <a:xfrm>
                      <a:off x="0" y="0"/>
                      <a:ext cx="28957" cy="1524"/>
                    </a:xfrm>
                    <a:prstGeom prst="rect">
                      <a:avLst/>
                    </a:prstGeom>
                  </pic:spPr>
                </pic:pic>
              </a:graphicData>
            </a:graphic>
          </wp:anchor>
        </w:drawing>
      </w:r>
      <w:r w:rsidRPr="00D470F4">
        <w:rPr>
          <w:rFonts w:ascii="Times New Roman" w:hAnsi="Times New Roman" w:cs="Times New Roman"/>
          <w:noProof/>
          <w:sz w:val="24"/>
          <w:szCs w:val="24"/>
        </w:rPr>
        <mc:AlternateContent>
          <mc:Choice Requires="wps">
            <w:drawing>
              <wp:anchor distT="0" distB="0" distL="114300" distR="114300" simplePos="0" relativeHeight="251716608" behindDoc="1" locked="0" layoutInCell="1" allowOverlap="1" wp14:anchorId="72578FE2" wp14:editId="458EBBA6">
                <wp:simplePos x="0" y="0"/>
                <wp:positionH relativeFrom="page">
                  <wp:posOffset>5648960</wp:posOffset>
                </wp:positionH>
                <wp:positionV relativeFrom="paragraph">
                  <wp:posOffset>2921635</wp:posOffset>
                </wp:positionV>
                <wp:extent cx="0" cy="0"/>
                <wp:effectExtent l="10160" t="14605" r="8890" b="20320"/>
                <wp:wrapNone/>
                <wp:docPr id="22" name="Conector recto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0CCA6D" id="Conector recto 22" o:spid="_x0000_s1026" style="position:absolute;z-index:-251599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44.8pt,230.05pt" to="444.8pt,2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" strokeweight=".12pt">
                <w10:wrap anchorx="page"/>
              </v:line>
            </w:pict>
          </mc:Fallback>
        </mc:AlternateContent>
      </w:r>
      <w:r w:rsidR="00DA789D" w:rsidRPr="00D470F4">
        <w:rPr>
          <w:rFonts w:ascii="Times New Roman" w:hAnsi="Times New Roman" w:cs="Times New Roman"/>
          <w:sz w:val="24"/>
          <w:szCs w:val="24"/>
        </w:rPr>
        <w:t xml:space="preserve"> </w:t>
      </w:r>
      <w:r w:rsidRPr="00D470F4">
        <w:rPr>
          <w:rFonts w:ascii="Times New Roman" w:hAnsi="Times New Roman" w:cs="Times New Roman"/>
          <w:sz w:val="24"/>
          <w:szCs w:val="24"/>
        </w:rPr>
        <w:t xml:space="preserve">30 años) fueron adjudicados a las centrales hidroeléctricas.   En 2000 había 43 empresas generadoras que poseían 96 plantas: 60 térmicas, 34 hidroeléctricas y 2 nucleares.  Estas 43 empresas eran propiedad de empresas privadas y empresas mixtas </w:t>
      </w:r>
      <w:r w:rsidR="00652520" w:rsidRPr="00D470F4">
        <w:rPr>
          <w:rFonts w:ascii="Times New Roman" w:hAnsi="Times New Roman" w:cs="Times New Roman"/>
          <w:sz w:val="24"/>
          <w:szCs w:val="24"/>
        </w:rPr>
        <w:t>provinciales e</w:t>
      </w:r>
      <w:r w:rsidRPr="00D470F4">
        <w:rPr>
          <w:rFonts w:ascii="Times New Roman" w:hAnsi="Times New Roman" w:cs="Times New Roman"/>
          <w:sz w:val="24"/>
          <w:szCs w:val="24"/>
        </w:rPr>
        <w:t xml:space="preserve"> internacionales. </w:t>
      </w:r>
    </w:p>
    <w:p w14:paraId="437ED3D2" w14:textId="5530AF47" w:rsidR="00EF29B2" w:rsidRPr="00D470F4" w:rsidRDefault="00EF29B2"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 xml:space="preserve"> La mayor parte </w:t>
      </w:r>
      <w:r w:rsidR="00652520" w:rsidRPr="00D470F4">
        <w:rPr>
          <w:rFonts w:ascii="Times New Roman" w:hAnsi="Times New Roman" w:cs="Times New Roman"/>
          <w:sz w:val="24"/>
          <w:szCs w:val="24"/>
        </w:rPr>
        <w:t>de la</w:t>
      </w:r>
      <w:r w:rsidRPr="00D470F4">
        <w:rPr>
          <w:rFonts w:ascii="Times New Roman" w:hAnsi="Times New Roman" w:cs="Times New Roman"/>
          <w:sz w:val="24"/>
          <w:szCs w:val="24"/>
        </w:rPr>
        <w:t xml:space="preserve"> capacidad </w:t>
      </w:r>
      <w:r w:rsidR="00652520" w:rsidRPr="00D470F4">
        <w:rPr>
          <w:rFonts w:ascii="Times New Roman" w:hAnsi="Times New Roman" w:cs="Times New Roman"/>
          <w:sz w:val="24"/>
          <w:szCs w:val="24"/>
        </w:rPr>
        <w:t>de generación</w:t>
      </w:r>
      <w:r w:rsidRPr="00D470F4">
        <w:rPr>
          <w:rFonts w:ascii="Times New Roman" w:hAnsi="Times New Roman" w:cs="Times New Roman"/>
          <w:sz w:val="24"/>
          <w:szCs w:val="24"/>
        </w:rPr>
        <w:t xml:space="preserve"> privatizada de </w:t>
      </w:r>
      <w:proofErr w:type="gramStart"/>
      <w:r w:rsidRPr="00D470F4">
        <w:rPr>
          <w:rFonts w:ascii="Times New Roman" w:hAnsi="Times New Roman" w:cs="Times New Roman"/>
          <w:sz w:val="24"/>
          <w:szCs w:val="24"/>
        </w:rPr>
        <w:t>Argentina  fue</w:t>
      </w:r>
      <w:proofErr w:type="gramEnd"/>
      <w:r w:rsidRPr="00D470F4">
        <w:rPr>
          <w:rFonts w:ascii="Times New Roman" w:hAnsi="Times New Roman" w:cs="Times New Roman"/>
          <w:sz w:val="24"/>
          <w:szCs w:val="24"/>
        </w:rPr>
        <w:t xml:space="preserve"> comprada por  empresas extranjeras, luego de  una serie de nuevas leyes que eliminaron las restricciones a las inversiones extranjeras  y permitieron a los extranjeros adquirir el  100 por ciento.   de empresas argentinas y repatriar las utilidades y el capital. Los ingresos totales de la privatización aumentaron significativamente, </w:t>
      </w:r>
      <w:r w:rsidR="00652520" w:rsidRPr="00D470F4">
        <w:rPr>
          <w:rFonts w:ascii="Times New Roman" w:hAnsi="Times New Roman" w:cs="Times New Roman"/>
          <w:sz w:val="24"/>
          <w:szCs w:val="24"/>
        </w:rPr>
        <w:t>de 318</w:t>
      </w:r>
      <w:r w:rsidRPr="00D470F4">
        <w:rPr>
          <w:rFonts w:ascii="Times New Roman" w:hAnsi="Times New Roman" w:cs="Times New Roman"/>
          <w:sz w:val="24"/>
          <w:szCs w:val="24"/>
        </w:rPr>
        <w:t xml:space="preserve"> millones de dólares en 1994 </w:t>
      </w:r>
      <w:proofErr w:type="gramStart"/>
      <w:r w:rsidRPr="00D470F4">
        <w:rPr>
          <w:rFonts w:ascii="Times New Roman" w:hAnsi="Times New Roman" w:cs="Times New Roman"/>
          <w:sz w:val="24"/>
          <w:szCs w:val="24"/>
        </w:rPr>
        <w:t>a  un</w:t>
      </w:r>
      <w:proofErr w:type="gramEnd"/>
      <w:r w:rsidRPr="00D470F4">
        <w:rPr>
          <w:rFonts w:ascii="Times New Roman" w:hAnsi="Times New Roman" w:cs="Times New Roman"/>
          <w:sz w:val="24"/>
          <w:szCs w:val="24"/>
        </w:rPr>
        <w:t xml:space="preserve"> máximo de   más de  2.000 millones de dólares    en 1997  .  Entre 1994 y 2000 se </w:t>
      </w:r>
      <w:r w:rsidR="00652520" w:rsidRPr="00D470F4">
        <w:rPr>
          <w:rFonts w:ascii="Times New Roman" w:hAnsi="Times New Roman" w:cs="Times New Roman"/>
          <w:sz w:val="24"/>
          <w:szCs w:val="24"/>
        </w:rPr>
        <w:t>recaudó un</w:t>
      </w:r>
      <w:r w:rsidRPr="00D470F4">
        <w:rPr>
          <w:rFonts w:ascii="Times New Roman" w:hAnsi="Times New Roman" w:cs="Times New Roman"/>
          <w:sz w:val="24"/>
          <w:szCs w:val="24"/>
        </w:rPr>
        <w:t xml:space="preserve"> total </w:t>
      </w:r>
      <w:proofErr w:type="gramStart"/>
      <w:r w:rsidRPr="00D470F4">
        <w:rPr>
          <w:rFonts w:ascii="Times New Roman" w:hAnsi="Times New Roman" w:cs="Times New Roman"/>
          <w:sz w:val="24"/>
          <w:szCs w:val="24"/>
        </w:rPr>
        <w:t>de  5.700</w:t>
      </w:r>
      <w:proofErr w:type="gramEnd"/>
      <w:r w:rsidRPr="00D470F4">
        <w:rPr>
          <w:rFonts w:ascii="Times New Roman" w:hAnsi="Times New Roman" w:cs="Times New Roman"/>
          <w:sz w:val="24"/>
          <w:szCs w:val="24"/>
        </w:rPr>
        <w:t xml:space="preserve"> millones de dólares  mediante estas privatizaciones en el sector  eléctrico. Con excepción </w:t>
      </w:r>
      <w:r w:rsidR="00652520" w:rsidRPr="00D470F4">
        <w:rPr>
          <w:rFonts w:ascii="Times New Roman" w:hAnsi="Times New Roman" w:cs="Times New Roman"/>
          <w:sz w:val="24"/>
          <w:szCs w:val="24"/>
        </w:rPr>
        <w:t>de los</w:t>
      </w:r>
      <w:r w:rsidRPr="00D470F4">
        <w:rPr>
          <w:rFonts w:ascii="Times New Roman" w:hAnsi="Times New Roman" w:cs="Times New Roman"/>
          <w:sz w:val="24"/>
          <w:szCs w:val="24"/>
        </w:rPr>
        <w:t xml:space="preserve"> proyectos </w:t>
      </w:r>
      <w:proofErr w:type="gramStart"/>
      <w:r w:rsidRPr="00D470F4">
        <w:rPr>
          <w:rFonts w:ascii="Times New Roman" w:hAnsi="Times New Roman" w:cs="Times New Roman"/>
          <w:sz w:val="24"/>
          <w:szCs w:val="24"/>
        </w:rPr>
        <w:t>binacionales,  como</w:t>
      </w:r>
      <w:proofErr w:type="gramEnd"/>
      <w:r w:rsidRPr="00D470F4">
        <w:rPr>
          <w:rFonts w:ascii="Times New Roman" w:hAnsi="Times New Roman" w:cs="Times New Roman"/>
          <w:sz w:val="24"/>
          <w:szCs w:val="24"/>
        </w:rPr>
        <w:t xml:space="preserve"> la central hidroeléctrica </w:t>
      </w:r>
      <w:proofErr w:type="spellStart"/>
      <w:r w:rsidRPr="00D470F4">
        <w:rPr>
          <w:rFonts w:ascii="Times New Roman" w:hAnsi="Times New Roman" w:cs="Times New Roman"/>
          <w:sz w:val="24"/>
          <w:szCs w:val="24"/>
        </w:rPr>
        <w:t>Yacyreta</w:t>
      </w:r>
      <w:proofErr w:type="spellEnd"/>
      <w:r w:rsidRPr="00D470F4">
        <w:rPr>
          <w:rFonts w:ascii="Times New Roman" w:hAnsi="Times New Roman" w:cs="Times New Roman"/>
          <w:sz w:val="24"/>
          <w:szCs w:val="24"/>
        </w:rPr>
        <w:t xml:space="preserve">  y las empresas  nacionales de  generación nuclear, el  gobierno federal se ha alejado de las actividades comerciales en el mercado eléctrico. El gobierno se ha limitado a las actividades </w:t>
      </w:r>
      <w:r w:rsidR="00652520" w:rsidRPr="00D470F4">
        <w:rPr>
          <w:rFonts w:ascii="Times New Roman" w:hAnsi="Times New Roman" w:cs="Times New Roman"/>
          <w:sz w:val="24"/>
          <w:szCs w:val="24"/>
        </w:rPr>
        <w:t>de política</w:t>
      </w:r>
      <w:r w:rsidRPr="00D470F4">
        <w:rPr>
          <w:rFonts w:ascii="Times New Roman" w:hAnsi="Times New Roman" w:cs="Times New Roman"/>
          <w:sz w:val="24"/>
          <w:szCs w:val="24"/>
        </w:rPr>
        <w:t xml:space="preserve"> y regulación / </w:t>
      </w:r>
      <w:proofErr w:type="gramStart"/>
      <w:r w:rsidRPr="00D470F4">
        <w:rPr>
          <w:rFonts w:ascii="Times New Roman" w:hAnsi="Times New Roman" w:cs="Times New Roman"/>
          <w:sz w:val="24"/>
          <w:szCs w:val="24"/>
        </w:rPr>
        <w:t>supervisión,  con</w:t>
      </w:r>
      <w:proofErr w:type="gramEnd"/>
      <w:r w:rsidRPr="00D470F4">
        <w:rPr>
          <w:rFonts w:ascii="Times New Roman" w:hAnsi="Times New Roman" w:cs="Times New Roman"/>
          <w:sz w:val="24"/>
          <w:szCs w:val="24"/>
        </w:rPr>
        <w:t xml:space="preserve"> agencias separadas a cargo de estas funciones.  </w:t>
      </w:r>
    </w:p>
    <w:p w14:paraId="1DF11ECC" w14:textId="6F3104B6" w:rsidR="00EF29B2" w:rsidRPr="00D470F4" w:rsidRDefault="00EF29B2" w:rsidP="00132D23">
      <w:pPr>
        <w:spacing w:line="480" w:lineRule="auto"/>
        <w:jc w:val="both"/>
        <w:rPr>
          <w:rFonts w:ascii="Times New Roman" w:hAnsi="Times New Roman" w:cs="Times New Roman"/>
          <w:sz w:val="24"/>
          <w:szCs w:val="24"/>
        </w:rPr>
      </w:pPr>
      <w:r w:rsidRPr="00D470F4">
        <w:rPr>
          <w:rFonts w:ascii="Times New Roman" w:hAnsi="Times New Roman" w:cs="Times New Roman"/>
          <w:noProof/>
          <w:sz w:val="24"/>
          <w:szCs w:val="24"/>
        </w:rPr>
        <w:lastRenderedPageBreak/>
        <mc:AlternateContent>
          <mc:Choice Requires="wps">
            <w:drawing>
              <wp:anchor distT="0" distB="0" distL="114300" distR="114300" simplePos="0" relativeHeight="251700224" behindDoc="1" locked="0" layoutInCell="1" allowOverlap="1" wp14:anchorId="2437C505" wp14:editId="2CA27B2B">
                <wp:simplePos x="0" y="0"/>
                <wp:positionH relativeFrom="page">
                  <wp:posOffset>5154295</wp:posOffset>
                </wp:positionH>
                <wp:positionV relativeFrom="paragraph">
                  <wp:posOffset>626110</wp:posOffset>
                </wp:positionV>
                <wp:extent cx="6350" cy="0"/>
                <wp:effectExtent l="10795" t="10160" r="11430" b="8890"/>
                <wp:wrapNone/>
                <wp:docPr id="20" name="Conector recto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0"/>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89381B" id="Conector recto 20" o:spid="_x0000_s1026" style="position:absolute;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5.85pt,49.3pt" to="406.35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" strokeweight=".12pt">
                <w10:wrap anchorx="page"/>
              </v:line>
            </w:pict>
          </mc:Fallback>
        </mc:AlternateContent>
      </w:r>
      <w:r w:rsidRPr="00D470F4">
        <w:rPr>
          <w:rFonts w:ascii="Times New Roman" w:hAnsi="Times New Roman" w:cs="Times New Roman"/>
          <w:noProof/>
          <w:sz w:val="24"/>
          <w:szCs w:val="24"/>
        </w:rPr>
        <w:drawing>
          <wp:anchor distT="0" distB="0" distL="0" distR="0" simplePos="0" relativeHeight="251709440" behindDoc="1" locked="0" layoutInCell="1" allowOverlap="1" wp14:anchorId="0D965AEF" wp14:editId="5C2B3939">
            <wp:simplePos x="0" y="0"/>
            <wp:positionH relativeFrom="page">
              <wp:posOffset>3977640</wp:posOffset>
            </wp:positionH>
            <wp:positionV relativeFrom="paragraph">
              <wp:posOffset>460754</wp:posOffset>
            </wp:positionV>
            <wp:extent cx="18287" cy="85344"/>
            <wp:effectExtent l="0" t="0" r="0" b="0"/>
            <wp:wrapNone/>
            <wp:docPr id="49"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4.png"/>
                    <pic:cNvPicPr/>
                  </pic:nvPicPr>
                  <pic:blipFill>
                    <a:blip r:embed="rId23" cstate="print"/>
                    <a:stretch>
                      <a:fillRect/>
                    </a:stretch>
                  </pic:blipFill>
                  <pic:spPr>
                    <a:xfrm>
                      <a:off x="0" y="0"/>
                      <a:ext cx="18287" cy="85344"/>
                    </a:xfrm>
                    <a:prstGeom prst="rect">
                      <a:avLst/>
                    </a:prstGeom>
                  </pic:spPr>
                </pic:pic>
              </a:graphicData>
            </a:graphic>
          </wp:anchor>
        </w:drawing>
      </w:r>
      <w:r w:rsidRPr="00D470F4">
        <w:rPr>
          <w:rFonts w:ascii="Times New Roman" w:hAnsi="Times New Roman" w:cs="Times New Roman"/>
          <w:noProof/>
          <w:sz w:val="24"/>
          <w:szCs w:val="24"/>
        </w:rPr>
        <w:drawing>
          <wp:anchor distT="0" distB="0" distL="0" distR="0" simplePos="0" relativeHeight="251710464" behindDoc="1" locked="0" layoutInCell="1" allowOverlap="1" wp14:anchorId="013F149B" wp14:editId="6C062A10">
            <wp:simplePos x="0" y="0"/>
            <wp:positionH relativeFrom="page">
              <wp:posOffset>4480559</wp:posOffset>
            </wp:positionH>
            <wp:positionV relativeFrom="paragraph">
              <wp:posOffset>1605278</wp:posOffset>
            </wp:positionV>
            <wp:extent cx="1524" cy="124967"/>
            <wp:effectExtent l="0" t="0" r="0" b="0"/>
            <wp:wrapNone/>
            <wp:docPr id="51"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5.png"/>
                    <pic:cNvPicPr/>
                  </pic:nvPicPr>
                  <pic:blipFill>
                    <a:blip r:embed="rId24" cstate="print"/>
                    <a:stretch>
                      <a:fillRect/>
                    </a:stretch>
                  </pic:blipFill>
                  <pic:spPr>
                    <a:xfrm>
                      <a:off x="0" y="0"/>
                      <a:ext cx="1524" cy="124967"/>
                    </a:xfrm>
                    <a:prstGeom prst="rect">
                      <a:avLst/>
                    </a:prstGeom>
                  </pic:spPr>
                </pic:pic>
              </a:graphicData>
            </a:graphic>
          </wp:anchor>
        </w:drawing>
      </w:r>
      <w:r w:rsidRPr="00D470F4">
        <w:rPr>
          <w:rFonts w:ascii="Times New Roman" w:hAnsi="Times New Roman" w:cs="Times New Roman"/>
          <w:noProof/>
          <w:sz w:val="24"/>
          <w:szCs w:val="24"/>
        </w:rPr>
        <mc:AlternateContent>
          <mc:Choice Requires="wps">
            <w:drawing>
              <wp:anchor distT="0" distB="0" distL="114300" distR="114300" simplePos="0" relativeHeight="251711488" behindDoc="1" locked="0" layoutInCell="1" allowOverlap="1" wp14:anchorId="0A8E044C" wp14:editId="40457E39">
                <wp:simplePos x="0" y="0"/>
                <wp:positionH relativeFrom="page">
                  <wp:posOffset>5699760</wp:posOffset>
                </wp:positionH>
                <wp:positionV relativeFrom="paragraph">
                  <wp:posOffset>1452245</wp:posOffset>
                </wp:positionV>
                <wp:extent cx="6350" cy="0"/>
                <wp:effectExtent l="13335" t="7620" r="8890" b="11430"/>
                <wp:wrapNone/>
                <wp:docPr id="18" name="Conector recto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0"/>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6C92D0" id="Conector recto 18" o:spid="_x0000_s1026" style="position:absolute;z-index:-251604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48.8pt,114.35pt" to="449.3pt,1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" strokeweight=".12pt">
                <w10:wrap anchorx="page"/>
              </v:line>
            </w:pict>
          </mc:Fallback>
        </mc:AlternateContent>
      </w:r>
      <w:r w:rsidRPr="00D470F4">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54782EC" wp14:editId="31FC84CF">
                <wp:simplePos x="0" y="0"/>
                <wp:positionH relativeFrom="page">
                  <wp:posOffset>4996180</wp:posOffset>
                </wp:positionH>
                <wp:positionV relativeFrom="paragraph">
                  <wp:posOffset>1361440</wp:posOffset>
                </wp:positionV>
                <wp:extent cx="0" cy="0"/>
                <wp:effectExtent l="5080" t="21590" r="13970" b="14605"/>
                <wp:wrapNone/>
                <wp:docPr id="16" name="Conector recto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7AFA01" id="Conector recto 16"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3.4pt,107.2pt" to="393.4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" strokeweight=".12pt">
                <w10:wrap anchorx="page"/>
              </v:line>
            </w:pict>
          </mc:Fallback>
        </mc:AlternateContent>
      </w:r>
      <w:r w:rsidRPr="00D470F4">
        <w:rPr>
          <w:rFonts w:ascii="Times New Roman" w:hAnsi="Times New Roman" w:cs="Times New Roman"/>
          <w:noProof/>
          <w:sz w:val="24"/>
          <w:szCs w:val="24"/>
        </w:rPr>
        <w:drawing>
          <wp:anchor distT="0" distB="0" distL="0" distR="0" simplePos="0" relativeHeight="251712512" behindDoc="1" locked="0" layoutInCell="1" allowOverlap="1" wp14:anchorId="4388AB03" wp14:editId="6D157990">
            <wp:simplePos x="0" y="0"/>
            <wp:positionH relativeFrom="page">
              <wp:posOffset>5596128</wp:posOffset>
            </wp:positionH>
            <wp:positionV relativeFrom="paragraph">
              <wp:posOffset>817370</wp:posOffset>
            </wp:positionV>
            <wp:extent cx="131063" cy="388620"/>
            <wp:effectExtent l="0" t="0" r="0" b="0"/>
            <wp:wrapNone/>
            <wp:docPr id="53"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6.png"/>
                    <pic:cNvPicPr/>
                  </pic:nvPicPr>
                  <pic:blipFill>
                    <a:blip r:embed="rId25" cstate="print"/>
                    <a:stretch>
                      <a:fillRect/>
                    </a:stretch>
                  </pic:blipFill>
                  <pic:spPr>
                    <a:xfrm>
                      <a:off x="0" y="0"/>
                      <a:ext cx="131063" cy="388620"/>
                    </a:xfrm>
                    <a:prstGeom prst="rect">
                      <a:avLst/>
                    </a:prstGeom>
                  </pic:spPr>
                </pic:pic>
              </a:graphicData>
            </a:graphic>
          </wp:anchor>
        </w:drawing>
      </w:r>
      <w:r w:rsidRPr="00D470F4">
        <w:rPr>
          <w:rFonts w:ascii="Times New Roman" w:hAnsi="Times New Roman" w:cs="Times New Roman"/>
          <w:noProof/>
          <w:sz w:val="24"/>
          <w:szCs w:val="24"/>
        </w:rPr>
        <w:drawing>
          <wp:anchor distT="0" distB="0" distL="0" distR="0" simplePos="0" relativeHeight="251713536" behindDoc="1" locked="0" layoutInCell="1" allowOverlap="1" wp14:anchorId="6BE58398" wp14:editId="5EF648D7">
            <wp:simplePos x="0" y="0"/>
            <wp:positionH relativeFrom="page">
              <wp:posOffset>2604642</wp:posOffset>
            </wp:positionH>
            <wp:positionV relativeFrom="paragraph">
              <wp:posOffset>1146427</wp:posOffset>
            </wp:positionV>
            <wp:extent cx="385571" cy="141732"/>
            <wp:effectExtent l="0" t="0" r="0" b="0"/>
            <wp:wrapNone/>
            <wp:docPr id="55"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7.png"/>
                    <pic:cNvPicPr/>
                  </pic:nvPicPr>
                  <pic:blipFill>
                    <a:blip r:embed="rId26" cstate="print"/>
                    <a:stretch>
                      <a:fillRect/>
                    </a:stretch>
                  </pic:blipFill>
                  <pic:spPr>
                    <a:xfrm>
                      <a:off x="0" y="0"/>
                      <a:ext cx="385571" cy="141732"/>
                    </a:xfrm>
                    <a:prstGeom prst="rect">
                      <a:avLst/>
                    </a:prstGeom>
                  </pic:spPr>
                </pic:pic>
              </a:graphicData>
            </a:graphic>
          </wp:anchor>
        </w:drawing>
      </w:r>
      <w:r w:rsidRPr="00D470F4">
        <w:rPr>
          <w:rFonts w:ascii="Times New Roman" w:hAnsi="Times New Roman" w:cs="Times New Roman"/>
          <w:noProof/>
          <w:sz w:val="24"/>
          <w:szCs w:val="24"/>
        </w:rPr>
        <w:drawing>
          <wp:anchor distT="0" distB="0" distL="0" distR="0" simplePos="0" relativeHeight="251665408" behindDoc="0" locked="0" layoutInCell="1" allowOverlap="1" wp14:anchorId="29554C3B" wp14:editId="485A2B08">
            <wp:simplePos x="0" y="0"/>
            <wp:positionH relativeFrom="page">
              <wp:posOffset>3435096</wp:posOffset>
            </wp:positionH>
            <wp:positionV relativeFrom="paragraph">
              <wp:posOffset>981835</wp:posOffset>
            </wp:positionV>
            <wp:extent cx="91439" cy="50291"/>
            <wp:effectExtent l="0" t="0" r="0" b="0"/>
            <wp:wrapNone/>
            <wp:docPr id="57"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8.png"/>
                    <pic:cNvPicPr/>
                  </pic:nvPicPr>
                  <pic:blipFill>
                    <a:blip r:embed="rId27" cstate="print"/>
                    <a:stretch>
                      <a:fillRect/>
                    </a:stretch>
                  </pic:blipFill>
                  <pic:spPr>
                    <a:xfrm>
                      <a:off x="0" y="0"/>
                      <a:ext cx="91439" cy="50291"/>
                    </a:xfrm>
                    <a:prstGeom prst="rect">
                      <a:avLst/>
                    </a:prstGeom>
                  </pic:spPr>
                </pic:pic>
              </a:graphicData>
            </a:graphic>
          </wp:anchor>
        </w:drawing>
      </w:r>
      <w:r w:rsidRPr="00D470F4">
        <w:rPr>
          <w:rFonts w:ascii="Times New Roman" w:hAnsi="Times New Roman" w:cs="Times New Roman"/>
          <w:noProof/>
          <w:sz w:val="24"/>
          <w:szCs w:val="24"/>
        </w:rPr>
        <mc:AlternateContent>
          <mc:Choice Requires="wps">
            <w:drawing>
              <wp:anchor distT="0" distB="0" distL="114300" distR="114300" simplePos="0" relativeHeight="251714560" behindDoc="1" locked="0" layoutInCell="1" allowOverlap="1" wp14:anchorId="23764AC3" wp14:editId="54510D1A">
                <wp:simplePos x="0" y="0"/>
                <wp:positionH relativeFrom="page">
                  <wp:posOffset>2411730</wp:posOffset>
                </wp:positionH>
                <wp:positionV relativeFrom="paragraph">
                  <wp:posOffset>398145</wp:posOffset>
                </wp:positionV>
                <wp:extent cx="0" cy="0"/>
                <wp:effectExtent l="11430" t="20320" r="7620" b="20320"/>
                <wp:wrapNone/>
                <wp:docPr id="14" name="Conector recto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8FDC77" id="Conector recto 14" o:spid="_x0000_s1026" style="position:absolute;z-index:-251601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9.9pt,31.35pt" to="189.9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" strokeweight=".12pt">
                <w10:wrap anchorx="page"/>
              </v:line>
            </w:pict>
          </mc:Fallback>
        </mc:AlternateContent>
      </w:r>
      <w:r w:rsidRPr="00D470F4">
        <w:rPr>
          <w:rFonts w:ascii="Times New Roman" w:hAnsi="Times New Roman" w:cs="Times New Roman"/>
          <w:noProof/>
          <w:sz w:val="24"/>
          <w:szCs w:val="24"/>
        </w:rPr>
        <w:drawing>
          <wp:anchor distT="0" distB="0" distL="0" distR="0" simplePos="0" relativeHeight="251715584" behindDoc="1" locked="0" layoutInCell="1" allowOverlap="1" wp14:anchorId="4631A334" wp14:editId="794EDECC">
            <wp:simplePos x="0" y="0"/>
            <wp:positionH relativeFrom="page">
              <wp:posOffset>2795142</wp:posOffset>
            </wp:positionH>
            <wp:positionV relativeFrom="paragraph">
              <wp:posOffset>122299</wp:posOffset>
            </wp:positionV>
            <wp:extent cx="446531" cy="175260"/>
            <wp:effectExtent l="0" t="0" r="0" b="0"/>
            <wp:wrapNone/>
            <wp:docPr id="59"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9.png"/>
                    <pic:cNvPicPr/>
                  </pic:nvPicPr>
                  <pic:blipFill>
                    <a:blip r:embed="rId28" cstate="print"/>
                    <a:stretch>
                      <a:fillRect/>
                    </a:stretch>
                  </pic:blipFill>
                  <pic:spPr>
                    <a:xfrm>
                      <a:off x="0" y="0"/>
                      <a:ext cx="446531" cy="175260"/>
                    </a:xfrm>
                    <a:prstGeom prst="rect">
                      <a:avLst/>
                    </a:prstGeom>
                  </pic:spPr>
                </pic:pic>
              </a:graphicData>
            </a:graphic>
          </wp:anchor>
        </w:drawing>
      </w:r>
      <w:r w:rsidRPr="00D470F4">
        <w:rPr>
          <w:rFonts w:ascii="Times New Roman" w:hAnsi="Times New Roman" w:cs="Times New Roman"/>
          <w:noProof/>
          <w:sz w:val="24"/>
          <w:szCs w:val="24"/>
        </w:rPr>
        <w:drawing>
          <wp:anchor distT="0" distB="0" distL="0" distR="0" simplePos="0" relativeHeight="251668480" behindDoc="0" locked="0" layoutInCell="1" allowOverlap="1" wp14:anchorId="61C6414D" wp14:editId="0DC4174B">
            <wp:simplePos x="0" y="0"/>
            <wp:positionH relativeFrom="page">
              <wp:posOffset>2272410</wp:posOffset>
            </wp:positionH>
            <wp:positionV relativeFrom="paragraph">
              <wp:posOffset>817370</wp:posOffset>
            </wp:positionV>
            <wp:extent cx="65531" cy="1524"/>
            <wp:effectExtent l="0" t="0" r="0" b="0"/>
            <wp:wrapNone/>
            <wp:docPr id="61"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40.png"/>
                    <pic:cNvPicPr/>
                  </pic:nvPicPr>
                  <pic:blipFill>
                    <a:blip r:embed="rId29" cstate="print"/>
                    <a:stretch>
                      <a:fillRect/>
                    </a:stretch>
                  </pic:blipFill>
                  <pic:spPr>
                    <a:xfrm>
                      <a:off x="0" y="0"/>
                      <a:ext cx="65531" cy="1524"/>
                    </a:xfrm>
                    <a:prstGeom prst="rect">
                      <a:avLst/>
                    </a:prstGeom>
                  </pic:spPr>
                </pic:pic>
              </a:graphicData>
            </a:graphic>
          </wp:anchor>
        </w:drawing>
      </w:r>
      <w:r w:rsidRPr="00D470F4">
        <w:rPr>
          <w:rFonts w:ascii="Times New Roman" w:hAnsi="Times New Roman" w:cs="Times New Roman"/>
          <w:noProof/>
          <w:sz w:val="24"/>
          <w:szCs w:val="24"/>
        </w:rPr>
        <w:drawing>
          <wp:anchor distT="0" distB="0" distL="0" distR="0" simplePos="0" relativeHeight="251669504" behindDoc="0" locked="0" layoutInCell="1" allowOverlap="1" wp14:anchorId="36BE5670" wp14:editId="3F06D763">
            <wp:simplePos x="0" y="0"/>
            <wp:positionH relativeFrom="page">
              <wp:posOffset>4853940</wp:posOffset>
            </wp:positionH>
            <wp:positionV relativeFrom="paragraph">
              <wp:posOffset>817370</wp:posOffset>
            </wp:positionV>
            <wp:extent cx="65532" cy="1524"/>
            <wp:effectExtent l="0" t="0" r="0" b="0"/>
            <wp:wrapNone/>
            <wp:docPr id="63"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41.png"/>
                    <pic:cNvPicPr/>
                  </pic:nvPicPr>
                  <pic:blipFill>
                    <a:blip r:embed="rId30" cstate="print"/>
                    <a:stretch>
                      <a:fillRect/>
                    </a:stretch>
                  </pic:blipFill>
                  <pic:spPr>
                    <a:xfrm>
                      <a:off x="0" y="0"/>
                      <a:ext cx="65532" cy="1524"/>
                    </a:xfrm>
                    <a:prstGeom prst="rect">
                      <a:avLst/>
                    </a:prstGeom>
                  </pic:spPr>
                </pic:pic>
              </a:graphicData>
            </a:graphic>
          </wp:anchor>
        </w:drawing>
      </w:r>
      <w:r w:rsidRPr="00D470F4">
        <w:rPr>
          <w:rFonts w:ascii="Times New Roman" w:hAnsi="Times New Roman" w:cs="Times New Roman"/>
          <w:noProof/>
          <w:sz w:val="24"/>
          <w:szCs w:val="24"/>
        </w:rPr>
        <w:drawing>
          <wp:anchor distT="0" distB="0" distL="0" distR="0" simplePos="0" relativeHeight="251670528" behindDoc="0" locked="0" layoutInCell="1" allowOverlap="1" wp14:anchorId="0481BC7F" wp14:editId="00290B37">
            <wp:simplePos x="0" y="0"/>
            <wp:positionH relativeFrom="page">
              <wp:posOffset>4124071</wp:posOffset>
            </wp:positionH>
            <wp:positionV relativeFrom="paragraph">
              <wp:posOffset>155827</wp:posOffset>
            </wp:positionV>
            <wp:extent cx="41149" cy="36575"/>
            <wp:effectExtent l="0" t="0" r="0" b="0"/>
            <wp:wrapNone/>
            <wp:docPr id="65"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42.png"/>
                    <pic:cNvPicPr/>
                  </pic:nvPicPr>
                  <pic:blipFill>
                    <a:blip r:embed="rId31" cstate="print"/>
                    <a:stretch>
                      <a:fillRect/>
                    </a:stretch>
                  </pic:blipFill>
                  <pic:spPr>
                    <a:xfrm>
                      <a:off x="0" y="0"/>
                      <a:ext cx="41149" cy="36575"/>
                    </a:xfrm>
                    <a:prstGeom prst="rect">
                      <a:avLst/>
                    </a:prstGeom>
                  </pic:spPr>
                </pic:pic>
              </a:graphicData>
            </a:graphic>
          </wp:anchor>
        </w:drawing>
      </w:r>
      <w:r w:rsidRPr="00D470F4">
        <w:rPr>
          <w:rFonts w:ascii="Times New Roman" w:hAnsi="Times New Roman" w:cs="Times New Roman"/>
          <w:noProof/>
          <w:sz w:val="24"/>
          <w:szCs w:val="24"/>
        </w:rPr>
        <w:drawing>
          <wp:anchor distT="0" distB="0" distL="0" distR="0" simplePos="0" relativeHeight="251718656" behindDoc="1" locked="0" layoutInCell="1" allowOverlap="1" wp14:anchorId="419FDD80" wp14:editId="2D014AE6">
            <wp:simplePos x="0" y="0"/>
            <wp:positionH relativeFrom="page">
              <wp:posOffset>4376928</wp:posOffset>
            </wp:positionH>
            <wp:positionV relativeFrom="paragraph">
              <wp:posOffset>817370</wp:posOffset>
            </wp:positionV>
            <wp:extent cx="192024" cy="59436"/>
            <wp:effectExtent l="0" t="0" r="0" b="0"/>
            <wp:wrapNone/>
            <wp:docPr id="67"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43.png"/>
                    <pic:cNvPicPr/>
                  </pic:nvPicPr>
                  <pic:blipFill>
                    <a:blip r:embed="rId32" cstate="print"/>
                    <a:stretch>
                      <a:fillRect/>
                    </a:stretch>
                  </pic:blipFill>
                  <pic:spPr>
                    <a:xfrm>
                      <a:off x="0" y="0"/>
                      <a:ext cx="192024" cy="59436"/>
                    </a:xfrm>
                    <a:prstGeom prst="rect">
                      <a:avLst/>
                    </a:prstGeom>
                  </pic:spPr>
                </pic:pic>
              </a:graphicData>
            </a:graphic>
          </wp:anchor>
        </w:drawing>
      </w:r>
      <w:r w:rsidRPr="00D470F4">
        <w:rPr>
          <w:rFonts w:ascii="Times New Roman" w:hAnsi="Times New Roman" w:cs="Times New Roman"/>
          <w:noProof/>
          <w:sz w:val="24"/>
          <w:szCs w:val="24"/>
        </w:rPr>
        <w:drawing>
          <wp:anchor distT="0" distB="0" distL="0" distR="0" simplePos="0" relativeHeight="251719680" behindDoc="1" locked="0" layoutInCell="1" allowOverlap="1" wp14:anchorId="25A321CA" wp14:editId="7E53F9C0">
            <wp:simplePos x="0" y="0"/>
            <wp:positionH relativeFrom="page">
              <wp:posOffset>2761614</wp:posOffset>
            </wp:positionH>
            <wp:positionV relativeFrom="paragraph">
              <wp:posOffset>625346</wp:posOffset>
            </wp:positionV>
            <wp:extent cx="62485" cy="251460"/>
            <wp:effectExtent l="0" t="0" r="0" b="0"/>
            <wp:wrapNone/>
            <wp:docPr id="69"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4.png"/>
                    <pic:cNvPicPr/>
                  </pic:nvPicPr>
                  <pic:blipFill>
                    <a:blip r:embed="rId33" cstate="print"/>
                    <a:stretch>
                      <a:fillRect/>
                    </a:stretch>
                  </pic:blipFill>
                  <pic:spPr>
                    <a:xfrm>
                      <a:off x="0" y="0"/>
                      <a:ext cx="62485" cy="251460"/>
                    </a:xfrm>
                    <a:prstGeom prst="rect">
                      <a:avLst/>
                    </a:prstGeom>
                  </pic:spPr>
                </pic:pic>
              </a:graphicData>
            </a:graphic>
          </wp:anchor>
        </w:drawing>
      </w:r>
      <w:r w:rsidR="003E6D2A" w:rsidRPr="00D470F4">
        <w:rPr>
          <w:rFonts w:ascii="Times New Roman" w:hAnsi="Times New Roman" w:cs="Times New Roman"/>
          <w:sz w:val="24"/>
          <w:szCs w:val="24"/>
        </w:rPr>
        <w:t>E</w:t>
      </w:r>
      <w:r w:rsidRPr="00D470F4">
        <w:rPr>
          <w:rFonts w:ascii="Times New Roman" w:hAnsi="Times New Roman" w:cs="Times New Roman"/>
          <w:sz w:val="24"/>
          <w:szCs w:val="24"/>
        </w:rPr>
        <w:t xml:space="preserve">l mercado eléctrico </w:t>
      </w:r>
      <w:r w:rsidR="00652520" w:rsidRPr="00D470F4">
        <w:rPr>
          <w:rFonts w:ascii="Times New Roman" w:hAnsi="Times New Roman" w:cs="Times New Roman"/>
          <w:sz w:val="24"/>
          <w:szCs w:val="24"/>
        </w:rPr>
        <w:t>argentino se</w:t>
      </w:r>
      <w:r w:rsidRPr="00D470F4">
        <w:rPr>
          <w:rFonts w:ascii="Times New Roman" w:hAnsi="Times New Roman" w:cs="Times New Roman"/>
          <w:sz w:val="24"/>
          <w:szCs w:val="24"/>
        </w:rPr>
        <w:t xml:space="preserve"> caracteriz</w:t>
      </w:r>
      <w:r w:rsidR="00652520" w:rsidRPr="00D470F4">
        <w:rPr>
          <w:rFonts w:ascii="Times New Roman" w:hAnsi="Times New Roman" w:cs="Times New Roman"/>
          <w:sz w:val="24"/>
          <w:szCs w:val="24"/>
        </w:rPr>
        <w:t xml:space="preserve">ó en este </w:t>
      </w:r>
      <w:proofErr w:type="spellStart"/>
      <w:r w:rsidR="00652520" w:rsidRPr="00D470F4">
        <w:rPr>
          <w:rFonts w:ascii="Times New Roman" w:hAnsi="Times New Roman" w:cs="Times New Roman"/>
          <w:sz w:val="24"/>
          <w:szCs w:val="24"/>
        </w:rPr>
        <w:t>momento</w:t>
      </w:r>
      <w:r w:rsidRPr="00D470F4">
        <w:rPr>
          <w:rFonts w:ascii="Times New Roman" w:hAnsi="Times New Roman" w:cs="Times New Roman"/>
          <w:sz w:val="24"/>
          <w:szCs w:val="24"/>
        </w:rPr>
        <w:t>por</w:t>
      </w:r>
      <w:proofErr w:type="spellEnd"/>
      <w:r w:rsidRPr="00D470F4">
        <w:rPr>
          <w:rFonts w:ascii="Times New Roman" w:hAnsi="Times New Roman" w:cs="Times New Roman"/>
          <w:sz w:val="24"/>
          <w:szCs w:val="24"/>
        </w:rPr>
        <w:t xml:space="preserve"> numerosos productores en un mercado de generación altamente competitivo. Muchas empresas </w:t>
      </w:r>
      <w:r w:rsidR="00652520" w:rsidRPr="00D470F4">
        <w:rPr>
          <w:rFonts w:ascii="Times New Roman" w:hAnsi="Times New Roman" w:cs="Times New Roman"/>
          <w:sz w:val="24"/>
          <w:szCs w:val="24"/>
        </w:rPr>
        <w:t>tienen más</w:t>
      </w:r>
      <w:r w:rsidRPr="00D470F4">
        <w:rPr>
          <w:rFonts w:ascii="Times New Roman" w:hAnsi="Times New Roman" w:cs="Times New Roman"/>
          <w:sz w:val="24"/>
          <w:szCs w:val="24"/>
        </w:rPr>
        <w:t xml:space="preserve"> de 1.000 MW de </w:t>
      </w:r>
      <w:proofErr w:type="gramStart"/>
      <w:r w:rsidRPr="00D470F4">
        <w:rPr>
          <w:rFonts w:ascii="Times New Roman" w:hAnsi="Times New Roman" w:cs="Times New Roman"/>
          <w:sz w:val="24"/>
          <w:szCs w:val="24"/>
        </w:rPr>
        <w:t>capacidad  instalada</w:t>
      </w:r>
      <w:proofErr w:type="gramEnd"/>
      <w:r w:rsidRPr="00D470F4">
        <w:rPr>
          <w:rFonts w:ascii="Times New Roman" w:hAnsi="Times New Roman" w:cs="Times New Roman"/>
          <w:sz w:val="24"/>
          <w:szCs w:val="24"/>
        </w:rPr>
        <w:t xml:space="preserve">, y la  más grande  tiene 1.400 MW,  que constituye sólo el 6 por ciento  de la capacidad instalada total.  Así pues, el mercado </w:t>
      </w:r>
      <w:r w:rsidR="00652520" w:rsidRPr="00D470F4">
        <w:rPr>
          <w:rFonts w:ascii="Times New Roman" w:hAnsi="Times New Roman" w:cs="Times New Roman"/>
          <w:sz w:val="24"/>
          <w:szCs w:val="24"/>
        </w:rPr>
        <w:t>de generación</w:t>
      </w:r>
      <w:r w:rsidRPr="00D470F4">
        <w:rPr>
          <w:rFonts w:ascii="Times New Roman" w:hAnsi="Times New Roman" w:cs="Times New Roman"/>
          <w:sz w:val="24"/>
          <w:szCs w:val="24"/>
        </w:rPr>
        <w:t xml:space="preserve"> inicial ha tenido un bajo </w:t>
      </w:r>
      <w:proofErr w:type="gramStart"/>
      <w:r w:rsidRPr="00D470F4">
        <w:rPr>
          <w:rFonts w:ascii="Times New Roman" w:hAnsi="Times New Roman" w:cs="Times New Roman"/>
          <w:sz w:val="24"/>
          <w:szCs w:val="24"/>
        </w:rPr>
        <w:t>coeficiente  de</w:t>
      </w:r>
      <w:proofErr w:type="gramEnd"/>
      <w:r w:rsidRPr="00D470F4">
        <w:rPr>
          <w:rFonts w:ascii="Times New Roman" w:hAnsi="Times New Roman" w:cs="Times New Roman"/>
          <w:sz w:val="24"/>
          <w:szCs w:val="24"/>
        </w:rPr>
        <w:t xml:space="preserve"> concentración.  </w:t>
      </w:r>
      <w:proofErr w:type="gramStart"/>
      <w:r w:rsidRPr="00D470F4">
        <w:rPr>
          <w:rFonts w:ascii="Times New Roman" w:hAnsi="Times New Roman" w:cs="Times New Roman"/>
          <w:sz w:val="24"/>
          <w:szCs w:val="24"/>
        </w:rPr>
        <w:t>Las  cuotas</w:t>
      </w:r>
      <w:proofErr w:type="gramEnd"/>
      <w:r w:rsidRPr="00D470F4">
        <w:rPr>
          <w:rFonts w:ascii="Times New Roman" w:hAnsi="Times New Roman" w:cs="Times New Roman"/>
          <w:sz w:val="24"/>
          <w:szCs w:val="24"/>
        </w:rPr>
        <w:t xml:space="preserve"> de mercado de las empresas líderes han aumentado desde 1992, pero el mercado sigue estando menos concentrado que la mayoría de los mercados  europeos y norteamericanos.  El índice </w:t>
      </w:r>
      <w:proofErr w:type="spellStart"/>
      <w:r w:rsidRPr="00D470F4">
        <w:rPr>
          <w:rFonts w:ascii="Times New Roman" w:hAnsi="Times New Roman" w:cs="Times New Roman"/>
          <w:sz w:val="24"/>
          <w:szCs w:val="24"/>
        </w:rPr>
        <w:t>Herfindahl-Hirschman</w:t>
      </w:r>
      <w:proofErr w:type="spellEnd"/>
      <w:r w:rsidRPr="00D470F4">
        <w:rPr>
          <w:rFonts w:ascii="Times New Roman" w:hAnsi="Times New Roman" w:cs="Times New Roman"/>
          <w:sz w:val="24"/>
          <w:szCs w:val="24"/>
        </w:rPr>
        <w:t xml:space="preserve"> (HHI) de concentración fue de 708 </w:t>
      </w:r>
      <w:proofErr w:type="gramStart"/>
      <w:r w:rsidRPr="00D470F4">
        <w:rPr>
          <w:rFonts w:ascii="Times New Roman" w:hAnsi="Times New Roman" w:cs="Times New Roman"/>
          <w:sz w:val="24"/>
          <w:szCs w:val="24"/>
        </w:rPr>
        <w:t>en  2002</w:t>
      </w:r>
      <w:proofErr w:type="gramEnd"/>
      <w:r w:rsidRPr="00D470F4">
        <w:rPr>
          <w:rFonts w:ascii="Times New Roman" w:hAnsi="Times New Roman" w:cs="Times New Roman"/>
          <w:sz w:val="24"/>
          <w:szCs w:val="24"/>
        </w:rPr>
        <w:t xml:space="preserve"> en términos de  energía vendida al mercado mayorista  por unidad  de negocio (el HHI fue de 1.589 incluyendo  la participación cruzada). </w:t>
      </w:r>
    </w:p>
    <w:p w14:paraId="46373F11" w14:textId="340628D8" w:rsidR="00EF29B2" w:rsidRPr="00D470F4" w:rsidRDefault="00EF29B2" w:rsidP="00132D23">
      <w:pPr>
        <w:spacing w:line="480" w:lineRule="auto"/>
        <w:jc w:val="both"/>
        <w:rPr>
          <w:rFonts w:ascii="Times New Roman" w:hAnsi="Times New Roman" w:cs="Times New Roman"/>
          <w:sz w:val="24"/>
          <w:szCs w:val="24"/>
        </w:rPr>
      </w:pPr>
      <w:r w:rsidRPr="00D470F4">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C1EE912" wp14:editId="7D7F2EB2">
                <wp:simplePos x="0" y="0"/>
                <wp:positionH relativeFrom="page">
                  <wp:posOffset>1915160</wp:posOffset>
                </wp:positionH>
                <wp:positionV relativeFrom="paragraph">
                  <wp:posOffset>1294765</wp:posOffset>
                </wp:positionV>
                <wp:extent cx="0" cy="0"/>
                <wp:effectExtent l="10160" t="15875" r="8890" b="22225"/>
                <wp:wrapNone/>
                <wp:docPr id="12"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E94576" id="Conector recto 12"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0.8pt,101.95pt" to="150.8pt,10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" strokeweight=".12pt">
                <w10:wrap anchorx="page"/>
              </v:line>
            </w:pict>
          </mc:Fallback>
        </mc:AlternateContent>
      </w:r>
      <w:r w:rsidRPr="00D470F4">
        <w:rPr>
          <w:rFonts w:ascii="Times New Roman" w:hAnsi="Times New Roman" w:cs="Times New Roman"/>
          <w:noProof/>
          <w:sz w:val="24"/>
          <w:szCs w:val="24"/>
        </w:rPr>
        <w:drawing>
          <wp:anchor distT="0" distB="0" distL="0" distR="0" simplePos="0" relativeHeight="251681792" behindDoc="1" locked="0" layoutInCell="1" allowOverlap="1" wp14:anchorId="76A143DE" wp14:editId="23B58513">
            <wp:simplePos x="0" y="0"/>
            <wp:positionH relativeFrom="page">
              <wp:posOffset>5650991</wp:posOffset>
            </wp:positionH>
            <wp:positionV relativeFrom="paragraph">
              <wp:posOffset>1062861</wp:posOffset>
            </wp:positionV>
            <wp:extent cx="1524" cy="51816"/>
            <wp:effectExtent l="0" t="0" r="0" b="0"/>
            <wp:wrapNone/>
            <wp:docPr id="7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9.png"/>
                    <pic:cNvPicPr/>
                  </pic:nvPicPr>
                  <pic:blipFill>
                    <a:blip r:embed="rId9" cstate="print"/>
                    <a:stretch>
                      <a:fillRect/>
                    </a:stretch>
                  </pic:blipFill>
                  <pic:spPr>
                    <a:xfrm>
                      <a:off x="0" y="0"/>
                      <a:ext cx="1524" cy="51816"/>
                    </a:xfrm>
                    <a:prstGeom prst="rect">
                      <a:avLst/>
                    </a:prstGeom>
                  </pic:spPr>
                </pic:pic>
              </a:graphicData>
            </a:graphic>
          </wp:anchor>
        </w:drawing>
      </w:r>
      <w:r w:rsidRPr="00D470F4">
        <w:rPr>
          <w:rFonts w:ascii="Times New Roman" w:hAnsi="Times New Roman" w:cs="Times New Roman"/>
          <w:noProof/>
          <w:sz w:val="24"/>
          <w:szCs w:val="24"/>
        </w:rPr>
        <w:drawing>
          <wp:anchor distT="0" distB="0" distL="0" distR="0" simplePos="0" relativeHeight="251683840" behindDoc="1" locked="0" layoutInCell="1" allowOverlap="1" wp14:anchorId="05BEF343" wp14:editId="0986FE27">
            <wp:simplePos x="0" y="0"/>
            <wp:positionH relativeFrom="page">
              <wp:posOffset>3416934</wp:posOffset>
            </wp:positionH>
            <wp:positionV relativeFrom="paragraph">
              <wp:posOffset>889251</wp:posOffset>
            </wp:positionV>
            <wp:extent cx="178308" cy="56389"/>
            <wp:effectExtent l="0" t="0" r="0" b="0"/>
            <wp:wrapNone/>
            <wp:docPr id="73"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45.png"/>
                    <pic:cNvPicPr/>
                  </pic:nvPicPr>
                  <pic:blipFill>
                    <a:blip r:embed="rId34" cstate="print"/>
                    <a:stretch>
                      <a:fillRect/>
                    </a:stretch>
                  </pic:blipFill>
                  <pic:spPr>
                    <a:xfrm>
                      <a:off x="0" y="0"/>
                      <a:ext cx="178308" cy="56389"/>
                    </a:xfrm>
                    <a:prstGeom prst="rect">
                      <a:avLst/>
                    </a:prstGeom>
                  </pic:spPr>
                </pic:pic>
              </a:graphicData>
            </a:graphic>
          </wp:anchor>
        </w:drawing>
      </w:r>
      <w:r w:rsidRPr="00D470F4">
        <w:rPr>
          <w:rFonts w:ascii="Times New Roman" w:hAnsi="Times New Roman" w:cs="Times New Roman"/>
          <w:noProof/>
          <w:sz w:val="24"/>
          <w:szCs w:val="24"/>
        </w:rPr>
        <mc:AlternateContent>
          <mc:Choice Requires="wps">
            <w:drawing>
              <wp:anchor distT="0" distB="0" distL="114300" distR="114300" simplePos="0" relativeHeight="251684864" behindDoc="1" locked="0" layoutInCell="1" allowOverlap="1" wp14:anchorId="18DFFCEE" wp14:editId="768670C7">
                <wp:simplePos x="0" y="0"/>
                <wp:positionH relativeFrom="page">
                  <wp:posOffset>3911600</wp:posOffset>
                </wp:positionH>
                <wp:positionV relativeFrom="paragraph">
                  <wp:posOffset>1105535</wp:posOffset>
                </wp:positionV>
                <wp:extent cx="0" cy="0"/>
                <wp:effectExtent l="6350" t="17145" r="12700" b="20320"/>
                <wp:wrapNone/>
                <wp:docPr id="10"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BD7368" id="Conector recto 10" o:spid="_x0000_s1026" style="position:absolute;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8pt,87.05pt" to="308pt,8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" strokeweight=".12pt">
                <w10:wrap anchorx="page"/>
              </v:line>
            </w:pict>
          </mc:Fallback>
        </mc:AlternateContent>
      </w:r>
      <w:r w:rsidRPr="00D470F4">
        <w:rPr>
          <w:rFonts w:ascii="Times New Roman" w:hAnsi="Times New Roman" w:cs="Times New Roman"/>
          <w:noProof/>
          <w:sz w:val="24"/>
          <w:szCs w:val="24"/>
        </w:rPr>
        <w:drawing>
          <wp:anchor distT="0" distB="0" distL="0" distR="0" simplePos="0" relativeHeight="251686912" behindDoc="1" locked="0" layoutInCell="1" allowOverlap="1" wp14:anchorId="1AD0C31C" wp14:editId="55D9D1B4">
            <wp:simplePos x="0" y="0"/>
            <wp:positionH relativeFrom="page">
              <wp:posOffset>4681728</wp:posOffset>
            </wp:positionH>
            <wp:positionV relativeFrom="paragraph">
              <wp:posOffset>526540</wp:posOffset>
            </wp:positionV>
            <wp:extent cx="188975" cy="256031"/>
            <wp:effectExtent l="0" t="0" r="0" b="0"/>
            <wp:wrapNone/>
            <wp:docPr id="75"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46.png"/>
                    <pic:cNvPicPr/>
                  </pic:nvPicPr>
                  <pic:blipFill>
                    <a:blip r:embed="rId35" cstate="print"/>
                    <a:stretch>
                      <a:fillRect/>
                    </a:stretch>
                  </pic:blipFill>
                  <pic:spPr>
                    <a:xfrm>
                      <a:off x="0" y="0"/>
                      <a:ext cx="188975" cy="256031"/>
                    </a:xfrm>
                    <a:prstGeom prst="rect">
                      <a:avLst/>
                    </a:prstGeom>
                  </pic:spPr>
                </pic:pic>
              </a:graphicData>
            </a:graphic>
          </wp:anchor>
        </w:drawing>
      </w:r>
      <w:r w:rsidRPr="00D470F4">
        <w:rPr>
          <w:rFonts w:ascii="Times New Roman" w:hAnsi="Times New Roman" w:cs="Times New Roman"/>
          <w:noProof/>
          <w:sz w:val="24"/>
          <w:szCs w:val="24"/>
        </w:rPr>
        <mc:AlternateContent>
          <mc:Choice Requires="wps">
            <w:drawing>
              <wp:anchor distT="0" distB="0" distL="114300" distR="114300" simplePos="0" relativeHeight="251695104" behindDoc="1" locked="0" layoutInCell="1" allowOverlap="1" wp14:anchorId="63F70270" wp14:editId="7FDF1BEA">
                <wp:simplePos x="0" y="0"/>
                <wp:positionH relativeFrom="page">
                  <wp:posOffset>3136265</wp:posOffset>
                </wp:positionH>
                <wp:positionV relativeFrom="paragraph">
                  <wp:posOffset>560705</wp:posOffset>
                </wp:positionV>
                <wp:extent cx="13970" cy="0"/>
                <wp:effectExtent l="12065" t="5715" r="12065" b="13335"/>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0" cy="0"/>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BB4C18" id="Conector recto 8" o:spid="_x0000_s1026" style="position:absolute;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6.95pt,44.15pt" to="248.05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" strokeweight=".12pt">
                <w10:wrap anchorx="page"/>
              </v:line>
            </w:pict>
          </mc:Fallback>
        </mc:AlternateContent>
      </w:r>
      <w:r w:rsidRPr="00D470F4">
        <w:rPr>
          <w:rFonts w:ascii="Times New Roman" w:hAnsi="Times New Roman" w:cs="Times New Roman"/>
          <w:noProof/>
          <w:sz w:val="24"/>
          <w:szCs w:val="24"/>
        </w:rPr>
        <mc:AlternateContent>
          <mc:Choice Requires="wps">
            <w:drawing>
              <wp:anchor distT="0" distB="0" distL="114300" distR="114300" simplePos="0" relativeHeight="251697152" behindDoc="1" locked="0" layoutInCell="1" allowOverlap="1" wp14:anchorId="16256393" wp14:editId="6C5A5702">
                <wp:simplePos x="0" y="0"/>
                <wp:positionH relativeFrom="page">
                  <wp:posOffset>2182495</wp:posOffset>
                </wp:positionH>
                <wp:positionV relativeFrom="paragraph">
                  <wp:posOffset>560705</wp:posOffset>
                </wp:positionV>
                <wp:extent cx="18415" cy="0"/>
                <wp:effectExtent l="10795" t="5715" r="8890" b="13335"/>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15" cy="0"/>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199495" id="Conector recto 6" o:spid="_x0000_s1026" style="position:absolute;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1.85pt,44.15pt" to="173.3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" strokeweight=".12pt">
                <w10:wrap anchorx="page"/>
              </v:line>
            </w:pict>
          </mc:Fallback>
        </mc:AlternateContent>
      </w:r>
      <w:r w:rsidRPr="00D470F4">
        <w:rPr>
          <w:rFonts w:ascii="Times New Roman" w:hAnsi="Times New Roman" w:cs="Times New Roman"/>
          <w:noProof/>
          <w:sz w:val="24"/>
          <w:szCs w:val="24"/>
        </w:rPr>
        <w:drawing>
          <wp:anchor distT="0" distB="0" distL="0" distR="0" simplePos="0" relativeHeight="251699200" behindDoc="1" locked="0" layoutInCell="1" allowOverlap="1" wp14:anchorId="204EB9A3" wp14:editId="0734747D">
            <wp:simplePos x="0" y="0"/>
            <wp:positionH relativeFrom="page">
              <wp:posOffset>5440679</wp:posOffset>
            </wp:positionH>
            <wp:positionV relativeFrom="paragraph">
              <wp:posOffset>194181</wp:posOffset>
            </wp:positionV>
            <wp:extent cx="259079" cy="272795"/>
            <wp:effectExtent l="0" t="0" r="0" b="0"/>
            <wp:wrapNone/>
            <wp:docPr id="7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47.png"/>
                    <pic:cNvPicPr/>
                  </pic:nvPicPr>
                  <pic:blipFill>
                    <a:blip r:embed="rId36" cstate="print"/>
                    <a:stretch>
                      <a:fillRect/>
                    </a:stretch>
                  </pic:blipFill>
                  <pic:spPr>
                    <a:xfrm>
                      <a:off x="0" y="0"/>
                      <a:ext cx="259079" cy="272795"/>
                    </a:xfrm>
                    <a:prstGeom prst="rect">
                      <a:avLst/>
                    </a:prstGeom>
                  </pic:spPr>
                </pic:pic>
              </a:graphicData>
            </a:graphic>
          </wp:anchor>
        </w:drawing>
      </w:r>
      <w:r w:rsidRPr="00D470F4">
        <w:rPr>
          <w:rFonts w:ascii="Times New Roman" w:hAnsi="Times New Roman" w:cs="Times New Roman"/>
          <w:noProof/>
          <w:sz w:val="24"/>
          <w:szCs w:val="24"/>
        </w:rPr>
        <mc:AlternateContent>
          <mc:Choice Requires="wps">
            <w:drawing>
              <wp:anchor distT="0" distB="0" distL="114300" distR="114300" simplePos="0" relativeHeight="251701248" behindDoc="1" locked="0" layoutInCell="1" allowOverlap="1" wp14:anchorId="3369AC8F" wp14:editId="3575E7D3">
                <wp:simplePos x="0" y="0"/>
                <wp:positionH relativeFrom="page">
                  <wp:posOffset>5139690</wp:posOffset>
                </wp:positionH>
                <wp:positionV relativeFrom="paragraph">
                  <wp:posOffset>266065</wp:posOffset>
                </wp:positionV>
                <wp:extent cx="0" cy="0"/>
                <wp:effectExtent l="5715" t="25400" r="13335" b="27940"/>
                <wp:wrapNone/>
                <wp:docPr id="4"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5250B9" id="Conector recto 4" o:spid="_x0000_s1026" style="position:absolute;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4.7pt,20.95pt" to="404.7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" strokeweight=".12pt">
                <w10:wrap anchorx="page"/>
              </v:line>
            </w:pict>
          </mc:Fallback>
        </mc:AlternateContent>
      </w:r>
      <w:r w:rsidRPr="00D470F4">
        <w:rPr>
          <w:rFonts w:ascii="Times New Roman" w:hAnsi="Times New Roman" w:cs="Times New Roman"/>
          <w:noProof/>
          <w:sz w:val="24"/>
          <w:szCs w:val="24"/>
        </w:rPr>
        <w:drawing>
          <wp:anchor distT="0" distB="0" distL="0" distR="0" simplePos="0" relativeHeight="251703296" behindDoc="1" locked="0" layoutInCell="1" allowOverlap="1" wp14:anchorId="0265A3D3" wp14:editId="104A82EA">
            <wp:simplePos x="0" y="0"/>
            <wp:positionH relativeFrom="page">
              <wp:posOffset>4287139</wp:posOffset>
            </wp:positionH>
            <wp:positionV relativeFrom="paragraph">
              <wp:posOffset>227709</wp:posOffset>
            </wp:positionV>
            <wp:extent cx="28957" cy="1524"/>
            <wp:effectExtent l="0" t="0" r="0" b="0"/>
            <wp:wrapNone/>
            <wp:docPr id="79"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32.png"/>
                    <pic:cNvPicPr/>
                  </pic:nvPicPr>
                  <pic:blipFill>
                    <a:blip r:embed="rId22" cstate="print"/>
                    <a:stretch>
                      <a:fillRect/>
                    </a:stretch>
                  </pic:blipFill>
                  <pic:spPr>
                    <a:xfrm>
                      <a:off x="0" y="0"/>
                      <a:ext cx="28957" cy="1524"/>
                    </a:xfrm>
                    <a:prstGeom prst="rect">
                      <a:avLst/>
                    </a:prstGeom>
                  </pic:spPr>
                </pic:pic>
              </a:graphicData>
            </a:graphic>
          </wp:anchor>
        </w:drawing>
      </w:r>
      <w:r w:rsidRPr="00D470F4">
        <w:rPr>
          <w:rFonts w:ascii="Times New Roman" w:hAnsi="Times New Roman" w:cs="Times New Roman"/>
          <w:noProof/>
          <w:sz w:val="24"/>
          <w:szCs w:val="24"/>
        </w:rPr>
        <w:drawing>
          <wp:anchor distT="0" distB="0" distL="0" distR="0" simplePos="0" relativeHeight="251705344" behindDoc="1" locked="0" layoutInCell="1" allowOverlap="1" wp14:anchorId="158CF366" wp14:editId="5B6256DC">
            <wp:simplePos x="0" y="0"/>
            <wp:positionH relativeFrom="page">
              <wp:posOffset>3648583</wp:posOffset>
            </wp:positionH>
            <wp:positionV relativeFrom="paragraph">
              <wp:posOffset>227709</wp:posOffset>
            </wp:positionV>
            <wp:extent cx="28957" cy="1524"/>
            <wp:effectExtent l="0" t="0" r="0" b="0"/>
            <wp:wrapNone/>
            <wp:docPr id="81"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8.png"/>
                    <pic:cNvPicPr/>
                  </pic:nvPicPr>
                  <pic:blipFill>
                    <a:blip r:embed="rId37" cstate="print"/>
                    <a:stretch>
                      <a:fillRect/>
                    </a:stretch>
                  </pic:blipFill>
                  <pic:spPr>
                    <a:xfrm>
                      <a:off x="0" y="0"/>
                      <a:ext cx="28957" cy="1524"/>
                    </a:xfrm>
                    <a:prstGeom prst="rect">
                      <a:avLst/>
                    </a:prstGeom>
                  </pic:spPr>
                </pic:pic>
              </a:graphicData>
            </a:graphic>
          </wp:anchor>
        </w:drawing>
      </w:r>
      <w:r w:rsidRPr="00D470F4">
        <w:rPr>
          <w:rFonts w:ascii="Times New Roman" w:hAnsi="Times New Roman" w:cs="Times New Roman"/>
          <w:noProof/>
          <w:sz w:val="24"/>
          <w:szCs w:val="24"/>
        </w:rPr>
        <mc:AlternateContent>
          <mc:Choice Requires="wps">
            <w:drawing>
              <wp:anchor distT="0" distB="0" distL="114300" distR="114300" simplePos="0" relativeHeight="251708416" behindDoc="1" locked="0" layoutInCell="1" allowOverlap="1" wp14:anchorId="780DBF97" wp14:editId="2064AA85">
                <wp:simplePos x="0" y="0"/>
                <wp:positionH relativeFrom="page">
                  <wp:posOffset>2893060</wp:posOffset>
                </wp:positionH>
                <wp:positionV relativeFrom="paragraph">
                  <wp:posOffset>76835</wp:posOffset>
                </wp:positionV>
                <wp:extent cx="0" cy="0"/>
                <wp:effectExtent l="6985" t="17145" r="12065" b="1778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A69A99" id="Conector recto 2" o:spid="_x0000_s1026" style="position:absolute;z-index:-251608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7.8pt,6.05pt" to="227.8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" strokeweight=".12pt">
                <w10:wrap anchorx="page"/>
              </v:line>
            </w:pict>
          </mc:Fallback>
        </mc:AlternateContent>
      </w:r>
      <w:r w:rsidRPr="00D470F4">
        <w:rPr>
          <w:rFonts w:ascii="Times New Roman" w:hAnsi="Times New Roman" w:cs="Times New Roman"/>
          <w:sz w:val="24"/>
          <w:szCs w:val="24"/>
        </w:rPr>
        <w:t xml:space="preserve">Las tres empresas distribuidoras desinvertidas de SEGBA (EDENOR, EDESUR y EDELAP) representan el 44 por ciento del mercado eléctrico en Argentina. Incluyendo las empresas desinvertidas de los servicios públicos </w:t>
      </w:r>
      <w:r w:rsidR="00652520" w:rsidRPr="00D470F4">
        <w:rPr>
          <w:rFonts w:ascii="Times New Roman" w:hAnsi="Times New Roman" w:cs="Times New Roman"/>
          <w:sz w:val="24"/>
          <w:szCs w:val="24"/>
        </w:rPr>
        <w:t>regionales, la</w:t>
      </w:r>
      <w:r w:rsidRPr="00D470F4">
        <w:rPr>
          <w:rFonts w:ascii="Times New Roman" w:hAnsi="Times New Roman" w:cs="Times New Roman"/>
          <w:sz w:val="24"/>
          <w:szCs w:val="24"/>
        </w:rPr>
        <w:t xml:space="preserve"> participación privada en el mercado de distribución ha aumentado al 60 por ciento.  El resto de las empresas distribuidoras siguen en manos </w:t>
      </w:r>
      <w:r w:rsidR="00652520" w:rsidRPr="00D470F4">
        <w:rPr>
          <w:rFonts w:ascii="Times New Roman" w:hAnsi="Times New Roman" w:cs="Times New Roman"/>
          <w:sz w:val="24"/>
          <w:szCs w:val="24"/>
        </w:rPr>
        <w:t>de los</w:t>
      </w:r>
      <w:r w:rsidRPr="00D470F4">
        <w:rPr>
          <w:rFonts w:ascii="Times New Roman" w:hAnsi="Times New Roman" w:cs="Times New Roman"/>
          <w:sz w:val="24"/>
          <w:szCs w:val="24"/>
        </w:rPr>
        <w:t xml:space="preserve"> gobiernos provinciales, pero esta estructura de propiedad cambiará con la expansión del nuevo marco regulatorio a las diferentes regiones del país.</w:t>
      </w:r>
    </w:p>
    <w:p w14:paraId="1D71BA40" w14:textId="3CE49059" w:rsidR="00EF29B2" w:rsidRPr="00D470F4" w:rsidRDefault="00EF29B2"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 xml:space="preserve">Como resultado de esta liberalización, el </w:t>
      </w:r>
      <w:r w:rsidR="00652520" w:rsidRPr="00D470F4">
        <w:rPr>
          <w:rFonts w:ascii="Times New Roman" w:hAnsi="Times New Roman" w:cs="Times New Roman"/>
          <w:sz w:val="24"/>
          <w:szCs w:val="24"/>
        </w:rPr>
        <w:t>número de</w:t>
      </w:r>
      <w:r w:rsidRPr="00D470F4">
        <w:rPr>
          <w:rFonts w:ascii="Times New Roman" w:hAnsi="Times New Roman" w:cs="Times New Roman"/>
          <w:sz w:val="24"/>
          <w:szCs w:val="24"/>
        </w:rPr>
        <w:t xml:space="preserve"> </w:t>
      </w:r>
      <w:proofErr w:type="gramStart"/>
      <w:r w:rsidRPr="00D470F4">
        <w:rPr>
          <w:rFonts w:ascii="Times New Roman" w:hAnsi="Times New Roman" w:cs="Times New Roman"/>
          <w:sz w:val="24"/>
          <w:szCs w:val="24"/>
        </w:rPr>
        <w:t>participantes  en</w:t>
      </w:r>
      <w:proofErr w:type="gramEnd"/>
      <w:r w:rsidRPr="00D470F4">
        <w:rPr>
          <w:rFonts w:ascii="Times New Roman" w:hAnsi="Times New Roman" w:cs="Times New Roman"/>
          <w:sz w:val="24"/>
          <w:szCs w:val="24"/>
        </w:rPr>
        <w:t xml:space="preserve"> el MEM fue de 2.527 en  diciembre de 2002,  incluyendo 38 empresas generadoras y 2.308 grandes usuarios de  energía.   El mercado liberalizado </w:t>
      </w:r>
      <w:r w:rsidR="00652520" w:rsidRPr="00D470F4">
        <w:rPr>
          <w:rFonts w:ascii="Times New Roman" w:hAnsi="Times New Roman" w:cs="Times New Roman"/>
          <w:sz w:val="24"/>
          <w:szCs w:val="24"/>
        </w:rPr>
        <w:t xml:space="preserve">representó </w:t>
      </w:r>
      <w:proofErr w:type="gramStart"/>
      <w:r w:rsidR="00652520" w:rsidRPr="00D470F4">
        <w:rPr>
          <w:rFonts w:ascii="Times New Roman" w:hAnsi="Times New Roman" w:cs="Times New Roman"/>
          <w:sz w:val="24"/>
          <w:szCs w:val="24"/>
        </w:rPr>
        <w:t>alrededor</w:t>
      </w:r>
      <w:r w:rsidRPr="00D470F4">
        <w:rPr>
          <w:rFonts w:ascii="Times New Roman" w:hAnsi="Times New Roman" w:cs="Times New Roman"/>
          <w:sz w:val="24"/>
          <w:szCs w:val="24"/>
        </w:rPr>
        <w:t xml:space="preserve">  del</w:t>
      </w:r>
      <w:proofErr w:type="gramEnd"/>
      <w:r w:rsidRPr="00D470F4">
        <w:rPr>
          <w:rFonts w:ascii="Times New Roman" w:hAnsi="Times New Roman" w:cs="Times New Roman"/>
          <w:sz w:val="24"/>
          <w:szCs w:val="24"/>
        </w:rPr>
        <w:t xml:space="preserve"> 50 por ciento  de la demanda nacional de electricidad.</w:t>
      </w:r>
    </w:p>
    <w:p w14:paraId="634F5018" w14:textId="1E4B1CFD" w:rsidR="003E6D2A" w:rsidRPr="00D470F4" w:rsidRDefault="00EF29B2"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 xml:space="preserve">Los precios mayoristas del MEM cayeron significativamente debido a la </w:t>
      </w:r>
      <w:r w:rsidR="00652520" w:rsidRPr="00D470F4">
        <w:rPr>
          <w:rFonts w:ascii="Times New Roman" w:hAnsi="Times New Roman" w:cs="Times New Roman"/>
          <w:sz w:val="24"/>
          <w:szCs w:val="24"/>
        </w:rPr>
        <w:t>instalación de</w:t>
      </w:r>
      <w:r w:rsidRPr="00D470F4">
        <w:rPr>
          <w:rFonts w:ascii="Times New Roman" w:hAnsi="Times New Roman" w:cs="Times New Roman"/>
          <w:sz w:val="24"/>
          <w:szCs w:val="24"/>
        </w:rPr>
        <w:t xml:space="preserve"> capacidad cada vez más eficiente y la mejora de </w:t>
      </w:r>
      <w:proofErr w:type="gramStart"/>
      <w:r w:rsidRPr="00D470F4">
        <w:rPr>
          <w:rFonts w:ascii="Times New Roman" w:hAnsi="Times New Roman" w:cs="Times New Roman"/>
          <w:sz w:val="24"/>
          <w:szCs w:val="24"/>
        </w:rPr>
        <w:t>la  eficiencia</w:t>
      </w:r>
      <w:proofErr w:type="gramEnd"/>
      <w:r w:rsidRPr="00D470F4">
        <w:rPr>
          <w:rFonts w:ascii="Times New Roman" w:hAnsi="Times New Roman" w:cs="Times New Roman"/>
          <w:sz w:val="24"/>
          <w:szCs w:val="24"/>
        </w:rPr>
        <w:t xml:space="preserve">  operativa de las antiguas empresas estatales bajo  presiones competitivas. El precio disminuyó de 45 dólares/</w:t>
      </w:r>
      <w:proofErr w:type="spellStart"/>
      <w:r w:rsidRPr="00D470F4">
        <w:rPr>
          <w:rFonts w:ascii="Times New Roman" w:hAnsi="Times New Roman" w:cs="Times New Roman"/>
          <w:sz w:val="24"/>
          <w:szCs w:val="24"/>
        </w:rPr>
        <w:t>MWh</w:t>
      </w:r>
      <w:proofErr w:type="spellEnd"/>
      <w:r w:rsidRPr="00D470F4">
        <w:rPr>
          <w:rFonts w:ascii="Times New Roman" w:hAnsi="Times New Roman" w:cs="Times New Roman"/>
          <w:sz w:val="24"/>
          <w:szCs w:val="24"/>
        </w:rPr>
        <w:t xml:space="preserve"> </w:t>
      </w:r>
      <w:r w:rsidRPr="00D470F4">
        <w:rPr>
          <w:rFonts w:ascii="Times New Roman" w:hAnsi="Times New Roman" w:cs="Times New Roman"/>
          <w:sz w:val="24"/>
          <w:szCs w:val="24"/>
        </w:rPr>
        <w:lastRenderedPageBreak/>
        <w:t>(megavatios-hora) en 1992 a unos 25 dólares/</w:t>
      </w:r>
      <w:proofErr w:type="spellStart"/>
      <w:r w:rsidRPr="00D470F4">
        <w:rPr>
          <w:rFonts w:ascii="Times New Roman" w:hAnsi="Times New Roman" w:cs="Times New Roman"/>
          <w:sz w:val="24"/>
          <w:szCs w:val="24"/>
        </w:rPr>
        <w:t>MWh</w:t>
      </w:r>
      <w:proofErr w:type="spellEnd"/>
      <w:r w:rsidRPr="00D470F4">
        <w:rPr>
          <w:rFonts w:ascii="Times New Roman" w:hAnsi="Times New Roman" w:cs="Times New Roman"/>
          <w:sz w:val="24"/>
          <w:szCs w:val="24"/>
        </w:rPr>
        <w:t xml:space="preserve"> en 1998. Desde entonces el precio </w:t>
      </w:r>
      <w:proofErr w:type="gramStart"/>
      <w:r w:rsidRPr="00D470F4">
        <w:rPr>
          <w:rFonts w:ascii="Times New Roman" w:hAnsi="Times New Roman" w:cs="Times New Roman"/>
          <w:sz w:val="24"/>
          <w:szCs w:val="24"/>
        </w:rPr>
        <w:t>ha  variado</w:t>
      </w:r>
      <w:proofErr w:type="gramEnd"/>
      <w:r w:rsidRPr="00D470F4">
        <w:rPr>
          <w:rFonts w:ascii="Times New Roman" w:hAnsi="Times New Roman" w:cs="Times New Roman"/>
          <w:sz w:val="24"/>
          <w:szCs w:val="24"/>
        </w:rPr>
        <w:t>: $27/</w:t>
      </w:r>
      <w:proofErr w:type="spellStart"/>
      <w:r w:rsidRPr="00D470F4">
        <w:rPr>
          <w:rFonts w:ascii="Times New Roman" w:hAnsi="Times New Roman" w:cs="Times New Roman"/>
          <w:sz w:val="24"/>
          <w:szCs w:val="24"/>
        </w:rPr>
        <w:t>MWh</w:t>
      </w:r>
      <w:proofErr w:type="spellEnd"/>
      <w:r w:rsidRPr="00D470F4">
        <w:rPr>
          <w:rFonts w:ascii="Times New Roman" w:hAnsi="Times New Roman" w:cs="Times New Roman"/>
          <w:sz w:val="24"/>
          <w:szCs w:val="24"/>
        </w:rPr>
        <w:t xml:space="preserve"> en 2000, $10/</w:t>
      </w:r>
      <w:proofErr w:type="spellStart"/>
      <w:r w:rsidRPr="00D470F4">
        <w:rPr>
          <w:rFonts w:ascii="Times New Roman" w:hAnsi="Times New Roman" w:cs="Times New Roman"/>
          <w:sz w:val="24"/>
          <w:szCs w:val="24"/>
        </w:rPr>
        <w:t>MWh</w:t>
      </w:r>
      <w:proofErr w:type="spellEnd"/>
      <w:r w:rsidRPr="00D470F4">
        <w:rPr>
          <w:rFonts w:ascii="Times New Roman" w:hAnsi="Times New Roman" w:cs="Times New Roman"/>
          <w:sz w:val="24"/>
          <w:szCs w:val="24"/>
        </w:rPr>
        <w:t xml:space="preserve"> en las profundidades de la crisis económica  en 2002, y entre  $35/</w:t>
      </w:r>
      <w:proofErr w:type="spellStart"/>
      <w:r w:rsidRPr="00D470F4">
        <w:rPr>
          <w:rFonts w:ascii="Times New Roman" w:hAnsi="Times New Roman" w:cs="Times New Roman"/>
          <w:sz w:val="24"/>
          <w:szCs w:val="24"/>
        </w:rPr>
        <w:t>MWh</w:t>
      </w:r>
      <w:proofErr w:type="spellEnd"/>
      <w:r w:rsidRPr="00D470F4">
        <w:rPr>
          <w:rFonts w:ascii="Times New Roman" w:hAnsi="Times New Roman" w:cs="Times New Roman"/>
          <w:sz w:val="24"/>
          <w:szCs w:val="24"/>
        </w:rPr>
        <w:t xml:space="preserve"> y $40   /</w:t>
      </w:r>
      <w:proofErr w:type="spellStart"/>
      <w:r w:rsidRPr="00D470F4">
        <w:rPr>
          <w:rFonts w:ascii="Times New Roman" w:hAnsi="Times New Roman" w:cs="Times New Roman"/>
          <w:sz w:val="24"/>
          <w:szCs w:val="24"/>
        </w:rPr>
        <w:t>MWh</w:t>
      </w:r>
      <w:proofErr w:type="spellEnd"/>
      <w:r w:rsidRPr="00D470F4">
        <w:rPr>
          <w:rFonts w:ascii="Times New Roman" w:hAnsi="Times New Roman" w:cs="Times New Roman"/>
          <w:sz w:val="24"/>
          <w:szCs w:val="24"/>
        </w:rPr>
        <w:t xml:space="preserve"> en 2007. </w:t>
      </w:r>
      <w:proofErr w:type="gramStart"/>
      <w:r w:rsidRPr="00D470F4">
        <w:rPr>
          <w:rFonts w:ascii="Times New Roman" w:hAnsi="Times New Roman" w:cs="Times New Roman"/>
          <w:sz w:val="24"/>
          <w:szCs w:val="24"/>
        </w:rPr>
        <w:t>Cuando  el</w:t>
      </w:r>
      <w:proofErr w:type="gramEnd"/>
      <w:r w:rsidRPr="00D470F4">
        <w:rPr>
          <w:rFonts w:ascii="Times New Roman" w:hAnsi="Times New Roman" w:cs="Times New Roman"/>
          <w:sz w:val="24"/>
          <w:szCs w:val="24"/>
        </w:rPr>
        <w:t xml:space="preserve"> sistema  de energía tenía exceso de capacidad, los bajos precios resultantes  en el corto plazo causaron que la mayoría de las transacciones ocurrieran en el mercado spot.  La competencia se </w:t>
      </w:r>
      <w:proofErr w:type="spellStart"/>
      <w:r w:rsidRPr="00D470F4">
        <w:rPr>
          <w:rFonts w:ascii="Times New Roman" w:hAnsi="Times New Roman" w:cs="Times New Roman"/>
          <w:sz w:val="24"/>
          <w:szCs w:val="24"/>
        </w:rPr>
        <w:t>vioafectada</w:t>
      </w:r>
      <w:proofErr w:type="spellEnd"/>
      <w:r w:rsidRPr="00D470F4">
        <w:rPr>
          <w:rFonts w:ascii="Times New Roman" w:hAnsi="Times New Roman" w:cs="Times New Roman"/>
          <w:sz w:val="24"/>
          <w:szCs w:val="24"/>
        </w:rPr>
        <w:t xml:space="preserve"> por los grandes márgenes entre la </w:t>
      </w:r>
      <w:r w:rsidR="00652520" w:rsidRPr="00D470F4">
        <w:rPr>
          <w:rFonts w:ascii="Times New Roman" w:hAnsi="Times New Roman" w:cs="Times New Roman"/>
          <w:sz w:val="24"/>
          <w:szCs w:val="24"/>
        </w:rPr>
        <w:t>capacidad total</w:t>
      </w:r>
      <w:r w:rsidRPr="00D470F4">
        <w:rPr>
          <w:rFonts w:ascii="Times New Roman" w:hAnsi="Times New Roman" w:cs="Times New Roman"/>
          <w:sz w:val="24"/>
          <w:szCs w:val="24"/>
        </w:rPr>
        <w:t xml:space="preserve"> de generación instalada en el mercado y la demanda de energía.  </w:t>
      </w:r>
      <w:r w:rsidR="00652520" w:rsidRPr="00D470F4">
        <w:rPr>
          <w:rFonts w:ascii="Times New Roman" w:hAnsi="Times New Roman" w:cs="Times New Roman"/>
          <w:sz w:val="24"/>
          <w:szCs w:val="24"/>
        </w:rPr>
        <w:t>Sin embargo</w:t>
      </w:r>
      <w:r w:rsidRPr="00D470F4">
        <w:rPr>
          <w:rFonts w:ascii="Times New Roman" w:hAnsi="Times New Roman" w:cs="Times New Roman"/>
          <w:sz w:val="24"/>
          <w:szCs w:val="24"/>
        </w:rPr>
        <w:t xml:space="preserve">, parte de este margen era necesario para </w:t>
      </w:r>
      <w:proofErr w:type="gramStart"/>
      <w:r w:rsidRPr="00D470F4">
        <w:rPr>
          <w:rFonts w:ascii="Times New Roman" w:hAnsi="Times New Roman" w:cs="Times New Roman"/>
          <w:sz w:val="24"/>
          <w:szCs w:val="24"/>
        </w:rPr>
        <w:t>cubrir  la</w:t>
      </w:r>
      <w:proofErr w:type="gramEnd"/>
      <w:r w:rsidRPr="00D470F4">
        <w:rPr>
          <w:rFonts w:ascii="Times New Roman" w:hAnsi="Times New Roman" w:cs="Times New Roman"/>
          <w:sz w:val="24"/>
          <w:szCs w:val="24"/>
        </w:rPr>
        <w:t xml:space="preserve"> caída de la producción de energía hidroeléctrica durante las estaciones secas.</w:t>
      </w:r>
    </w:p>
    <w:p w14:paraId="72D9F2F4" w14:textId="1A1545D6" w:rsidR="00EF29B2" w:rsidRPr="00D470F4" w:rsidRDefault="00EF29B2"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 xml:space="preserve">Acceso </w:t>
      </w:r>
      <w:proofErr w:type="gramStart"/>
      <w:r w:rsidRPr="00D470F4">
        <w:rPr>
          <w:rFonts w:ascii="Times New Roman" w:hAnsi="Times New Roman" w:cs="Times New Roman"/>
          <w:sz w:val="24"/>
          <w:szCs w:val="24"/>
        </w:rPr>
        <w:t>de  la</w:t>
      </w:r>
      <w:proofErr w:type="gramEnd"/>
      <w:r w:rsidRPr="00D470F4">
        <w:rPr>
          <w:rFonts w:ascii="Times New Roman" w:hAnsi="Times New Roman" w:cs="Times New Roman"/>
          <w:sz w:val="24"/>
          <w:szCs w:val="24"/>
        </w:rPr>
        <w:t xml:space="preserve"> población al  suministro de electricidad en  términos de nuevas conexiones residenciales  . El servicio de electricidad cubre aproximadamente el 95 por ciento de la población total, pero el </w:t>
      </w:r>
      <w:proofErr w:type="gramStart"/>
      <w:r w:rsidRPr="00D470F4">
        <w:rPr>
          <w:rFonts w:ascii="Times New Roman" w:hAnsi="Times New Roman" w:cs="Times New Roman"/>
          <w:sz w:val="24"/>
          <w:szCs w:val="24"/>
        </w:rPr>
        <w:t>nivel  de</w:t>
      </w:r>
      <w:proofErr w:type="gramEnd"/>
      <w:r w:rsidRPr="00D470F4">
        <w:rPr>
          <w:rFonts w:ascii="Times New Roman" w:hAnsi="Times New Roman" w:cs="Times New Roman"/>
          <w:sz w:val="24"/>
          <w:szCs w:val="24"/>
        </w:rPr>
        <w:t xml:space="preserve"> electrificación en áreas aisladas  es solo de alrededor del 70 por ciento.    El gobierno instigó un ambicioso plan para conectar 650.000 casas </w:t>
      </w:r>
      <w:proofErr w:type="gramStart"/>
      <w:r w:rsidRPr="00D470F4">
        <w:rPr>
          <w:rFonts w:ascii="Times New Roman" w:hAnsi="Times New Roman" w:cs="Times New Roman"/>
          <w:sz w:val="24"/>
          <w:szCs w:val="24"/>
        </w:rPr>
        <w:t>de  chabolas</w:t>
      </w:r>
      <w:proofErr w:type="gramEnd"/>
      <w:r w:rsidRPr="00D470F4">
        <w:rPr>
          <w:rFonts w:ascii="Times New Roman" w:hAnsi="Times New Roman" w:cs="Times New Roman"/>
          <w:sz w:val="24"/>
          <w:szCs w:val="24"/>
        </w:rPr>
        <w:t xml:space="preserve"> a la red eléctrica  entre 1994 y 1998.   </w:t>
      </w:r>
      <w:proofErr w:type="gramStart"/>
      <w:r w:rsidRPr="00D470F4">
        <w:rPr>
          <w:rFonts w:ascii="Times New Roman" w:hAnsi="Times New Roman" w:cs="Times New Roman"/>
          <w:sz w:val="24"/>
          <w:szCs w:val="24"/>
        </w:rPr>
        <w:t>Muchos  consumidores</w:t>
      </w:r>
      <w:proofErr w:type="gramEnd"/>
      <w:r w:rsidRPr="00D470F4">
        <w:rPr>
          <w:rFonts w:ascii="Times New Roman" w:hAnsi="Times New Roman" w:cs="Times New Roman"/>
          <w:sz w:val="24"/>
          <w:szCs w:val="24"/>
        </w:rPr>
        <w:t xml:space="preserve"> pobres se vieron obligados  a pagar por la electricidad que   habían recibido  previamente a través de conexiones  gratuitas (aunque ilegales),  lo  que representa una pérdida de bienestar para este grupo.   Este resultado sugiere que la reforma eléctrica no redujo el precio efectivo del servicio para este grupo </w:t>
      </w:r>
      <w:proofErr w:type="gramStart"/>
      <w:r w:rsidRPr="00D470F4">
        <w:rPr>
          <w:rFonts w:ascii="Times New Roman" w:hAnsi="Times New Roman" w:cs="Times New Roman"/>
          <w:sz w:val="24"/>
          <w:szCs w:val="24"/>
        </w:rPr>
        <w:t>de  los</w:t>
      </w:r>
      <w:proofErr w:type="gramEnd"/>
      <w:r w:rsidRPr="00D470F4">
        <w:rPr>
          <w:rFonts w:ascii="Times New Roman" w:hAnsi="Times New Roman" w:cs="Times New Roman"/>
          <w:sz w:val="24"/>
          <w:szCs w:val="24"/>
        </w:rPr>
        <w:t xml:space="preserve"> hogares más pobres.</w:t>
      </w:r>
    </w:p>
    <w:p w14:paraId="1C1B2C59" w14:textId="4BCD8FCA" w:rsidR="00EF29B2" w:rsidRPr="00D470F4" w:rsidRDefault="00EF29B2"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 xml:space="preserve">Calidad del servicio al cliente. La calidad del servicio mejoró mucho </w:t>
      </w:r>
      <w:proofErr w:type="gramStart"/>
      <w:r w:rsidRPr="00D470F4">
        <w:rPr>
          <w:rFonts w:ascii="Times New Roman" w:hAnsi="Times New Roman" w:cs="Times New Roman"/>
          <w:sz w:val="24"/>
          <w:szCs w:val="24"/>
        </w:rPr>
        <w:t>después  de</w:t>
      </w:r>
      <w:proofErr w:type="gramEnd"/>
      <w:r w:rsidRPr="00D470F4">
        <w:rPr>
          <w:rFonts w:ascii="Times New Roman" w:hAnsi="Times New Roman" w:cs="Times New Roman"/>
          <w:sz w:val="24"/>
          <w:szCs w:val="24"/>
        </w:rPr>
        <w:t xml:space="preserve"> la privatización de los distribuidores.      En 2004, el número </w:t>
      </w:r>
      <w:proofErr w:type="gramStart"/>
      <w:r w:rsidRPr="00D470F4">
        <w:rPr>
          <w:rFonts w:ascii="Times New Roman" w:hAnsi="Times New Roman" w:cs="Times New Roman"/>
          <w:sz w:val="24"/>
          <w:szCs w:val="24"/>
        </w:rPr>
        <w:t>medio  de</w:t>
      </w:r>
      <w:proofErr w:type="gramEnd"/>
      <w:r w:rsidRPr="00D470F4">
        <w:rPr>
          <w:rFonts w:ascii="Times New Roman" w:hAnsi="Times New Roman" w:cs="Times New Roman"/>
          <w:sz w:val="24"/>
          <w:szCs w:val="24"/>
        </w:rPr>
        <w:t xml:space="preserve"> interrupciones por cliente y  la duración  media de las interrupciones   por  cliente disminuyeron a alrededor  del 20 por ciento  de sus niveles en 1993.   2005 a 2008, </w:t>
      </w:r>
      <w:proofErr w:type="gramStart"/>
      <w:r w:rsidRPr="00D470F4">
        <w:rPr>
          <w:rFonts w:ascii="Times New Roman" w:hAnsi="Times New Roman" w:cs="Times New Roman"/>
          <w:sz w:val="24"/>
          <w:szCs w:val="24"/>
        </w:rPr>
        <w:t>aunque  el</w:t>
      </w:r>
      <w:proofErr w:type="gramEnd"/>
      <w:r w:rsidRPr="00D470F4">
        <w:rPr>
          <w:rFonts w:ascii="Times New Roman" w:hAnsi="Times New Roman" w:cs="Times New Roman"/>
          <w:sz w:val="24"/>
          <w:szCs w:val="24"/>
        </w:rPr>
        <w:t xml:space="preserve"> gasto medio de gastos operacionales (OPEX) por unidad de electricidad consumida</w:t>
      </w:r>
      <w:r w:rsidR="003E6D2A" w:rsidRPr="00D470F4">
        <w:rPr>
          <w:rFonts w:ascii="Times New Roman" w:hAnsi="Times New Roman" w:cs="Times New Roman"/>
          <w:sz w:val="24"/>
          <w:szCs w:val="24"/>
        </w:rPr>
        <w:t xml:space="preserve"> </w:t>
      </w:r>
      <w:r w:rsidRPr="00D470F4">
        <w:rPr>
          <w:rFonts w:ascii="Times New Roman" w:hAnsi="Times New Roman" w:cs="Times New Roman"/>
          <w:sz w:val="24"/>
          <w:szCs w:val="24"/>
        </w:rPr>
        <w:t xml:space="preserve">aumentó sustancialmente al mismo tiempo debido a la escasez de  gas natural  para  la generación  de energía durante 2003-05.  Las mejoras hasta 2004 fueron </w:t>
      </w:r>
      <w:proofErr w:type="gramStart"/>
      <w:r w:rsidRPr="00D470F4">
        <w:rPr>
          <w:rFonts w:ascii="Times New Roman" w:hAnsi="Times New Roman" w:cs="Times New Roman"/>
          <w:sz w:val="24"/>
          <w:szCs w:val="24"/>
        </w:rPr>
        <w:t>acompañadas  por</w:t>
      </w:r>
      <w:proofErr w:type="gramEnd"/>
      <w:r w:rsidRPr="00D470F4">
        <w:rPr>
          <w:rFonts w:ascii="Times New Roman" w:hAnsi="Times New Roman" w:cs="Times New Roman"/>
          <w:sz w:val="24"/>
          <w:szCs w:val="24"/>
        </w:rPr>
        <w:t xml:space="preserve">  una caída constante  en las </w:t>
      </w:r>
      <w:r w:rsidRPr="00D470F4">
        <w:rPr>
          <w:rFonts w:ascii="Times New Roman" w:hAnsi="Times New Roman" w:cs="Times New Roman"/>
          <w:sz w:val="24"/>
          <w:szCs w:val="24"/>
        </w:rPr>
        <w:lastRenderedPageBreak/>
        <w:t xml:space="preserve">pérdidas totales  de energía  del  sistema  por parte de los distribuidores después de la privatización de alrededor del 25  por ciento en 1993 al 11  por ciento   en 1997. y posteriormente </w:t>
      </w:r>
      <w:proofErr w:type="gramStart"/>
      <w:r w:rsidRPr="00D470F4">
        <w:rPr>
          <w:rFonts w:ascii="Times New Roman" w:hAnsi="Times New Roman" w:cs="Times New Roman"/>
          <w:sz w:val="24"/>
          <w:szCs w:val="24"/>
        </w:rPr>
        <w:t>(  el</w:t>
      </w:r>
      <w:proofErr w:type="gramEnd"/>
      <w:r w:rsidRPr="00D470F4">
        <w:rPr>
          <w:rFonts w:ascii="Times New Roman" w:hAnsi="Times New Roman" w:cs="Times New Roman"/>
          <w:sz w:val="24"/>
          <w:szCs w:val="24"/>
        </w:rPr>
        <w:t xml:space="preserve"> pico corto   en 2000-01 fue causado por el impacto  de la crisis económica en  el impago  de las facturas de electricidad).   Todas estas mejoras </w:t>
      </w:r>
      <w:proofErr w:type="gramStart"/>
      <w:r w:rsidRPr="00D470F4">
        <w:rPr>
          <w:rFonts w:ascii="Times New Roman" w:hAnsi="Times New Roman" w:cs="Times New Roman"/>
          <w:sz w:val="24"/>
          <w:szCs w:val="24"/>
        </w:rPr>
        <w:t>pueden  atribuirse</w:t>
      </w:r>
      <w:proofErr w:type="gramEnd"/>
      <w:r w:rsidRPr="00D470F4">
        <w:rPr>
          <w:rFonts w:ascii="Times New Roman" w:hAnsi="Times New Roman" w:cs="Times New Roman"/>
          <w:sz w:val="24"/>
          <w:szCs w:val="24"/>
        </w:rPr>
        <w:t xml:space="preserve"> a la privatización y regulación del segmento de  distribución.</w:t>
      </w:r>
    </w:p>
    <w:p w14:paraId="598108A7" w14:textId="77777777" w:rsidR="00EF29B2" w:rsidRPr="00D470F4" w:rsidRDefault="00EF29B2"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 xml:space="preserve">Seguridad del suministro.  En </w:t>
      </w:r>
      <w:proofErr w:type="gramStart"/>
      <w:r w:rsidRPr="00D470F4">
        <w:rPr>
          <w:rFonts w:ascii="Times New Roman" w:hAnsi="Times New Roman" w:cs="Times New Roman"/>
          <w:sz w:val="24"/>
          <w:szCs w:val="24"/>
        </w:rPr>
        <w:t>Argentina,  la</w:t>
      </w:r>
      <w:proofErr w:type="gramEnd"/>
      <w:r w:rsidRPr="00D470F4">
        <w:rPr>
          <w:rFonts w:ascii="Times New Roman" w:hAnsi="Times New Roman" w:cs="Times New Roman"/>
          <w:sz w:val="24"/>
          <w:szCs w:val="24"/>
        </w:rPr>
        <w:t xml:space="preserve"> seguridad energética es una preocupación mayor que  la seguridad de la capacidad porque el sistema eléctrico depende en gran medida de  la capacidad hidroeléctrica.  La producción de energía </w:t>
      </w:r>
      <w:proofErr w:type="gramStart"/>
      <w:r w:rsidRPr="00D470F4">
        <w:rPr>
          <w:rFonts w:ascii="Times New Roman" w:hAnsi="Times New Roman" w:cs="Times New Roman"/>
          <w:sz w:val="24"/>
          <w:szCs w:val="24"/>
        </w:rPr>
        <w:t>hidroeléctrica  está</w:t>
      </w:r>
      <w:proofErr w:type="gramEnd"/>
      <w:r w:rsidRPr="00D470F4">
        <w:rPr>
          <w:rFonts w:ascii="Times New Roman" w:hAnsi="Times New Roman" w:cs="Times New Roman"/>
          <w:sz w:val="24"/>
          <w:szCs w:val="24"/>
        </w:rPr>
        <w:t xml:space="preserve"> sujeta a fluctuaciones  marinas  con una marcada disminución en las estaciones de bajo flujo.  Los márgenes de </w:t>
      </w:r>
      <w:proofErr w:type="gramStart"/>
      <w:r w:rsidRPr="00D470F4">
        <w:rPr>
          <w:rFonts w:ascii="Times New Roman" w:hAnsi="Times New Roman" w:cs="Times New Roman"/>
          <w:sz w:val="24"/>
          <w:szCs w:val="24"/>
        </w:rPr>
        <w:t>reserva  de</w:t>
      </w:r>
      <w:proofErr w:type="gramEnd"/>
      <w:r w:rsidRPr="00D470F4">
        <w:rPr>
          <w:rFonts w:ascii="Times New Roman" w:hAnsi="Times New Roman" w:cs="Times New Roman"/>
          <w:sz w:val="24"/>
          <w:szCs w:val="24"/>
        </w:rPr>
        <w:t xml:space="preserve"> capacidad  del sistema de alrededor del 70 por ciento que prevalecieron  de 1992 a 2004 permitieron que el sistema de   energía  generara suficiente energía para satisfacer la demanda.   Pero </w:t>
      </w:r>
      <w:proofErr w:type="gramStart"/>
      <w:r w:rsidRPr="00D470F4">
        <w:rPr>
          <w:rFonts w:ascii="Times New Roman" w:hAnsi="Times New Roman" w:cs="Times New Roman"/>
          <w:sz w:val="24"/>
          <w:szCs w:val="24"/>
        </w:rPr>
        <w:t>la  caída</w:t>
      </w:r>
      <w:proofErr w:type="gramEnd"/>
      <w:r w:rsidRPr="00D470F4">
        <w:rPr>
          <w:rFonts w:ascii="Times New Roman" w:hAnsi="Times New Roman" w:cs="Times New Roman"/>
          <w:sz w:val="24"/>
          <w:szCs w:val="24"/>
        </w:rPr>
        <w:t xml:space="preserve"> de  este margen al 40 por ciento  en  2007  -todavía alta para  los estándares generales- refleja la puesta en marcha de  la capacidad de generación térmica  alimentada con gas natural  para  complementar el  Capacidad  hidroeléctrica.  La caída en el nivel </w:t>
      </w:r>
      <w:proofErr w:type="gramStart"/>
      <w:r w:rsidRPr="00D470F4">
        <w:rPr>
          <w:rFonts w:ascii="Times New Roman" w:hAnsi="Times New Roman" w:cs="Times New Roman"/>
          <w:sz w:val="24"/>
          <w:szCs w:val="24"/>
        </w:rPr>
        <w:t xml:space="preserve">de  </w:t>
      </w:r>
      <w:proofErr w:type="spellStart"/>
      <w:r w:rsidRPr="00D470F4">
        <w:rPr>
          <w:rFonts w:ascii="Times New Roman" w:hAnsi="Times New Roman" w:cs="Times New Roman"/>
          <w:sz w:val="24"/>
          <w:szCs w:val="24"/>
        </w:rPr>
        <w:t>capex</w:t>
      </w:r>
      <w:proofErr w:type="spellEnd"/>
      <w:proofErr w:type="gramEnd"/>
      <w:r w:rsidRPr="00D470F4">
        <w:rPr>
          <w:rFonts w:ascii="Times New Roman" w:hAnsi="Times New Roman" w:cs="Times New Roman"/>
          <w:sz w:val="24"/>
          <w:szCs w:val="24"/>
        </w:rPr>
        <w:t xml:space="preserve"> (gastos  de capital) y el  aumento  en  el nivel de  </w:t>
      </w:r>
      <w:proofErr w:type="spellStart"/>
      <w:r w:rsidRPr="00D470F4">
        <w:rPr>
          <w:rFonts w:ascii="Times New Roman" w:hAnsi="Times New Roman" w:cs="Times New Roman"/>
          <w:sz w:val="24"/>
          <w:szCs w:val="24"/>
        </w:rPr>
        <w:t>opex</w:t>
      </w:r>
      <w:proofErr w:type="spellEnd"/>
      <w:r w:rsidRPr="00D470F4">
        <w:rPr>
          <w:rFonts w:ascii="Times New Roman" w:hAnsi="Times New Roman" w:cs="Times New Roman"/>
          <w:sz w:val="24"/>
          <w:szCs w:val="24"/>
        </w:rPr>
        <w:t xml:space="preserve"> por unidad de   energía consumida a partir    de 2004  presumiblemente también refleja el cambio a plantas  de  gas con costos de  construcción relativamente  bajos y mayores costos de  combustible en comparación con los  costos  de la nueva capacidad  hidroeléctrica  .</w:t>
      </w:r>
    </w:p>
    <w:p w14:paraId="5D2CF859" w14:textId="01181A8E" w:rsidR="00EF29B2" w:rsidRPr="00D470F4" w:rsidRDefault="003E6D2A"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S</w:t>
      </w:r>
      <w:r w:rsidR="00EF29B2" w:rsidRPr="00D470F4">
        <w:rPr>
          <w:rFonts w:ascii="Times New Roman" w:hAnsi="Times New Roman" w:cs="Times New Roman"/>
          <w:sz w:val="24"/>
          <w:szCs w:val="24"/>
        </w:rPr>
        <w:t>ostenibilidad</w:t>
      </w:r>
      <w:r w:rsidRPr="00D470F4">
        <w:rPr>
          <w:rFonts w:ascii="Times New Roman" w:hAnsi="Times New Roman" w:cs="Times New Roman"/>
          <w:sz w:val="24"/>
          <w:szCs w:val="24"/>
        </w:rPr>
        <w:t xml:space="preserve"> financiera</w:t>
      </w:r>
      <w:r w:rsidR="00EF29B2" w:rsidRPr="00D470F4">
        <w:rPr>
          <w:rFonts w:ascii="Times New Roman" w:hAnsi="Times New Roman" w:cs="Times New Roman"/>
          <w:sz w:val="24"/>
          <w:szCs w:val="24"/>
        </w:rPr>
        <w:t xml:space="preserve">.  </w:t>
      </w:r>
      <w:proofErr w:type="gramStart"/>
      <w:r w:rsidR="00EF29B2" w:rsidRPr="00D470F4">
        <w:rPr>
          <w:rFonts w:ascii="Times New Roman" w:hAnsi="Times New Roman" w:cs="Times New Roman"/>
          <w:sz w:val="24"/>
          <w:szCs w:val="24"/>
        </w:rPr>
        <w:t>De  2000</w:t>
      </w:r>
      <w:proofErr w:type="gramEnd"/>
      <w:r w:rsidR="00EF29B2" w:rsidRPr="00D470F4">
        <w:rPr>
          <w:rFonts w:ascii="Times New Roman" w:hAnsi="Times New Roman" w:cs="Times New Roman"/>
          <w:sz w:val="24"/>
          <w:szCs w:val="24"/>
        </w:rPr>
        <w:t xml:space="preserve">  a  2002,  las tarifas  eléctricas en </w:t>
      </w:r>
      <w:proofErr w:type="spellStart"/>
      <w:r w:rsidR="00EF29B2" w:rsidRPr="00D470F4">
        <w:rPr>
          <w:rFonts w:ascii="Times New Roman" w:hAnsi="Times New Roman" w:cs="Times New Roman"/>
          <w:sz w:val="24"/>
          <w:szCs w:val="24"/>
        </w:rPr>
        <w:t>Argéntina</w:t>
      </w:r>
      <w:proofErr w:type="spellEnd"/>
      <w:r w:rsidR="00EF29B2" w:rsidRPr="00D470F4">
        <w:rPr>
          <w:rFonts w:ascii="Times New Roman" w:hAnsi="Times New Roman" w:cs="Times New Roman"/>
          <w:sz w:val="24"/>
          <w:szCs w:val="24"/>
        </w:rPr>
        <w:t xml:space="preserve"> cayeron al nivel más bajo de  América Latina  y  extremadamente bajo para los estándares mundiales, tras la congelación de  precios impuesta  por el gobierno y el  gobierno.  la devaluación de   la moneda argentina durante la crisis económica.  En mayo </w:t>
      </w:r>
      <w:proofErr w:type="gramStart"/>
      <w:r w:rsidR="00EF29B2" w:rsidRPr="00D470F4">
        <w:rPr>
          <w:rFonts w:ascii="Times New Roman" w:hAnsi="Times New Roman" w:cs="Times New Roman"/>
          <w:sz w:val="24"/>
          <w:szCs w:val="24"/>
        </w:rPr>
        <w:t>de  2002</w:t>
      </w:r>
      <w:proofErr w:type="gramEnd"/>
      <w:r w:rsidR="00EF29B2" w:rsidRPr="00D470F4">
        <w:rPr>
          <w:rFonts w:ascii="Times New Roman" w:hAnsi="Times New Roman" w:cs="Times New Roman"/>
          <w:sz w:val="24"/>
          <w:szCs w:val="24"/>
        </w:rPr>
        <w:t xml:space="preserve">, los aranceles eran  de sólo 2,5 centavos de dólar por kWh  (kilovatios-hora) para un consumidor residencial, y los aranceles industriales eran  de   1,3    centavos de dólar   por </w:t>
      </w:r>
      <w:r w:rsidR="00EF29B2" w:rsidRPr="00D470F4">
        <w:rPr>
          <w:rFonts w:ascii="Times New Roman" w:hAnsi="Times New Roman" w:cs="Times New Roman"/>
          <w:sz w:val="24"/>
          <w:szCs w:val="24"/>
        </w:rPr>
        <w:lastRenderedPageBreak/>
        <w:t xml:space="preserve">kWh.  Antes </w:t>
      </w:r>
      <w:proofErr w:type="gramStart"/>
      <w:r w:rsidR="00EF29B2" w:rsidRPr="00D470F4">
        <w:rPr>
          <w:rFonts w:ascii="Times New Roman" w:hAnsi="Times New Roman" w:cs="Times New Roman"/>
          <w:sz w:val="24"/>
          <w:szCs w:val="24"/>
        </w:rPr>
        <w:t>de  la</w:t>
      </w:r>
      <w:proofErr w:type="gramEnd"/>
      <w:r w:rsidR="00EF29B2" w:rsidRPr="00D470F4">
        <w:rPr>
          <w:rFonts w:ascii="Times New Roman" w:hAnsi="Times New Roman" w:cs="Times New Roman"/>
          <w:sz w:val="24"/>
          <w:szCs w:val="24"/>
        </w:rPr>
        <w:t xml:space="preserve"> crisis los precios comparables eran de  8,9 centavos de dólar y</w:t>
      </w:r>
      <w:r w:rsidRPr="00D470F4">
        <w:rPr>
          <w:rFonts w:ascii="Times New Roman" w:hAnsi="Times New Roman" w:cs="Times New Roman"/>
          <w:sz w:val="24"/>
          <w:szCs w:val="24"/>
        </w:rPr>
        <w:t xml:space="preserve"> </w:t>
      </w:r>
      <w:r w:rsidR="00EF29B2" w:rsidRPr="00D470F4">
        <w:rPr>
          <w:rFonts w:ascii="Times New Roman" w:hAnsi="Times New Roman" w:cs="Times New Roman"/>
          <w:sz w:val="24"/>
          <w:szCs w:val="24"/>
        </w:rPr>
        <w:t xml:space="preserve">4.8 centavos de dólar por kWh.  Estos precios </w:t>
      </w:r>
      <w:proofErr w:type="gramStart"/>
      <w:r w:rsidR="00EF29B2" w:rsidRPr="00D470F4">
        <w:rPr>
          <w:rFonts w:ascii="Times New Roman" w:hAnsi="Times New Roman" w:cs="Times New Roman"/>
          <w:sz w:val="24"/>
          <w:szCs w:val="24"/>
        </w:rPr>
        <w:t>reflejaron  la</w:t>
      </w:r>
      <w:proofErr w:type="gramEnd"/>
      <w:r w:rsidR="00EF29B2" w:rsidRPr="00D470F4">
        <w:rPr>
          <w:rFonts w:ascii="Times New Roman" w:hAnsi="Times New Roman" w:cs="Times New Roman"/>
          <w:sz w:val="24"/>
          <w:szCs w:val="24"/>
        </w:rPr>
        <w:t xml:space="preserve"> cantidad significativa  de energía hidroeléctrica  en la mezcla  de generación argentina (33 por ciento del suministro total), los bajos precios  al contado en el mercado mayorista de energía y las mejoras de eficiencia desde 1992.   El ratio de </w:t>
      </w:r>
      <w:proofErr w:type="gramStart"/>
      <w:r w:rsidR="00EF29B2" w:rsidRPr="00D470F4">
        <w:rPr>
          <w:rFonts w:ascii="Times New Roman" w:hAnsi="Times New Roman" w:cs="Times New Roman"/>
          <w:sz w:val="24"/>
          <w:szCs w:val="24"/>
        </w:rPr>
        <w:t>recuperación  de</w:t>
      </w:r>
      <w:proofErr w:type="gramEnd"/>
      <w:r w:rsidR="00EF29B2" w:rsidRPr="00D470F4">
        <w:rPr>
          <w:rFonts w:ascii="Times New Roman" w:hAnsi="Times New Roman" w:cs="Times New Roman"/>
          <w:sz w:val="24"/>
          <w:szCs w:val="24"/>
        </w:rPr>
        <w:t xml:space="preserve"> costes para el sector en su conjunto cayó desde un fuerte 2. 5 </w:t>
      </w:r>
      <w:proofErr w:type="gramStart"/>
      <w:r w:rsidR="00EF29B2" w:rsidRPr="00D470F4">
        <w:rPr>
          <w:rFonts w:ascii="Times New Roman" w:hAnsi="Times New Roman" w:cs="Times New Roman"/>
          <w:sz w:val="24"/>
          <w:szCs w:val="24"/>
        </w:rPr>
        <w:t>veces  antes</w:t>
      </w:r>
      <w:proofErr w:type="gramEnd"/>
      <w:r w:rsidR="00EF29B2" w:rsidRPr="00D470F4">
        <w:rPr>
          <w:rFonts w:ascii="Times New Roman" w:hAnsi="Times New Roman" w:cs="Times New Roman"/>
          <w:sz w:val="24"/>
          <w:szCs w:val="24"/>
        </w:rPr>
        <w:t xml:space="preserve">  de 2002 a aproximadamente 0,9 veces en   2002, y fluctuó entre 1,07 y 0,89  a partir de entonces, lo que indica que una  proporción  significativa del gasto operativo total estaba vinculada a los Estados Unidos.  dólar en virtud de acuerdos de concesión.  Del mismo modo, el desempeño financiero de los generadores y distribuidores privatizados fue sólido en general.</w:t>
      </w:r>
    </w:p>
    <w:p w14:paraId="35243377" w14:textId="42A3CEEF" w:rsidR="00EF29B2" w:rsidRPr="00D470F4" w:rsidRDefault="00EF29B2"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 xml:space="preserve">Antes de la crisis de 2002, sufrió una grave disminución en 2002-04 </w:t>
      </w:r>
      <w:proofErr w:type="gramStart"/>
      <w:r w:rsidRPr="00D470F4">
        <w:rPr>
          <w:rFonts w:ascii="Times New Roman" w:hAnsi="Times New Roman" w:cs="Times New Roman"/>
          <w:sz w:val="24"/>
          <w:szCs w:val="24"/>
        </w:rPr>
        <w:t>debido  a</w:t>
      </w:r>
      <w:proofErr w:type="gramEnd"/>
      <w:r w:rsidRPr="00D470F4">
        <w:rPr>
          <w:rFonts w:ascii="Times New Roman" w:hAnsi="Times New Roman" w:cs="Times New Roman"/>
          <w:sz w:val="24"/>
          <w:szCs w:val="24"/>
        </w:rPr>
        <w:t xml:space="preserve"> la crisis, pero se recuperó constantemente a partir de entonces hasta 2007.    </w:t>
      </w:r>
    </w:p>
    <w:p w14:paraId="48D73013" w14:textId="77777777" w:rsidR="00EF29B2" w:rsidRPr="00132D23" w:rsidRDefault="00EF29B2" w:rsidP="00132D23">
      <w:pPr>
        <w:spacing w:line="480" w:lineRule="auto"/>
        <w:jc w:val="both"/>
        <w:rPr>
          <w:rFonts w:ascii="Times New Roman" w:hAnsi="Times New Roman" w:cs="Times New Roman"/>
          <w:sz w:val="24"/>
          <w:szCs w:val="24"/>
        </w:rPr>
      </w:pPr>
      <w:r w:rsidRPr="00D470F4">
        <w:rPr>
          <w:rFonts w:ascii="Times New Roman" w:hAnsi="Times New Roman" w:cs="Times New Roman"/>
          <w:sz w:val="24"/>
          <w:szCs w:val="24"/>
        </w:rPr>
        <w:t xml:space="preserve"> Sostenibilidad ambiental.  Las emisiones de carbono de la generación de </w:t>
      </w:r>
      <w:proofErr w:type="gramStart"/>
      <w:r w:rsidRPr="00D470F4">
        <w:rPr>
          <w:rFonts w:ascii="Times New Roman" w:hAnsi="Times New Roman" w:cs="Times New Roman"/>
          <w:sz w:val="24"/>
          <w:szCs w:val="24"/>
        </w:rPr>
        <w:t>energía  en</w:t>
      </w:r>
      <w:proofErr w:type="gramEnd"/>
      <w:r w:rsidRPr="00D470F4">
        <w:rPr>
          <w:rFonts w:ascii="Times New Roman" w:hAnsi="Times New Roman" w:cs="Times New Roman"/>
          <w:sz w:val="24"/>
          <w:szCs w:val="24"/>
        </w:rPr>
        <w:t xml:space="preserve"> Argentina se mantuvieron relativamente estables desde principios  de los años 1990 hasta 2006, durante los cuales las emisiones por unidad   de energía total generada promediaron entre 0,3 y 0,4 toneladas / </w:t>
      </w:r>
      <w:proofErr w:type="spellStart"/>
      <w:r w:rsidRPr="00D470F4">
        <w:rPr>
          <w:rFonts w:ascii="Times New Roman" w:hAnsi="Times New Roman" w:cs="Times New Roman"/>
          <w:sz w:val="24"/>
          <w:szCs w:val="24"/>
        </w:rPr>
        <w:t>MWh</w:t>
      </w:r>
      <w:proofErr w:type="spellEnd"/>
      <w:r w:rsidRPr="00D470F4">
        <w:rPr>
          <w:rFonts w:ascii="Times New Roman" w:hAnsi="Times New Roman" w:cs="Times New Roman"/>
          <w:sz w:val="24"/>
          <w:szCs w:val="24"/>
        </w:rPr>
        <w:t xml:space="preserve"> generadas, lo cual es modesto para los estándares internacionales. Estas emisiones aumentaron notablemente con el aumento de la generación a gas.</w:t>
      </w:r>
    </w:p>
    <w:p w14:paraId="3C0C4C10" w14:textId="77777777" w:rsidR="003D31E4" w:rsidRPr="00132D23" w:rsidRDefault="003D31E4" w:rsidP="00132D23">
      <w:pPr>
        <w:spacing w:line="480" w:lineRule="auto"/>
        <w:jc w:val="both"/>
        <w:rPr>
          <w:rFonts w:ascii="Times New Roman" w:hAnsi="Times New Roman" w:cs="Times New Roman"/>
          <w:sz w:val="24"/>
          <w:szCs w:val="24"/>
        </w:rPr>
      </w:pPr>
    </w:p>
    <w:p w14:paraId="4391C53C" w14:textId="77777777" w:rsidR="003D31E4" w:rsidRPr="00132D23" w:rsidRDefault="003D31E4" w:rsidP="00132D23">
      <w:pPr>
        <w:spacing w:line="480" w:lineRule="auto"/>
        <w:jc w:val="both"/>
        <w:rPr>
          <w:rFonts w:ascii="Times New Roman" w:hAnsi="Times New Roman" w:cs="Times New Roman"/>
          <w:sz w:val="24"/>
          <w:szCs w:val="24"/>
        </w:rPr>
      </w:pPr>
    </w:p>
    <w:p w14:paraId="6E08BA72" w14:textId="77777777" w:rsidR="003D31E4" w:rsidRPr="00132D23" w:rsidRDefault="003D31E4" w:rsidP="00132D23">
      <w:pPr>
        <w:spacing w:line="480" w:lineRule="auto"/>
        <w:jc w:val="both"/>
        <w:rPr>
          <w:rFonts w:ascii="Times New Roman" w:hAnsi="Times New Roman" w:cs="Times New Roman"/>
          <w:sz w:val="24"/>
          <w:szCs w:val="24"/>
        </w:rPr>
      </w:pPr>
    </w:p>
    <w:p w14:paraId="5A8B967F" w14:textId="77777777" w:rsidR="00DF4A56" w:rsidRPr="00132D23" w:rsidRDefault="00DF4A56" w:rsidP="00132D23">
      <w:pPr>
        <w:spacing w:line="480" w:lineRule="auto"/>
        <w:jc w:val="both"/>
        <w:rPr>
          <w:rFonts w:ascii="Times New Roman" w:hAnsi="Times New Roman" w:cs="Times New Roman"/>
          <w:sz w:val="24"/>
          <w:szCs w:val="24"/>
        </w:rPr>
      </w:pPr>
    </w:p>
    <w:p w14:paraId="74DD7393" w14:textId="79F91777" w:rsidR="000F6F6E" w:rsidRPr="00132D23" w:rsidRDefault="000F6F6E" w:rsidP="00132D23">
      <w:pPr>
        <w:spacing w:line="480" w:lineRule="auto"/>
        <w:jc w:val="both"/>
        <w:rPr>
          <w:rFonts w:ascii="Times New Roman" w:hAnsi="Times New Roman" w:cs="Times New Roman"/>
          <w:sz w:val="24"/>
          <w:szCs w:val="24"/>
        </w:rPr>
      </w:pPr>
    </w:p>
    <w:sectPr w:rsidR="000F6F6E" w:rsidRPr="00132D23">
      <w:footerReference w:type="default" r:id="rId3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14C62" w14:textId="77777777" w:rsidR="0017081B" w:rsidRDefault="0017081B" w:rsidP="00262F75">
      <w:pPr>
        <w:spacing w:after="0" w:line="240" w:lineRule="auto"/>
      </w:pPr>
      <w:r>
        <w:separator/>
      </w:r>
    </w:p>
  </w:endnote>
  <w:endnote w:type="continuationSeparator" w:id="0">
    <w:p w14:paraId="121AEB51" w14:textId="77777777" w:rsidR="0017081B" w:rsidRDefault="0017081B" w:rsidP="00262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8503896"/>
      <w:docPartObj>
        <w:docPartGallery w:val="Page Numbers (Bottom of Page)"/>
        <w:docPartUnique/>
      </w:docPartObj>
    </w:sdtPr>
    <w:sdtContent>
      <w:p w14:paraId="2751FF20" w14:textId="77777777" w:rsidR="00D470F4" w:rsidRDefault="00D470F4">
        <w:pPr>
          <w:pStyle w:val="Piedepgina"/>
          <w:jc w:val="right"/>
        </w:pPr>
      </w:p>
      <w:p w14:paraId="41C5455A" w14:textId="6F4D645B" w:rsidR="00D470F4" w:rsidRDefault="00D470F4">
        <w:pPr>
          <w:pStyle w:val="Piedepgina"/>
          <w:jc w:val="right"/>
        </w:pPr>
      </w:p>
    </w:sdtContent>
  </w:sdt>
  <w:p w14:paraId="08C87422" w14:textId="77777777" w:rsidR="00D470F4" w:rsidRDefault="00D470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20CEE" w14:textId="77777777" w:rsidR="0017081B" w:rsidRDefault="0017081B" w:rsidP="00262F75">
      <w:pPr>
        <w:spacing w:after="0" w:line="240" w:lineRule="auto"/>
      </w:pPr>
      <w:r>
        <w:separator/>
      </w:r>
    </w:p>
  </w:footnote>
  <w:footnote w:type="continuationSeparator" w:id="0">
    <w:p w14:paraId="33DC2135" w14:textId="77777777" w:rsidR="0017081B" w:rsidRDefault="0017081B" w:rsidP="00262F75">
      <w:pPr>
        <w:spacing w:after="0" w:line="240" w:lineRule="auto"/>
      </w:pPr>
      <w:r>
        <w:continuationSeparator/>
      </w:r>
    </w:p>
  </w:footnote>
  <w:footnote w:id="1">
    <w:p w14:paraId="52C60DD4" w14:textId="77777777" w:rsidR="00D470F4" w:rsidRDefault="00D470F4" w:rsidP="003717B5">
      <w:pPr>
        <w:pStyle w:val="Textonotapie"/>
      </w:pPr>
      <w:r>
        <w:rPr>
          <w:rStyle w:val="Refdenotaalpie"/>
        </w:rPr>
        <w:footnoteRef/>
      </w:r>
      <w:r>
        <w:t xml:space="preserve"> Es importante no perder de vista que, en el caso de los biocombustibles, la utilización de los mismos no es necesariamente sinónimo de una reducción en las emisiones. </w:t>
      </w:r>
      <w:r w:rsidRPr="00F77642">
        <w:t>El uso de biocombustibles puede tener un impacto ambiental negativo, como la conversión de bosques en tierras de cultivo para su producción, lo que puede aumentar las emisiones de gases de efecto invernadero.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97DE2"/>
    <w:multiLevelType w:val="hybridMultilevel"/>
    <w:tmpl w:val="2E085E66"/>
    <w:lvl w:ilvl="0" w:tplc="FEB06BB4">
      <w:numFmt w:val="bullet"/>
      <w:lvlText w:val="-"/>
      <w:lvlJc w:val="left"/>
      <w:pPr>
        <w:ind w:left="394" w:hanging="330"/>
      </w:pPr>
      <w:rPr>
        <w:rFonts w:ascii="Arial" w:eastAsia="Arial" w:hAnsi="Arial" w:cs="Arial" w:hint="default"/>
        <w:w w:val="106"/>
        <w:lang w:val="en-US" w:eastAsia="en-US" w:bidi="ar-SA"/>
      </w:rPr>
    </w:lvl>
    <w:lvl w:ilvl="1" w:tplc="62DAD28E">
      <w:numFmt w:val="bullet"/>
      <w:lvlText w:val="•"/>
      <w:lvlJc w:val="left"/>
      <w:pPr>
        <w:ind w:left="693" w:hanging="330"/>
      </w:pPr>
      <w:rPr>
        <w:rFonts w:hint="default"/>
        <w:lang w:val="en-US" w:eastAsia="en-US" w:bidi="ar-SA"/>
      </w:rPr>
    </w:lvl>
    <w:lvl w:ilvl="2" w:tplc="429E306A">
      <w:numFmt w:val="bullet"/>
      <w:lvlText w:val="•"/>
      <w:lvlJc w:val="left"/>
      <w:pPr>
        <w:ind w:left="986" w:hanging="330"/>
      </w:pPr>
      <w:rPr>
        <w:rFonts w:hint="default"/>
        <w:lang w:val="en-US" w:eastAsia="en-US" w:bidi="ar-SA"/>
      </w:rPr>
    </w:lvl>
    <w:lvl w:ilvl="3" w:tplc="98D22A46">
      <w:numFmt w:val="bullet"/>
      <w:lvlText w:val="•"/>
      <w:lvlJc w:val="left"/>
      <w:pPr>
        <w:ind w:left="1280" w:hanging="330"/>
      </w:pPr>
      <w:rPr>
        <w:rFonts w:hint="default"/>
        <w:lang w:val="en-US" w:eastAsia="en-US" w:bidi="ar-SA"/>
      </w:rPr>
    </w:lvl>
    <w:lvl w:ilvl="4" w:tplc="13E0B898">
      <w:numFmt w:val="bullet"/>
      <w:lvlText w:val="•"/>
      <w:lvlJc w:val="left"/>
      <w:pPr>
        <w:ind w:left="1573" w:hanging="330"/>
      </w:pPr>
      <w:rPr>
        <w:rFonts w:hint="default"/>
        <w:lang w:val="en-US" w:eastAsia="en-US" w:bidi="ar-SA"/>
      </w:rPr>
    </w:lvl>
    <w:lvl w:ilvl="5" w:tplc="2B328486">
      <w:numFmt w:val="bullet"/>
      <w:lvlText w:val="•"/>
      <w:lvlJc w:val="left"/>
      <w:pPr>
        <w:ind w:left="1866" w:hanging="330"/>
      </w:pPr>
      <w:rPr>
        <w:rFonts w:hint="default"/>
        <w:lang w:val="en-US" w:eastAsia="en-US" w:bidi="ar-SA"/>
      </w:rPr>
    </w:lvl>
    <w:lvl w:ilvl="6" w:tplc="6DE69578">
      <w:numFmt w:val="bullet"/>
      <w:lvlText w:val="•"/>
      <w:lvlJc w:val="left"/>
      <w:pPr>
        <w:ind w:left="2160" w:hanging="330"/>
      </w:pPr>
      <w:rPr>
        <w:rFonts w:hint="default"/>
        <w:lang w:val="en-US" w:eastAsia="en-US" w:bidi="ar-SA"/>
      </w:rPr>
    </w:lvl>
    <w:lvl w:ilvl="7" w:tplc="BB30A6D0">
      <w:numFmt w:val="bullet"/>
      <w:lvlText w:val="•"/>
      <w:lvlJc w:val="left"/>
      <w:pPr>
        <w:ind w:left="2453" w:hanging="330"/>
      </w:pPr>
      <w:rPr>
        <w:rFonts w:hint="default"/>
        <w:lang w:val="en-US" w:eastAsia="en-US" w:bidi="ar-SA"/>
      </w:rPr>
    </w:lvl>
    <w:lvl w:ilvl="8" w:tplc="18BC68D4">
      <w:numFmt w:val="bullet"/>
      <w:lvlText w:val="•"/>
      <w:lvlJc w:val="left"/>
      <w:pPr>
        <w:ind w:left="2746" w:hanging="330"/>
      </w:pPr>
      <w:rPr>
        <w:rFonts w:hint="default"/>
        <w:lang w:val="en-US" w:eastAsia="en-US" w:bidi="ar-SA"/>
      </w:rPr>
    </w:lvl>
  </w:abstractNum>
  <w:abstractNum w:abstractNumId="1" w15:restartNumberingAfterBreak="0">
    <w:nsid w:val="392A48B8"/>
    <w:multiLevelType w:val="hybridMultilevel"/>
    <w:tmpl w:val="D9228EA4"/>
    <w:lvl w:ilvl="0" w:tplc="91864B1A">
      <w:numFmt w:val="bullet"/>
      <w:lvlText w:val="•"/>
      <w:lvlJc w:val="left"/>
      <w:pPr>
        <w:ind w:left="538" w:hanging="240"/>
      </w:pPr>
      <w:rPr>
        <w:rFonts w:ascii="Bookman Old Style" w:eastAsia="Bookman Old Style" w:hAnsi="Bookman Old Style" w:cs="Bookman Old Style" w:hint="default"/>
        <w:b w:val="0"/>
        <w:bCs w:val="0"/>
        <w:i w:val="0"/>
        <w:iCs w:val="0"/>
        <w:color w:val="231F20"/>
        <w:w w:val="108"/>
        <w:sz w:val="19"/>
        <w:szCs w:val="19"/>
        <w:lang w:val="en-US" w:eastAsia="en-US" w:bidi="ar-SA"/>
      </w:rPr>
    </w:lvl>
    <w:lvl w:ilvl="1" w:tplc="8B84D4FA">
      <w:numFmt w:val="bullet"/>
      <w:lvlText w:val="•"/>
      <w:lvlJc w:val="left"/>
      <w:pPr>
        <w:ind w:left="1100" w:hanging="240"/>
      </w:pPr>
      <w:rPr>
        <w:rFonts w:hint="default"/>
        <w:lang w:val="en-US" w:eastAsia="en-US" w:bidi="ar-SA"/>
      </w:rPr>
    </w:lvl>
    <w:lvl w:ilvl="2" w:tplc="2B62B52A">
      <w:numFmt w:val="bullet"/>
      <w:lvlText w:val="•"/>
      <w:lvlJc w:val="left"/>
      <w:pPr>
        <w:ind w:left="1661" w:hanging="240"/>
      </w:pPr>
      <w:rPr>
        <w:rFonts w:hint="default"/>
        <w:lang w:val="en-US" w:eastAsia="en-US" w:bidi="ar-SA"/>
      </w:rPr>
    </w:lvl>
    <w:lvl w:ilvl="3" w:tplc="7F6E0FC2">
      <w:numFmt w:val="bullet"/>
      <w:lvlText w:val="•"/>
      <w:lvlJc w:val="left"/>
      <w:pPr>
        <w:ind w:left="2222" w:hanging="240"/>
      </w:pPr>
      <w:rPr>
        <w:rFonts w:hint="default"/>
        <w:lang w:val="en-US" w:eastAsia="en-US" w:bidi="ar-SA"/>
      </w:rPr>
    </w:lvl>
    <w:lvl w:ilvl="4" w:tplc="C9EC0CDA">
      <w:numFmt w:val="bullet"/>
      <w:lvlText w:val="•"/>
      <w:lvlJc w:val="left"/>
      <w:pPr>
        <w:ind w:left="2783" w:hanging="240"/>
      </w:pPr>
      <w:rPr>
        <w:rFonts w:hint="default"/>
        <w:lang w:val="en-US" w:eastAsia="en-US" w:bidi="ar-SA"/>
      </w:rPr>
    </w:lvl>
    <w:lvl w:ilvl="5" w:tplc="7CA2B1CE">
      <w:numFmt w:val="bullet"/>
      <w:lvlText w:val="•"/>
      <w:lvlJc w:val="left"/>
      <w:pPr>
        <w:ind w:left="3344" w:hanging="240"/>
      </w:pPr>
      <w:rPr>
        <w:rFonts w:hint="default"/>
        <w:lang w:val="en-US" w:eastAsia="en-US" w:bidi="ar-SA"/>
      </w:rPr>
    </w:lvl>
    <w:lvl w:ilvl="6" w:tplc="D8D2B314">
      <w:numFmt w:val="bullet"/>
      <w:lvlText w:val="•"/>
      <w:lvlJc w:val="left"/>
      <w:pPr>
        <w:ind w:left="3905" w:hanging="240"/>
      </w:pPr>
      <w:rPr>
        <w:rFonts w:hint="default"/>
        <w:lang w:val="en-US" w:eastAsia="en-US" w:bidi="ar-SA"/>
      </w:rPr>
    </w:lvl>
    <w:lvl w:ilvl="7" w:tplc="9A8421A2">
      <w:numFmt w:val="bullet"/>
      <w:lvlText w:val="•"/>
      <w:lvlJc w:val="left"/>
      <w:pPr>
        <w:ind w:left="4466" w:hanging="240"/>
      </w:pPr>
      <w:rPr>
        <w:rFonts w:hint="default"/>
        <w:lang w:val="en-US" w:eastAsia="en-US" w:bidi="ar-SA"/>
      </w:rPr>
    </w:lvl>
    <w:lvl w:ilvl="8" w:tplc="A274CB44">
      <w:numFmt w:val="bullet"/>
      <w:lvlText w:val="•"/>
      <w:lvlJc w:val="left"/>
      <w:pPr>
        <w:ind w:left="5027" w:hanging="240"/>
      </w:pPr>
      <w:rPr>
        <w:rFonts w:hint="default"/>
        <w:lang w:val="en-US" w:eastAsia="en-US" w:bidi="ar-SA"/>
      </w:rPr>
    </w:lvl>
  </w:abstractNum>
  <w:abstractNum w:abstractNumId="2" w15:restartNumberingAfterBreak="0">
    <w:nsid w:val="4B94355D"/>
    <w:multiLevelType w:val="multilevel"/>
    <w:tmpl w:val="0FA6CFB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72562A1D"/>
    <w:multiLevelType w:val="hybridMultilevel"/>
    <w:tmpl w:val="A4D4E8D8"/>
    <w:lvl w:ilvl="0" w:tplc="62BC55A8">
      <w:numFmt w:val="bullet"/>
      <w:lvlText w:val="•"/>
      <w:lvlJc w:val="left"/>
      <w:pPr>
        <w:ind w:left="1398" w:hanging="236"/>
      </w:pPr>
      <w:rPr>
        <w:rFonts w:ascii="Times New Roman" w:eastAsia="Times New Roman" w:hAnsi="Times New Roman" w:cs="Times New Roman" w:hint="default"/>
        <w:w w:val="104"/>
        <w:lang w:val="en-US" w:eastAsia="en-US" w:bidi="ar-SA"/>
      </w:rPr>
    </w:lvl>
    <w:lvl w:ilvl="1" w:tplc="84646D12">
      <w:numFmt w:val="bullet"/>
      <w:lvlText w:val="•"/>
      <w:lvlJc w:val="left"/>
      <w:pPr>
        <w:ind w:left="2114" w:hanging="236"/>
      </w:pPr>
      <w:rPr>
        <w:rFonts w:hint="default"/>
        <w:lang w:val="en-US" w:eastAsia="en-US" w:bidi="ar-SA"/>
      </w:rPr>
    </w:lvl>
    <w:lvl w:ilvl="2" w:tplc="AEB02440">
      <w:numFmt w:val="bullet"/>
      <w:lvlText w:val="•"/>
      <w:lvlJc w:val="left"/>
      <w:pPr>
        <w:ind w:left="2829" w:hanging="236"/>
      </w:pPr>
      <w:rPr>
        <w:rFonts w:hint="default"/>
        <w:lang w:val="en-US" w:eastAsia="en-US" w:bidi="ar-SA"/>
      </w:rPr>
    </w:lvl>
    <w:lvl w:ilvl="3" w:tplc="EDF6BB9E">
      <w:numFmt w:val="bullet"/>
      <w:lvlText w:val="•"/>
      <w:lvlJc w:val="left"/>
      <w:pPr>
        <w:ind w:left="3543" w:hanging="236"/>
      </w:pPr>
      <w:rPr>
        <w:rFonts w:hint="default"/>
        <w:lang w:val="en-US" w:eastAsia="en-US" w:bidi="ar-SA"/>
      </w:rPr>
    </w:lvl>
    <w:lvl w:ilvl="4" w:tplc="2012D1F8">
      <w:numFmt w:val="bullet"/>
      <w:lvlText w:val="•"/>
      <w:lvlJc w:val="left"/>
      <w:pPr>
        <w:ind w:left="4258" w:hanging="236"/>
      </w:pPr>
      <w:rPr>
        <w:rFonts w:hint="default"/>
        <w:lang w:val="en-US" w:eastAsia="en-US" w:bidi="ar-SA"/>
      </w:rPr>
    </w:lvl>
    <w:lvl w:ilvl="5" w:tplc="C48A80A6">
      <w:numFmt w:val="bullet"/>
      <w:lvlText w:val="•"/>
      <w:lvlJc w:val="left"/>
      <w:pPr>
        <w:ind w:left="4973" w:hanging="236"/>
      </w:pPr>
      <w:rPr>
        <w:rFonts w:hint="default"/>
        <w:lang w:val="en-US" w:eastAsia="en-US" w:bidi="ar-SA"/>
      </w:rPr>
    </w:lvl>
    <w:lvl w:ilvl="6" w:tplc="CCD6A3FA">
      <w:numFmt w:val="bullet"/>
      <w:lvlText w:val="•"/>
      <w:lvlJc w:val="left"/>
      <w:pPr>
        <w:ind w:left="5687" w:hanging="236"/>
      </w:pPr>
      <w:rPr>
        <w:rFonts w:hint="default"/>
        <w:lang w:val="en-US" w:eastAsia="en-US" w:bidi="ar-SA"/>
      </w:rPr>
    </w:lvl>
    <w:lvl w:ilvl="7" w:tplc="169CD9F8">
      <w:numFmt w:val="bullet"/>
      <w:lvlText w:val="•"/>
      <w:lvlJc w:val="left"/>
      <w:pPr>
        <w:ind w:left="6402" w:hanging="236"/>
      </w:pPr>
      <w:rPr>
        <w:rFonts w:hint="default"/>
        <w:lang w:val="en-US" w:eastAsia="en-US" w:bidi="ar-SA"/>
      </w:rPr>
    </w:lvl>
    <w:lvl w:ilvl="8" w:tplc="85A443EC">
      <w:numFmt w:val="bullet"/>
      <w:lvlText w:val="•"/>
      <w:lvlJc w:val="left"/>
      <w:pPr>
        <w:ind w:left="7117" w:hanging="236"/>
      </w:pPr>
      <w:rPr>
        <w:rFonts w:hint="default"/>
        <w:lang w:val="en-US" w:eastAsia="en-US" w:bidi="ar-SA"/>
      </w:rPr>
    </w:lvl>
  </w:abstractNum>
  <w:num w:numId="1">
    <w:abstractNumId w:val="2"/>
  </w:num>
  <w:num w:numId="2">
    <w:abstractNumId w:val="0"/>
  </w:num>
  <w:num w:numId="3">
    <w:abstractNumId w:val="3"/>
  </w:num>
  <w:num w:numId="4">
    <w:abstractNumId w:val="1"/>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aquin Sarmiento">
    <w15:presenceInfo w15:providerId="Windows Live" w15:userId="f0ad3cc75df6e0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25D"/>
    <w:rsid w:val="000F6F6E"/>
    <w:rsid w:val="00106E3D"/>
    <w:rsid w:val="00132D23"/>
    <w:rsid w:val="001439C5"/>
    <w:rsid w:val="0017081B"/>
    <w:rsid w:val="00180695"/>
    <w:rsid w:val="001D10C7"/>
    <w:rsid w:val="00201FCA"/>
    <w:rsid w:val="002609D6"/>
    <w:rsid w:val="00262F75"/>
    <w:rsid w:val="002B0637"/>
    <w:rsid w:val="002C17CA"/>
    <w:rsid w:val="002C5518"/>
    <w:rsid w:val="00311E0E"/>
    <w:rsid w:val="00341499"/>
    <w:rsid w:val="003717B5"/>
    <w:rsid w:val="003862AC"/>
    <w:rsid w:val="003D31E4"/>
    <w:rsid w:val="003E6D2A"/>
    <w:rsid w:val="00401AD8"/>
    <w:rsid w:val="00463C59"/>
    <w:rsid w:val="00471585"/>
    <w:rsid w:val="00491CC8"/>
    <w:rsid w:val="004924DA"/>
    <w:rsid w:val="00501CAA"/>
    <w:rsid w:val="00540EEC"/>
    <w:rsid w:val="00544FA3"/>
    <w:rsid w:val="0054625D"/>
    <w:rsid w:val="00574207"/>
    <w:rsid w:val="005959CB"/>
    <w:rsid w:val="006245A8"/>
    <w:rsid w:val="00652520"/>
    <w:rsid w:val="006A172C"/>
    <w:rsid w:val="006D466D"/>
    <w:rsid w:val="006F30A0"/>
    <w:rsid w:val="00701759"/>
    <w:rsid w:val="007235C8"/>
    <w:rsid w:val="00767F77"/>
    <w:rsid w:val="007B6D83"/>
    <w:rsid w:val="008063B0"/>
    <w:rsid w:val="00813DFD"/>
    <w:rsid w:val="0083467F"/>
    <w:rsid w:val="00856943"/>
    <w:rsid w:val="0086057F"/>
    <w:rsid w:val="0087548C"/>
    <w:rsid w:val="00897BF9"/>
    <w:rsid w:val="008A732D"/>
    <w:rsid w:val="0090586B"/>
    <w:rsid w:val="00952D44"/>
    <w:rsid w:val="009E7086"/>
    <w:rsid w:val="00A14D6F"/>
    <w:rsid w:val="00A305E0"/>
    <w:rsid w:val="00A422F4"/>
    <w:rsid w:val="00A70FA3"/>
    <w:rsid w:val="00AA5850"/>
    <w:rsid w:val="00AB2E70"/>
    <w:rsid w:val="00AE1F6F"/>
    <w:rsid w:val="00AE1F8E"/>
    <w:rsid w:val="00AF0064"/>
    <w:rsid w:val="00AF0A50"/>
    <w:rsid w:val="00AF2904"/>
    <w:rsid w:val="00B563FC"/>
    <w:rsid w:val="00B818DC"/>
    <w:rsid w:val="00BE35E7"/>
    <w:rsid w:val="00C56989"/>
    <w:rsid w:val="00D27A40"/>
    <w:rsid w:val="00D31814"/>
    <w:rsid w:val="00D470F4"/>
    <w:rsid w:val="00D561C8"/>
    <w:rsid w:val="00D64D7D"/>
    <w:rsid w:val="00DA789D"/>
    <w:rsid w:val="00DB772D"/>
    <w:rsid w:val="00DF4A56"/>
    <w:rsid w:val="00E36EFC"/>
    <w:rsid w:val="00E61263"/>
    <w:rsid w:val="00E95D02"/>
    <w:rsid w:val="00E95E8B"/>
    <w:rsid w:val="00EA4CB2"/>
    <w:rsid w:val="00EE139A"/>
    <w:rsid w:val="00EF27A1"/>
    <w:rsid w:val="00EF29B2"/>
    <w:rsid w:val="00F71827"/>
    <w:rsid w:val="00FC1835"/>
    <w:rsid w:val="00FD5D02"/>
    <w:rsid w:val="00FE3FC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8449A"/>
  <w15:chartTrackingRefBased/>
  <w15:docId w15:val="{B7B99218-6BC4-4714-A263-96232C1DB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518"/>
  </w:style>
  <w:style w:type="paragraph" w:styleId="Ttulo1">
    <w:name w:val="heading 1"/>
    <w:basedOn w:val="Normal"/>
    <w:link w:val="Ttulo1Car"/>
    <w:uiPriority w:val="9"/>
    <w:qFormat/>
    <w:rsid w:val="001439C5"/>
    <w:pPr>
      <w:widowControl w:val="0"/>
      <w:autoSpaceDE w:val="0"/>
      <w:autoSpaceDN w:val="0"/>
      <w:spacing w:before="208" w:after="0" w:line="240" w:lineRule="auto"/>
      <w:ind w:right="136"/>
      <w:jc w:val="center"/>
      <w:outlineLvl w:val="0"/>
    </w:pPr>
    <w:rPr>
      <w:rFonts w:ascii="Tahoma" w:eastAsia="Tahoma" w:hAnsi="Tahoma" w:cs="Tahoma"/>
      <w:sz w:val="40"/>
      <w:szCs w:val="40"/>
      <w:lang w:val="en-US"/>
    </w:rPr>
  </w:style>
  <w:style w:type="paragraph" w:styleId="Ttulo2">
    <w:name w:val="heading 2"/>
    <w:basedOn w:val="Normal"/>
    <w:link w:val="Ttulo2Car"/>
    <w:uiPriority w:val="9"/>
    <w:unhideWhenUsed/>
    <w:qFormat/>
    <w:rsid w:val="001439C5"/>
    <w:pPr>
      <w:widowControl w:val="0"/>
      <w:autoSpaceDE w:val="0"/>
      <w:autoSpaceDN w:val="0"/>
      <w:spacing w:before="47" w:after="0" w:line="240" w:lineRule="auto"/>
      <w:ind w:right="177"/>
      <w:jc w:val="center"/>
      <w:outlineLvl w:val="1"/>
    </w:pPr>
    <w:rPr>
      <w:rFonts w:ascii="Trebuchet MS" w:eastAsia="Trebuchet MS" w:hAnsi="Trebuchet MS" w:cs="Trebuchet MS"/>
      <w:sz w:val="35"/>
      <w:szCs w:val="35"/>
      <w:lang w:val="en-US"/>
    </w:rPr>
  </w:style>
  <w:style w:type="paragraph" w:styleId="Ttulo3">
    <w:name w:val="heading 3"/>
    <w:basedOn w:val="Normal"/>
    <w:link w:val="Ttulo3Car"/>
    <w:uiPriority w:val="9"/>
    <w:unhideWhenUsed/>
    <w:qFormat/>
    <w:rsid w:val="001439C5"/>
    <w:pPr>
      <w:widowControl w:val="0"/>
      <w:autoSpaceDE w:val="0"/>
      <w:autoSpaceDN w:val="0"/>
      <w:spacing w:before="87" w:after="0" w:line="240" w:lineRule="auto"/>
      <w:ind w:right="142"/>
      <w:jc w:val="center"/>
      <w:outlineLvl w:val="2"/>
    </w:pPr>
    <w:rPr>
      <w:rFonts w:ascii="Tahoma" w:eastAsia="Tahoma" w:hAnsi="Tahoma" w:cs="Tahoma"/>
      <w:sz w:val="34"/>
      <w:szCs w:val="34"/>
      <w:lang w:val="en-US"/>
    </w:rPr>
  </w:style>
  <w:style w:type="paragraph" w:styleId="Ttulo4">
    <w:name w:val="heading 4"/>
    <w:basedOn w:val="Normal"/>
    <w:next w:val="Normal"/>
    <w:link w:val="Ttulo4Car"/>
    <w:uiPriority w:val="9"/>
    <w:semiHidden/>
    <w:unhideWhenUsed/>
    <w:qFormat/>
    <w:rsid w:val="00132D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39C5"/>
    <w:rPr>
      <w:rFonts w:ascii="Tahoma" w:eastAsia="Tahoma" w:hAnsi="Tahoma" w:cs="Tahoma"/>
      <w:sz w:val="40"/>
      <w:szCs w:val="40"/>
      <w:lang w:val="en-US"/>
    </w:rPr>
  </w:style>
  <w:style w:type="character" w:customStyle="1" w:styleId="Ttulo2Car">
    <w:name w:val="Título 2 Car"/>
    <w:basedOn w:val="Fuentedeprrafopredeter"/>
    <w:link w:val="Ttulo2"/>
    <w:uiPriority w:val="9"/>
    <w:rsid w:val="001439C5"/>
    <w:rPr>
      <w:rFonts w:ascii="Trebuchet MS" w:eastAsia="Trebuchet MS" w:hAnsi="Trebuchet MS" w:cs="Trebuchet MS"/>
      <w:sz w:val="35"/>
      <w:szCs w:val="35"/>
      <w:lang w:val="en-US"/>
    </w:rPr>
  </w:style>
  <w:style w:type="character" w:customStyle="1" w:styleId="Ttulo3Car">
    <w:name w:val="Título 3 Car"/>
    <w:basedOn w:val="Fuentedeprrafopredeter"/>
    <w:link w:val="Ttulo3"/>
    <w:uiPriority w:val="9"/>
    <w:rsid w:val="001439C5"/>
    <w:rPr>
      <w:rFonts w:ascii="Tahoma" w:eastAsia="Tahoma" w:hAnsi="Tahoma" w:cs="Tahoma"/>
      <w:sz w:val="34"/>
      <w:szCs w:val="34"/>
      <w:lang w:val="en-US"/>
    </w:rPr>
  </w:style>
  <w:style w:type="paragraph" w:customStyle="1" w:styleId="Default">
    <w:name w:val="Default"/>
    <w:rsid w:val="00540EEC"/>
    <w:pPr>
      <w:autoSpaceDE w:val="0"/>
      <w:autoSpaceDN w:val="0"/>
      <w:adjustRightInd w:val="0"/>
      <w:spacing w:after="0" w:line="240" w:lineRule="auto"/>
    </w:pPr>
    <w:rPr>
      <w:rFonts w:ascii="Cambria" w:hAnsi="Cambria" w:cs="Cambria"/>
      <w:color w:val="000000"/>
      <w:sz w:val="24"/>
      <w:szCs w:val="24"/>
    </w:rPr>
  </w:style>
  <w:style w:type="paragraph" w:styleId="Textoindependiente">
    <w:name w:val="Body Text"/>
    <w:basedOn w:val="Normal"/>
    <w:link w:val="TextoindependienteCar"/>
    <w:uiPriority w:val="1"/>
    <w:qFormat/>
    <w:rsid w:val="00262F75"/>
    <w:pPr>
      <w:widowControl w:val="0"/>
      <w:autoSpaceDE w:val="0"/>
      <w:autoSpaceDN w:val="0"/>
      <w:spacing w:after="0" w:line="240" w:lineRule="auto"/>
      <w:jc w:val="both"/>
    </w:pPr>
    <w:rPr>
      <w:rFonts w:ascii="Georgia" w:eastAsia="Georgia" w:hAnsi="Georgia" w:cs="Georgia"/>
      <w:sz w:val="20"/>
      <w:szCs w:val="20"/>
      <w:lang w:val="en-US"/>
    </w:rPr>
  </w:style>
  <w:style w:type="character" w:customStyle="1" w:styleId="TextoindependienteCar">
    <w:name w:val="Texto independiente Car"/>
    <w:basedOn w:val="Fuentedeprrafopredeter"/>
    <w:link w:val="Textoindependiente"/>
    <w:uiPriority w:val="1"/>
    <w:rsid w:val="00262F75"/>
    <w:rPr>
      <w:rFonts w:ascii="Georgia" w:eastAsia="Georgia" w:hAnsi="Georgia" w:cs="Georgia"/>
      <w:sz w:val="20"/>
      <w:szCs w:val="20"/>
      <w:lang w:val="en-US"/>
    </w:rPr>
  </w:style>
  <w:style w:type="paragraph" w:styleId="Prrafodelista">
    <w:name w:val="List Paragraph"/>
    <w:basedOn w:val="Normal"/>
    <w:uiPriority w:val="1"/>
    <w:qFormat/>
    <w:rsid w:val="00262F75"/>
    <w:pPr>
      <w:ind w:left="720"/>
      <w:contextualSpacing/>
    </w:pPr>
  </w:style>
  <w:style w:type="paragraph" w:styleId="Encabezado">
    <w:name w:val="header"/>
    <w:basedOn w:val="Normal"/>
    <w:link w:val="EncabezadoCar"/>
    <w:uiPriority w:val="99"/>
    <w:unhideWhenUsed/>
    <w:rsid w:val="00262F7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62F75"/>
  </w:style>
  <w:style w:type="paragraph" w:styleId="Piedepgina">
    <w:name w:val="footer"/>
    <w:basedOn w:val="Normal"/>
    <w:link w:val="PiedepginaCar"/>
    <w:uiPriority w:val="99"/>
    <w:unhideWhenUsed/>
    <w:rsid w:val="00262F7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62F75"/>
  </w:style>
  <w:style w:type="paragraph" w:styleId="NormalWeb">
    <w:name w:val="Normal (Web)"/>
    <w:basedOn w:val="Normal"/>
    <w:uiPriority w:val="99"/>
    <w:unhideWhenUsed/>
    <w:rsid w:val="00952D44"/>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z-Principiodelformulario">
    <w:name w:val="HTML Top of Form"/>
    <w:basedOn w:val="Normal"/>
    <w:next w:val="Normal"/>
    <w:link w:val="z-PrincipiodelformularioCar"/>
    <w:hidden/>
    <w:uiPriority w:val="99"/>
    <w:semiHidden/>
    <w:unhideWhenUsed/>
    <w:rsid w:val="00952D44"/>
    <w:pPr>
      <w:pBdr>
        <w:bottom w:val="single" w:sz="6" w:space="1" w:color="auto"/>
      </w:pBdr>
      <w:spacing w:after="0" w:line="240" w:lineRule="auto"/>
      <w:jc w:val="center"/>
    </w:pPr>
    <w:rPr>
      <w:rFonts w:ascii="Arial" w:eastAsia="Times New Roman" w:hAnsi="Arial" w:cs="Arial"/>
      <w:vanish/>
      <w:sz w:val="16"/>
      <w:szCs w:val="16"/>
      <w:lang w:eastAsia="es-AR"/>
    </w:rPr>
  </w:style>
  <w:style w:type="character" w:customStyle="1" w:styleId="z-PrincipiodelformularioCar">
    <w:name w:val="z-Principio del formulario Car"/>
    <w:basedOn w:val="Fuentedeprrafopredeter"/>
    <w:link w:val="z-Principiodelformulario"/>
    <w:uiPriority w:val="99"/>
    <w:semiHidden/>
    <w:rsid w:val="00952D44"/>
    <w:rPr>
      <w:rFonts w:ascii="Arial" w:eastAsia="Times New Roman" w:hAnsi="Arial" w:cs="Arial"/>
      <w:vanish/>
      <w:sz w:val="16"/>
      <w:szCs w:val="16"/>
      <w:lang w:eastAsia="es-AR"/>
    </w:rPr>
  </w:style>
  <w:style w:type="table" w:styleId="Tablaconcuadrcula">
    <w:name w:val="Table Grid"/>
    <w:basedOn w:val="Tablanormal"/>
    <w:uiPriority w:val="59"/>
    <w:rsid w:val="00201F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3717B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717B5"/>
    <w:rPr>
      <w:sz w:val="20"/>
      <w:szCs w:val="20"/>
    </w:rPr>
  </w:style>
  <w:style w:type="character" w:styleId="Refdenotaalpie">
    <w:name w:val="footnote reference"/>
    <w:basedOn w:val="Fuentedeprrafopredeter"/>
    <w:uiPriority w:val="99"/>
    <w:semiHidden/>
    <w:unhideWhenUsed/>
    <w:rsid w:val="003717B5"/>
    <w:rPr>
      <w:vertAlign w:val="superscript"/>
    </w:rPr>
  </w:style>
  <w:style w:type="table" w:customStyle="1" w:styleId="TableNormal">
    <w:name w:val="Table Normal"/>
    <w:uiPriority w:val="2"/>
    <w:semiHidden/>
    <w:unhideWhenUsed/>
    <w:qFormat/>
    <w:rsid w:val="001439C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439C5"/>
    <w:pPr>
      <w:widowControl w:val="0"/>
      <w:autoSpaceDE w:val="0"/>
      <w:autoSpaceDN w:val="0"/>
      <w:spacing w:after="0" w:line="179" w:lineRule="exact"/>
      <w:jc w:val="center"/>
    </w:pPr>
    <w:rPr>
      <w:rFonts w:ascii="Calibri" w:eastAsia="Calibri" w:hAnsi="Calibri" w:cs="Calibri"/>
      <w:lang w:val="en-US"/>
    </w:rPr>
  </w:style>
  <w:style w:type="character" w:customStyle="1" w:styleId="Ttulo4Car">
    <w:name w:val="Título 4 Car"/>
    <w:basedOn w:val="Fuentedeprrafopredeter"/>
    <w:link w:val="Ttulo4"/>
    <w:uiPriority w:val="9"/>
    <w:semiHidden/>
    <w:rsid w:val="00132D23"/>
    <w:rPr>
      <w:rFonts w:asciiTheme="majorHAnsi" w:eastAsiaTheme="majorEastAsia" w:hAnsiTheme="majorHAnsi" w:cstheme="majorBidi"/>
      <w:i/>
      <w:iCs/>
      <w:color w:val="2F5496" w:themeColor="accent1" w:themeShade="BF"/>
    </w:rPr>
  </w:style>
  <w:style w:type="paragraph" w:styleId="Textodeglobo">
    <w:name w:val="Balloon Text"/>
    <w:basedOn w:val="Normal"/>
    <w:link w:val="TextodegloboCar"/>
    <w:uiPriority w:val="99"/>
    <w:semiHidden/>
    <w:unhideWhenUsed/>
    <w:rsid w:val="00D470F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470F4"/>
    <w:rPr>
      <w:rFonts w:ascii="Segoe UI" w:hAnsi="Segoe UI" w:cs="Segoe UI"/>
      <w:sz w:val="18"/>
      <w:szCs w:val="18"/>
    </w:rPr>
  </w:style>
  <w:style w:type="paragraph" w:styleId="Revisin">
    <w:name w:val="Revision"/>
    <w:hidden/>
    <w:uiPriority w:val="99"/>
    <w:semiHidden/>
    <w:rsid w:val="00D470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917687">
      <w:bodyDiv w:val="1"/>
      <w:marLeft w:val="0"/>
      <w:marRight w:val="0"/>
      <w:marTop w:val="0"/>
      <w:marBottom w:val="0"/>
      <w:divBdr>
        <w:top w:val="none" w:sz="0" w:space="0" w:color="auto"/>
        <w:left w:val="none" w:sz="0" w:space="0" w:color="auto"/>
        <w:bottom w:val="none" w:sz="0" w:space="0" w:color="auto"/>
        <w:right w:val="none" w:sz="0" w:space="0" w:color="auto"/>
      </w:divBdr>
    </w:div>
    <w:div w:id="1510757111">
      <w:bodyDiv w:val="1"/>
      <w:marLeft w:val="0"/>
      <w:marRight w:val="0"/>
      <w:marTop w:val="0"/>
      <w:marBottom w:val="0"/>
      <w:divBdr>
        <w:top w:val="none" w:sz="0" w:space="0" w:color="auto"/>
        <w:left w:val="none" w:sz="0" w:space="0" w:color="auto"/>
        <w:bottom w:val="none" w:sz="0" w:space="0" w:color="auto"/>
        <w:right w:val="none" w:sz="0" w:space="0" w:color="auto"/>
      </w:divBdr>
      <w:divsChild>
        <w:div w:id="276107521">
          <w:marLeft w:val="0"/>
          <w:marRight w:val="0"/>
          <w:marTop w:val="0"/>
          <w:marBottom w:val="0"/>
          <w:divBdr>
            <w:top w:val="none" w:sz="0" w:space="0" w:color="auto"/>
            <w:left w:val="none" w:sz="0" w:space="0" w:color="auto"/>
            <w:bottom w:val="none" w:sz="0" w:space="0" w:color="auto"/>
            <w:right w:val="none" w:sz="0" w:space="0" w:color="auto"/>
          </w:divBdr>
        </w:div>
        <w:div w:id="1879320712">
          <w:marLeft w:val="0"/>
          <w:marRight w:val="0"/>
          <w:marTop w:val="0"/>
          <w:marBottom w:val="0"/>
          <w:divBdr>
            <w:top w:val="single" w:sz="2" w:space="0" w:color="D9D9E3"/>
            <w:left w:val="single" w:sz="2" w:space="0" w:color="D9D9E3"/>
            <w:bottom w:val="single" w:sz="2" w:space="0" w:color="D9D9E3"/>
            <w:right w:val="single" w:sz="2" w:space="0" w:color="D9D9E3"/>
          </w:divBdr>
          <w:divsChild>
            <w:div w:id="371157676">
              <w:marLeft w:val="0"/>
              <w:marRight w:val="0"/>
              <w:marTop w:val="0"/>
              <w:marBottom w:val="0"/>
              <w:divBdr>
                <w:top w:val="single" w:sz="2" w:space="0" w:color="D9D9E3"/>
                <w:left w:val="single" w:sz="2" w:space="0" w:color="D9D9E3"/>
                <w:bottom w:val="single" w:sz="2" w:space="0" w:color="D9D9E3"/>
                <w:right w:val="single" w:sz="2" w:space="0" w:color="D9D9E3"/>
              </w:divBdr>
              <w:divsChild>
                <w:div w:id="161357536">
                  <w:marLeft w:val="0"/>
                  <w:marRight w:val="0"/>
                  <w:marTop w:val="0"/>
                  <w:marBottom w:val="0"/>
                  <w:divBdr>
                    <w:top w:val="single" w:sz="2" w:space="0" w:color="D9D9E3"/>
                    <w:left w:val="single" w:sz="2" w:space="0" w:color="D9D9E3"/>
                    <w:bottom w:val="single" w:sz="2" w:space="0" w:color="D9D9E3"/>
                    <w:right w:val="single" w:sz="2" w:space="0" w:color="D9D9E3"/>
                  </w:divBdr>
                  <w:divsChild>
                    <w:div w:id="1399475275">
                      <w:marLeft w:val="0"/>
                      <w:marRight w:val="0"/>
                      <w:marTop w:val="0"/>
                      <w:marBottom w:val="0"/>
                      <w:divBdr>
                        <w:top w:val="single" w:sz="2" w:space="0" w:color="D9D9E3"/>
                        <w:left w:val="single" w:sz="2" w:space="0" w:color="D9D9E3"/>
                        <w:bottom w:val="single" w:sz="2" w:space="0" w:color="D9D9E3"/>
                        <w:right w:val="single" w:sz="2" w:space="0" w:color="D9D9E3"/>
                      </w:divBdr>
                      <w:divsChild>
                        <w:div w:id="72553198">
                          <w:marLeft w:val="0"/>
                          <w:marRight w:val="0"/>
                          <w:marTop w:val="0"/>
                          <w:marBottom w:val="0"/>
                          <w:divBdr>
                            <w:top w:val="single" w:sz="2" w:space="0" w:color="auto"/>
                            <w:left w:val="single" w:sz="2" w:space="0" w:color="auto"/>
                            <w:bottom w:val="single" w:sz="6" w:space="0" w:color="auto"/>
                            <w:right w:val="single" w:sz="2" w:space="0" w:color="auto"/>
                          </w:divBdr>
                          <w:divsChild>
                            <w:div w:id="10412443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99155213">
                                  <w:marLeft w:val="0"/>
                                  <w:marRight w:val="0"/>
                                  <w:marTop w:val="0"/>
                                  <w:marBottom w:val="0"/>
                                  <w:divBdr>
                                    <w:top w:val="single" w:sz="2" w:space="0" w:color="D9D9E3"/>
                                    <w:left w:val="single" w:sz="2" w:space="0" w:color="D9D9E3"/>
                                    <w:bottom w:val="single" w:sz="2" w:space="0" w:color="D9D9E3"/>
                                    <w:right w:val="single" w:sz="2" w:space="0" w:color="D9D9E3"/>
                                  </w:divBdr>
                                  <w:divsChild>
                                    <w:div w:id="1469392080">
                                      <w:marLeft w:val="0"/>
                                      <w:marRight w:val="0"/>
                                      <w:marTop w:val="0"/>
                                      <w:marBottom w:val="0"/>
                                      <w:divBdr>
                                        <w:top w:val="single" w:sz="2" w:space="0" w:color="D9D9E3"/>
                                        <w:left w:val="single" w:sz="2" w:space="0" w:color="D9D9E3"/>
                                        <w:bottom w:val="single" w:sz="2" w:space="0" w:color="D9D9E3"/>
                                        <w:right w:val="single" w:sz="2" w:space="0" w:color="D9D9E3"/>
                                      </w:divBdr>
                                      <w:divsChild>
                                        <w:div w:id="1927762542">
                                          <w:marLeft w:val="0"/>
                                          <w:marRight w:val="0"/>
                                          <w:marTop w:val="0"/>
                                          <w:marBottom w:val="0"/>
                                          <w:divBdr>
                                            <w:top w:val="single" w:sz="2" w:space="0" w:color="D9D9E3"/>
                                            <w:left w:val="single" w:sz="2" w:space="0" w:color="D9D9E3"/>
                                            <w:bottom w:val="single" w:sz="2" w:space="0" w:color="D9D9E3"/>
                                            <w:right w:val="single" w:sz="2" w:space="0" w:color="D9D9E3"/>
                                          </w:divBdr>
                                          <w:divsChild>
                                            <w:div w:id="1610158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C9AC3-760D-4406-B8C3-7B96E6A5C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100</Pages>
  <Words>32218</Words>
  <Characters>183966</Characters>
  <Application>Microsoft Office Word</Application>
  <DocSecurity>0</DocSecurity>
  <Lines>3227</Lines>
  <Paragraphs>643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Sarmiento</dc:creator>
  <cp:keywords/>
  <dc:description/>
  <cp:lastModifiedBy>Joaquin Sarmiento</cp:lastModifiedBy>
  <cp:revision>2</cp:revision>
  <dcterms:created xsi:type="dcterms:W3CDTF">2023-02-11T15:23:00Z</dcterms:created>
  <dcterms:modified xsi:type="dcterms:W3CDTF">2023-02-11T15:23:00Z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29ee3309341c65dddc391282e9042099978dfcb8da464940f07e481ba5c8cdba</vt:lpwstr>
  </property>
</Properties>
</file>