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B6ED2" w:rsidRDefault="003B6ED2" w:rsidP="00717968">
      <w:pPr>
        <w:spacing w:line="216" w:lineRule="auto"/>
        <w:rPr>
          <w:rFonts w:ascii="Times New Roman" w:eastAsia="+mn-ea" w:hAnsi="Times New Roman" w:cs="Times New Roman"/>
          <w:color w:val="000000"/>
          <w:kern w:val="24"/>
          <w:sz w:val="24"/>
          <w:szCs w:val="24"/>
        </w:rPr>
      </w:pPr>
      <w:r>
        <w:rPr>
          <w:rFonts w:ascii="Times New Roman" w:eastAsia="+mn-ea" w:hAnsi="Times New Roman" w:cs="Times New Roman"/>
          <w:color w:val="000000"/>
          <w:kern w:val="24"/>
          <w:sz w:val="24"/>
          <w:szCs w:val="24"/>
        </w:rPr>
        <w:t>Mājas darbs Nr1</w:t>
      </w:r>
    </w:p>
    <w:p w:rsidR="00717968" w:rsidRPr="003B6ED2" w:rsidRDefault="00717968" w:rsidP="00717968">
      <w:pPr>
        <w:spacing w:line="216" w:lineRule="auto"/>
        <w:rPr>
          <w:rFonts w:ascii="Times New Roman" w:eastAsia="+mn-ea" w:hAnsi="Times New Roman" w:cs="Times New Roman"/>
          <w:color w:val="000000"/>
          <w:kern w:val="24"/>
          <w:sz w:val="24"/>
          <w:szCs w:val="24"/>
        </w:rPr>
      </w:pPr>
      <w:r w:rsidRPr="003B6ED2">
        <w:rPr>
          <w:rFonts w:ascii="Times New Roman" w:eastAsia="+mn-ea" w:hAnsi="Times New Roman" w:cs="Times New Roman"/>
          <w:color w:val="000000"/>
          <w:kern w:val="24"/>
          <w:sz w:val="24"/>
          <w:szCs w:val="24"/>
        </w:rPr>
        <w:t xml:space="preserve">Sarmīte </w:t>
      </w:r>
      <w:proofErr w:type="spellStart"/>
      <w:r w:rsidRPr="003B6ED2">
        <w:rPr>
          <w:rFonts w:ascii="Times New Roman" w:eastAsia="+mn-ea" w:hAnsi="Times New Roman" w:cs="Times New Roman"/>
          <w:color w:val="000000"/>
          <w:kern w:val="24"/>
          <w:sz w:val="24"/>
          <w:szCs w:val="24"/>
        </w:rPr>
        <w:t>Endzele</w:t>
      </w:r>
      <w:proofErr w:type="spellEnd"/>
      <w:r w:rsidRPr="003B6ED2">
        <w:rPr>
          <w:rFonts w:ascii="Times New Roman" w:eastAsia="+mn-ea" w:hAnsi="Times New Roman" w:cs="Times New Roman"/>
          <w:color w:val="000000"/>
          <w:kern w:val="24"/>
          <w:sz w:val="24"/>
          <w:szCs w:val="24"/>
        </w:rPr>
        <w:t xml:space="preserve"> MT2</w:t>
      </w:r>
    </w:p>
    <w:p w:rsidR="00717968" w:rsidRPr="003B6ED2" w:rsidRDefault="00717968" w:rsidP="00717968">
      <w:pPr>
        <w:pStyle w:val="ListParagraph"/>
        <w:spacing w:line="216" w:lineRule="auto"/>
      </w:pPr>
    </w:p>
    <w:p w:rsidR="00717968" w:rsidRPr="003B6ED2" w:rsidRDefault="00717968" w:rsidP="00717968">
      <w:pPr>
        <w:pStyle w:val="ListParagraph"/>
        <w:spacing w:line="216" w:lineRule="auto"/>
      </w:pPr>
    </w:p>
    <w:p w:rsidR="00717968" w:rsidRPr="003B6ED2" w:rsidRDefault="00717968" w:rsidP="00717968">
      <w:pPr>
        <w:pStyle w:val="ListParagraph"/>
        <w:spacing w:line="216" w:lineRule="auto"/>
      </w:pPr>
      <w:r w:rsidRPr="003B6ED2">
        <w:rPr>
          <w:rFonts w:eastAsia="+mn-ea"/>
          <w:color w:val="000000"/>
          <w:kern w:val="24"/>
        </w:rPr>
        <w:t xml:space="preserve">Izpētīt </w:t>
      </w:r>
      <w:hyperlink r:id="rId5" w:history="1">
        <w:r w:rsidRPr="003B6ED2">
          <w:rPr>
            <w:rStyle w:val="Hyperlink"/>
            <w:rFonts w:eastAsia="+mn-ea"/>
            <w:color w:val="000000"/>
            <w:kern w:val="24"/>
          </w:rPr>
          <w:t>http://likumi.lv/ta/id/50425-st</w:t>
        </w:r>
        <w:r w:rsidRPr="003B6ED2">
          <w:rPr>
            <w:rStyle w:val="Hyperlink"/>
            <w:rFonts w:eastAsia="+mn-ea"/>
            <w:color w:val="000000"/>
            <w:kern w:val="24"/>
          </w:rPr>
          <w:t>a</w:t>
        </w:r>
        <w:r w:rsidRPr="003B6ED2">
          <w:rPr>
            <w:rStyle w:val="Hyperlink"/>
            <w:rFonts w:eastAsia="+mn-ea"/>
            <w:color w:val="000000"/>
            <w:kern w:val="24"/>
          </w:rPr>
          <w:t>ndartizacijas-likums</w:t>
        </w:r>
      </w:hyperlink>
      <w:r w:rsidRPr="003B6ED2">
        <w:rPr>
          <w:rFonts w:eastAsia="+mn-ea"/>
          <w:color w:val="000000"/>
          <w:kern w:val="24"/>
        </w:rPr>
        <w:t xml:space="preserve"> </w:t>
      </w:r>
    </w:p>
    <w:p w:rsidR="00717968" w:rsidRPr="003B6ED2" w:rsidRDefault="00717968" w:rsidP="00717968">
      <w:pPr>
        <w:pStyle w:val="ListParagraph"/>
        <w:numPr>
          <w:ilvl w:val="0"/>
          <w:numId w:val="1"/>
        </w:numPr>
        <w:spacing w:line="216" w:lineRule="auto"/>
      </w:pPr>
      <w:r w:rsidRPr="003B6ED2">
        <w:rPr>
          <w:rFonts w:eastAsia="+mn-ea"/>
          <w:color w:val="000000"/>
          <w:kern w:val="24"/>
        </w:rPr>
        <w:t>Atbildēt uz jautājumiem:</w:t>
      </w:r>
    </w:p>
    <w:p w:rsidR="00717968" w:rsidRPr="003B6ED2" w:rsidRDefault="00717968" w:rsidP="003B6ED2">
      <w:pPr>
        <w:spacing w:line="216" w:lineRule="auto"/>
        <w:rPr>
          <w:rFonts w:ascii="Times New Roman" w:eastAsia="Times New Roman" w:hAnsi="Times New Roman" w:cs="Times New Roman"/>
          <w:b/>
          <w:sz w:val="24"/>
          <w:szCs w:val="24"/>
        </w:rPr>
      </w:pPr>
      <w:r w:rsidRPr="003B6ED2">
        <w:rPr>
          <w:rFonts w:ascii="Times New Roman" w:eastAsia="+mn-ea" w:hAnsi="Times New Roman" w:cs="Times New Roman"/>
          <w:b/>
          <w:color w:val="000000"/>
          <w:kern w:val="24"/>
          <w:sz w:val="24"/>
          <w:szCs w:val="24"/>
        </w:rPr>
        <w:t>Kas ir standartizācija?</w:t>
      </w:r>
    </w:p>
    <w:p w:rsidR="00717968" w:rsidRPr="003B6ED2" w:rsidRDefault="00717968" w:rsidP="00717968">
      <w:pPr>
        <w:pStyle w:val="ListParagraph"/>
        <w:spacing w:line="216" w:lineRule="auto"/>
        <w:ind w:left="1440"/>
        <w:rPr>
          <w:i/>
          <w:color w:val="1F4E79" w:themeColor="accent1" w:themeShade="80"/>
          <w:shd w:val="clear" w:color="auto" w:fill="FFFFFF"/>
        </w:rPr>
      </w:pPr>
      <w:r w:rsidRPr="003B6ED2">
        <w:rPr>
          <w:b/>
          <w:bCs/>
          <w:i/>
          <w:color w:val="1F4E79" w:themeColor="accent1" w:themeShade="80"/>
          <w:shd w:val="clear" w:color="auto" w:fill="FFFFFF"/>
        </w:rPr>
        <w:t>2.pants. </w:t>
      </w:r>
      <w:r w:rsidRPr="003B6ED2">
        <w:rPr>
          <w:i/>
          <w:color w:val="1F4E79" w:themeColor="accent1" w:themeShade="80"/>
          <w:shd w:val="clear" w:color="auto" w:fill="FFFFFF"/>
        </w:rPr>
        <w:t>Standartizācija ir darbību kopums, kuru mērķis ir noteikt vispārīgus un daudzkārt piemērojamus principus esošo vai perspektīvo uzdevumu risināšanai un tādējādi radīt nosacījumus optimālai sakārtotībai noteiktā jomā.</w:t>
      </w:r>
    </w:p>
    <w:p w:rsidR="003B6ED2" w:rsidRPr="003B6ED2" w:rsidRDefault="003B6ED2" w:rsidP="00717968">
      <w:pPr>
        <w:pStyle w:val="ListParagraph"/>
        <w:spacing w:line="216" w:lineRule="auto"/>
        <w:ind w:left="1440"/>
        <w:rPr>
          <w:i/>
          <w:color w:val="1F4E79" w:themeColor="accent1" w:themeShade="80"/>
        </w:rPr>
      </w:pPr>
    </w:p>
    <w:p w:rsidR="00717968" w:rsidRPr="003B6ED2" w:rsidRDefault="00717968" w:rsidP="003B6ED2">
      <w:pPr>
        <w:spacing w:line="216" w:lineRule="auto"/>
        <w:rPr>
          <w:rFonts w:ascii="Times New Roman" w:eastAsia="Times New Roman" w:hAnsi="Times New Roman" w:cs="Times New Roman"/>
          <w:b/>
          <w:sz w:val="24"/>
          <w:szCs w:val="24"/>
        </w:rPr>
      </w:pPr>
      <w:r w:rsidRPr="003B6ED2">
        <w:rPr>
          <w:rFonts w:ascii="Times New Roman" w:eastAsia="+mn-ea" w:hAnsi="Times New Roman" w:cs="Times New Roman"/>
          <w:b/>
          <w:color w:val="000000"/>
          <w:kern w:val="24"/>
          <w:sz w:val="24"/>
          <w:szCs w:val="24"/>
        </w:rPr>
        <w:t>Kādēļ nepieciešams ieviest standartizāciju?</w:t>
      </w:r>
    </w:p>
    <w:p w:rsidR="00717968" w:rsidRPr="003B6ED2" w:rsidRDefault="00781D12" w:rsidP="00717968">
      <w:pPr>
        <w:pStyle w:val="ListParagraph"/>
        <w:spacing w:line="216" w:lineRule="auto"/>
        <w:ind w:left="1440"/>
        <w:rPr>
          <w:i/>
          <w:color w:val="1F4E79" w:themeColor="accent1" w:themeShade="80"/>
        </w:rPr>
      </w:pPr>
      <w:r w:rsidRPr="003B6ED2">
        <w:rPr>
          <w:i/>
          <w:color w:val="1F4E79" w:themeColor="accent1" w:themeShade="80"/>
        </w:rPr>
        <w:t>Standarti sakārto attiecīgi interesējošo jomu tā, lai būtu saprotami vienādi noteikumi vai kritēriji. Tas nepieciešams, lai nerastos lieki pārpratumi, kuru dēļ kāda puse varētu ciest</w:t>
      </w:r>
      <w:r w:rsidR="001E4AD5" w:rsidRPr="003B6ED2">
        <w:rPr>
          <w:i/>
          <w:color w:val="1F4E79" w:themeColor="accent1" w:themeShade="80"/>
        </w:rPr>
        <w:t>. Gan preces, gan pakalpojumi tiek “ierāmēti” konkrētā kvalitātē, kura ir atzīta par pieņemamu. Tas rada drošību un pārliecību, ka produkts vai pakalpojums nekaitēs veselībai vai dzīvībai.</w:t>
      </w:r>
    </w:p>
    <w:p w:rsidR="003B6ED2" w:rsidRPr="003B6ED2" w:rsidRDefault="003B6ED2" w:rsidP="00717968">
      <w:pPr>
        <w:pStyle w:val="ListParagraph"/>
        <w:spacing w:line="216" w:lineRule="auto"/>
        <w:ind w:left="1440"/>
        <w:rPr>
          <w:i/>
          <w:color w:val="1F4E79" w:themeColor="accent1" w:themeShade="80"/>
        </w:rPr>
      </w:pPr>
    </w:p>
    <w:p w:rsidR="00717968" w:rsidRPr="003B6ED2" w:rsidRDefault="00717968" w:rsidP="003B6ED2">
      <w:pPr>
        <w:spacing w:line="216" w:lineRule="auto"/>
        <w:rPr>
          <w:rFonts w:ascii="Times New Roman" w:eastAsia="Times New Roman" w:hAnsi="Times New Roman" w:cs="Times New Roman"/>
          <w:b/>
          <w:sz w:val="24"/>
          <w:szCs w:val="24"/>
        </w:rPr>
      </w:pPr>
      <w:r w:rsidRPr="003B6ED2">
        <w:rPr>
          <w:rFonts w:ascii="Times New Roman" w:eastAsia="+mn-ea" w:hAnsi="Times New Roman" w:cs="Times New Roman"/>
          <w:b/>
          <w:color w:val="000000"/>
          <w:kern w:val="24"/>
          <w:sz w:val="24"/>
          <w:szCs w:val="24"/>
        </w:rPr>
        <w:t>Kādi standarti jāievēro LV uzņēmējam/ražotājam? (No kā tas ir atkarīgs?)</w:t>
      </w:r>
    </w:p>
    <w:p w:rsidR="00781D12" w:rsidRPr="003B6ED2" w:rsidRDefault="00781D12" w:rsidP="00781D12">
      <w:pPr>
        <w:pStyle w:val="ListParagraph"/>
        <w:spacing w:line="216" w:lineRule="auto"/>
        <w:ind w:left="1440"/>
        <w:rPr>
          <w:i/>
          <w:color w:val="1F4E79" w:themeColor="accent1" w:themeShade="80"/>
        </w:rPr>
      </w:pPr>
      <w:r w:rsidRPr="003B6ED2">
        <w:rPr>
          <w:i/>
          <w:color w:val="1F4E79" w:themeColor="accent1" w:themeShade="80"/>
        </w:rPr>
        <w:t>LV uzņēmējam/ ražotājam jāņem vērā Latvijas valsts standarti, Eiropas savienības standarti vai citi, ja uzņēmums eksportē savas preces uz citām valstīm vai importē no tām sava produkta sastāvdaļas. Tad ņem vērā attiecīgajā valstī spēkā esošos standartus.</w:t>
      </w:r>
    </w:p>
    <w:p w:rsidR="003B6ED2" w:rsidRPr="003B6ED2" w:rsidRDefault="003B6ED2" w:rsidP="00781D12">
      <w:pPr>
        <w:pStyle w:val="ListParagraph"/>
        <w:spacing w:line="216" w:lineRule="auto"/>
        <w:ind w:left="1440"/>
        <w:rPr>
          <w:i/>
          <w:color w:val="1F4E79" w:themeColor="accent1" w:themeShade="80"/>
        </w:rPr>
      </w:pPr>
    </w:p>
    <w:p w:rsidR="00781D12" w:rsidRPr="003B6ED2" w:rsidRDefault="00717968" w:rsidP="003B6ED2">
      <w:pPr>
        <w:spacing w:line="216" w:lineRule="auto"/>
        <w:rPr>
          <w:rFonts w:ascii="Times New Roman" w:eastAsia="Times New Roman" w:hAnsi="Times New Roman" w:cs="Times New Roman"/>
          <w:b/>
          <w:sz w:val="24"/>
          <w:szCs w:val="24"/>
        </w:rPr>
      </w:pPr>
      <w:r w:rsidRPr="003B6ED2">
        <w:rPr>
          <w:rFonts w:ascii="Times New Roman" w:eastAsia="+mn-ea" w:hAnsi="Times New Roman" w:cs="Times New Roman"/>
          <w:b/>
          <w:color w:val="000000"/>
          <w:kern w:val="24"/>
          <w:sz w:val="24"/>
          <w:szCs w:val="24"/>
        </w:rPr>
        <w:t xml:space="preserve">Kādas institūcijas uzrauga standartizācijas procesus ES </w:t>
      </w:r>
    </w:p>
    <w:p w:rsidR="001E4AD5" w:rsidRPr="001E4AD5" w:rsidRDefault="001E4AD5" w:rsidP="001E4AD5">
      <w:pPr>
        <w:numPr>
          <w:ilvl w:val="0"/>
          <w:numId w:val="1"/>
        </w:numPr>
        <w:shd w:val="clear" w:color="auto" w:fill="FFFFFF"/>
        <w:spacing w:after="120" w:line="360" w:lineRule="atLeast"/>
        <w:textAlignment w:val="baseline"/>
        <w:rPr>
          <w:rFonts w:ascii="Times New Roman" w:eastAsia="Times New Roman" w:hAnsi="Times New Roman" w:cs="Times New Roman"/>
          <w:i/>
          <w:color w:val="1F4E79" w:themeColor="accent1" w:themeShade="80"/>
          <w:sz w:val="24"/>
          <w:szCs w:val="24"/>
          <w:lang w:eastAsia="lv-LV"/>
        </w:rPr>
      </w:pPr>
      <w:r w:rsidRPr="001E4AD5">
        <w:rPr>
          <w:rFonts w:ascii="Times New Roman" w:eastAsia="Times New Roman" w:hAnsi="Times New Roman" w:cs="Times New Roman"/>
          <w:i/>
          <w:color w:val="1F4E79" w:themeColor="accent1" w:themeShade="80"/>
          <w:sz w:val="24"/>
          <w:szCs w:val="24"/>
          <w:lang w:eastAsia="lv-LV"/>
        </w:rPr>
        <w:t>Eiropas Standartizācijas komiteja ( CEN)</w:t>
      </w:r>
    </w:p>
    <w:p w:rsidR="001E4AD5" w:rsidRPr="001E4AD5" w:rsidRDefault="001E4AD5" w:rsidP="001E4AD5">
      <w:pPr>
        <w:numPr>
          <w:ilvl w:val="0"/>
          <w:numId w:val="1"/>
        </w:numPr>
        <w:shd w:val="clear" w:color="auto" w:fill="FFFFFF"/>
        <w:spacing w:after="120" w:line="360" w:lineRule="atLeast"/>
        <w:textAlignment w:val="baseline"/>
        <w:rPr>
          <w:rFonts w:ascii="Times New Roman" w:eastAsia="Times New Roman" w:hAnsi="Times New Roman" w:cs="Times New Roman"/>
          <w:i/>
          <w:color w:val="1F4E79" w:themeColor="accent1" w:themeShade="80"/>
          <w:sz w:val="24"/>
          <w:szCs w:val="24"/>
          <w:lang w:eastAsia="lv-LV"/>
        </w:rPr>
      </w:pPr>
      <w:r w:rsidRPr="001E4AD5">
        <w:rPr>
          <w:rFonts w:ascii="Times New Roman" w:eastAsia="Times New Roman" w:hAnsi="Times New Roman" w:cs="Times New Roman"/>
          <w:i/>
          <w:color w:val="1F4E79" w:themeColor="accent1" w:themeShade="80"/>
          <w:sz w:val="24"/>
          <w:szCs w:val="24"/>
          <w:lang w:eastAsia="lv-LV"/>
        </w:rPr>
        <w:t>Eiropas Elektrotehniskās standartizācijas komiteja ( CENELX),</w:t>
      </w:r>
    </w:p>
    <w:p w:rsidR="001E4AD5" w:rsidRPr="001E4AD5" w:rsidRDefault="001E4AD5" w:rsidP="001E4AD5">
      <w:pPr>
        <w:numPr>
          <w:ilvl w:val="0"/>
          <w:numId w:val="1"/>
        </w:numPr>
        <w:shd w:val="clear" w:color="auto" w:fill="FFFFFF"/>
        <w:spacing w:after="120" w:line="360" w:lineRule="atLeast"/>
        <w:textAlignment w:val="baseline"/>
        <w:rPr>
          <w:rFonts w:ascii="Times New Roman" w:eastAsia="Times New Roman" w:hAnsi="Times New Roman" w:cs="Times New Roman"/>
          <w:i/>
          <w:color w:val="1F4E79" w:themeColor="accent1" w:themeShade="80"/>
          <w:sz w:val="24"/>
          <w:szCs w:val="24"/>
          <w:lang w:eastAsia="lv-LV"/>
        </w:rPr>
      </w:pPr>
      <w:r w:rsidRPr="001E4AD5">
        <w:rPr>
          <w:rFonts w:ascii="Times New Roman" w:eastAsia="Times New Roman" w:hAnsi="Times New Roman" w:cs="Times New Roman"/>
          <w:i/>
          <w:color w:val="1F4E79" w:themeColor="accent1" w:themeShade="80"/>
          <w:sz w:val="24"/>
          <w:szCs w:val="24"/>
          <w:lang w:eastAsia="lv-LV"/>
        </w:rPr>
        <w:t>Eiropas Telesakaru standartu institūts ( ETSI).</w:t>
      </w:r>
    </w:p>
    <w:p w:rsidR="00781D12" w:rsidRPr="003B6ED2" w:rsidRDefault="00781D12" w:rsidP="00781D12">
      <w:pPr>
        <w:pStyle w:val="ListParagraph"/>
        <w:spacing w:line="216" w:lineRule="auto"/>
        <w:ind w:left="1440"/>
      </w:pPr>
    </w:p>
    <w:p w:rsidR="00717968" w:rsidRPr="003B6ED2" w:rsidRDefault="00717968" w:rsidP="001E4AD5">
      <w:pPr>
        <w:pStyle w:val="ListParagraph"/>
        <w:spacing w:line="216" w:lineRule="auto"/>
        <w:ind w:left="1440"/>
      </w:pPr>
      <w:r w:rsidRPr="003B6ED2">
        <w:rPr>
          <w:rFonts w:eastAsia="+mn-ea"/>
          <w:color w:val="000000"/>
          <w:kern w:val="24"/>
        </w:rPr>
        <w:t>(</w:t>
      </w:r>
      <w:hyperlink r:id="rId6" w:history="1">
        <w:r w:rsidRPr="003B6ED2">
          <w:rPr>
            <w:rStyle w:val="Hyperlink"/>
            <w:rFonts w:eastAsia="+mn-ea"/>
            <w:color w:val="000000"/>
            <w:kern w:val="24"/>
          </w:rPr>
          <w:t>https://eur</w:t>
        </w:r>
        <w:r w:rsidRPr="003B6ED2">
          <w:rPr>
            <w:rStyle w:val="Hyperlink"/>
            <w:rFonts w:eastAsia="+mn-ea"/>
            <w:color w:val="000000"/>
            <w:kern w:val="24"/>
          </w:rPr>
          <w:t>o</w:t>
        </w:r>
        <w:r w:rsidRPr="003B6ED2">
          <w:rPr>
            <w:rStyle w:val="Hyperlink"/>
            <w:rFonts w:eastAsia="+mn-ea"/>
            <w:color w:val="000000"/>
            <w:kern w:val="24"/>
          </w:rPr>
          <w:t>pa.eu/youreurope/b</w:t>
        </w:r>
        <w:r w:rsidRPr="003B6ED2">
          <w:rPr>
            <w:rStyle w:val="Hyperlink"/>
            <w:rFonts w:eastAsia="+mn-ea"/>
            <w:color w:val="000000"/>
            <w:kern w:val="24"/>
          </w:rPr>
          <w:t>u</w:t>
        </w:r>
        <w:r w:rsidRPr="003B6ED2">
          <w:rPr>
            <w:rStyle w:val="Hyperlink"/>
            <w:rFonts w:eastAsia="+mn-ea"/>
            <w:color w:val="000000"/>
            <w:kern w:val="24"/>
          </w:rPr>
          <w:t>siness/product-requirements/standards/standards-in-europe/index_lv.htm</w:t>
        </w:r>
      </w:hyperlink>
      <w:r w:rsidRPr="003B6ED2">
        <w:rPr>
          <w:rFonts w:eastAsia="+mn-ea"/>
          <w:color w:val="000000"/>
          <w:kern w:val="24"/>
        </w:rPr>
        <w:t>)?</w:t>
      </w:r>
    </w:p>
    <w:p w:rsidR="00781D12" w:rsidRPr="003B6ED2" w:rsidRDefault="00781D12" w:rsidP="00781D12">
      <w:pPr>
        <w:pStyle w:val="ListParagraph"/>
        <w:spacing w:line="216" w:lineRule="auto"/>
        <w:ind w:left="1440"/>
      </w:pPr>
    </w:p>
    <w:p w:rsidR="00717968" w:rsidRPr="003B6ED2" w:rsidRDefault="00717968" w:rsidP="003B6ED2">
      <w:pPr>
        <w:spacing w:line="216" w:lineRule="auto"/>
        <w:rPr>
          <w:rFonts w:ascii="Times New Roman" w:eastAsia="Times New Roman" w:hAnsi="Times New Roman" w:cs="Times New Roman"/>
          <w:b/>
          <w:sz w:val="24"/>
          <w:szCs w:val="24"/>
        </w:rPr>
      </w:pPr>
      <w:r w:rsidRPr="003B6ED2">
        <w:rPr>
          <w:rFonts w:ascii="Times New Roman" w:eastAsia="+mn-ea" w:hAnsi="Times New Roman" w:cs="Times New Roman"/>
          <w:b/>
          <w:color w:val="000000"/>
          <w:kern w:val="24"/>
          <w:sz w:val="24"/>
          <w:szCs w:val="24"/>
        </w:rPr>
        <w:t>Apraksti starptautiskos (pasaules mēroga) standartus (veidi, pielietojums, kas uzrauga)</w:t>
      </w:r>
    </w:p>
    <w:p w:rsidR="001E4AD5" w:rsidRPr="003B6ED2" w:rsidRDefault="005E245F" w:rsidP="003B6ED2">
      <w:pPr>
        <w:pStyle w:val="ListParagraph"/>
        <w:numPr>
          <w:ilvl w:val="0"/>
          <w:numId w:val="3"/>
        </w:numPr>
        <w:spacing w:line="216" w:lineRule="auto"/>
        <w:rPr>
          <w:i/>
          <w:color w:val="1F4E79" w:themeColor="accent1" w:themeShade="80"/>
          <w:shd w:val="clear" w:color="auto" w:fill="FFFFFF"/>
        </w:rPr>
      </w:pPr>
      <w:r w:rsidRPr="003B6ED2">
        <w:rPr>
          <w:rFonts w:eastAsia="+mn-ea"/>
          <w:i/>
          <w:color w:val="1F4E79" w:themeColor="accent1" w:themeShade="80"/>
          <w:kern w:val="24"/>
        </w:rPr>
        <w:t xml:space="preserve">IFRS – starptautiskie finanšu standarti uzrauga </w:t>
      </w:r>
      <w:r w:rsidRPr="003B6ED2">
        <w:rPr>
          <w:i/>
          <w:color w:val="1F4E79" w:themeColor="accent1" w:themeShade="80"/>
          <w:shd w:val="clear" w:color="auto" w:fill="FFFFFF"/>
        </w:rPr>
        <w:t> </w:t>
      </w:r>
      <w:proofErr w:type="spellStart"/>
      <w:r w:rsidRPr="003B6ED2">
        <w:rPr>
          <w:i/>
          <w:color w:val="1F4E79" w:themeColor="accent1" w:themeShade="80"/>
          <w:shd w:val="clear" w:color="auto" w:fill="FFFFFF"/>
        </w:rPr>
        <w:t>International</w:t>
      </w:r>
      <w:proofErr w:type="spellEnd"/>
      <w:r w:rsidRPr="003B6ED2">
        <w:rPr>
          <w:i/>
          <w:color w:val="1F4E79" w:themeColor="accent1" w:themeShade="80"/>
          <w:shd w:val="clear" w:color="auto" w:fill="FFFFFF"/>
        </w:rPr>
        <w:t xml:space="preserve"> </w:t>
      </w:r>
      <w:proofErr w:type="spellStart"/>
      <w:r w:rsidRPr="003B6ED2">
        <w:rPr>
          <w:i/>
          <w:color w:val="1F4E79" w:themeColor="accent1" w:themeShade="80"/>
          <w:shd w:val="clear" w:color="auto" w:fill="FFFFFF"/>
        </w:rPr>
        <w:t>Accounting</w:t>
      </w:r>
      <w:proofErr w:type="spellEnd"/>
      <w:r w:rsidRPr="003B6ED2">
        <w:rPr>
          <w:i/>
          <w:color w:val="1F4E79" w:themeColor="accent1" w:themeShade="80"/>
          <w:shd w:val="clear" w:color="auto" w:fill="FFFFFF"/>
        </w:rPr>
        <w:t xml:space="preserve"> </w:t>
      </w:r>
      <w:proofErr w:type="spellStart"/>
      <w:r w:rsidRPr="003B6ED2">
        <w:rPr>
          <w:i/>
          <w:color w:val="1F4E79" w:themeColor="accent1" w:themeShade="80"/>
          <w:shd w:val="clear" w:color="auto" w:fill="FFFFFF"/>
        </w:rPr>
        <w:t>Standards</w:t>
      </w:r>
      <w:proofErr w:type="spellEnd"/>
      <w:r w:rsidRPr="003B6ED2">
        <w:rPr>
          <w:i/>
          <w:color w:val="1F4E79" w:themeColor="accent1" w:themeShade="80"/>
          <w:shd w:val="clear" w:color="auto" w:fill="FFFFFF"/>
        </w:rPr>
        <w:t xml:space="preserve"> </w:t>
      </w:r>
      <w:proofErr w:type="spellStart"/>
      <w:r w:rsidRPr="003B6ED2">
        <w:rPr>
          <w:i/>
          <w:color w:val="1F4E79" w:themeColor="accent1" w:themeShade="80"/>
          <w:shd w:val="clear" w:color="auto" w:fill="FFFFFF"/>
        </w:rPr>
        <w:t>Board</w:t>
      </w:r>
      <w:proofErr w:type="spellEnd"/>
      <w:r w:rsidRPr="003B6ED2">
        <w:rPr>
          <w:i/>
          <w:color w:val="1F4E79" w:themeColor="accent1" w:themeShade="80"/>
          <w:shd w:val="clear" w:color="auto" w:fill="FFFFFF"/>
        </w:rPr>
        <w:t xml:space="preserve"> (</w:t>
      </w:r>
      <w:proofErr w:type="spellStart"/>
      <w:r w:rsidRPr="003B6ED2">
        <w:rPr>
          <w:i/>
          <w:color w:val="1F4E79" w:themeColor="accent1" w:themeShade="80"/>
          <w:shd w:val="clear" w:color="auto" w:fill="FFFFFF"/>
        </w:rPr>
        <w:t>Board</w:t>
      </w:r>
      <w:proofErr w:type="spellEnd"/>
      <w:r w:rsidRPr="003B6ED2">
        <w:rPr>
          <w:i/>
          <w:color w:val="1F4E79" w:themeColor="accent1" w:themeShade="80"/>
          <w:shd w:val="clear" w:color="auto" w:fill="FFFFFF"/>
        </w:rPr>
        <w:t>)</w:t>
      </w:r>
    </w:p>
    <w:p w:rsidR="005E245F" w:rsidRPr="003B6ED2" w:rsidRDefault="005E245F" w:rsidP="005E245F">
      <w:pPr>
        <w:pStyle w:val="ListParagraph"/>
        <w:numPr>
          <w:ilvl w:val="0"/>
          <w:numId w:val="3"/>
        </w:numPr>
        <w:spacing w:line="216" w:lineRule="auto"/>
        <w:rPr>
          <w:rStyle w:val="Emphasis"/>
          <w:i w:val="0"/>
          <w:iCs w:val="0"/>
          <w:color w:val="1F4E79" w:themeColor="accent1" w:themeShade="80"/>
        </w:rPr>
      </w:pPr>
      <w:r w:rsidRPr="003B6ED2">
        <w:rPr>
          <w:i/>
          <w:color w:val="1F4E79" w:themeColor="accent1" w:themeShade="80"/>
          <w:shd w:val="clear" w:color="auto" w:fill="FFFFFF"/>
        </w:rPr>
        <w:t>Eiropas un Vidusjūras augu aizsardzības organizācijas (</w:t>
      </w:r>
      <w:proofErr w:type="spellStart"/>
      <w:r w:rsidRPr="003B6ED2">
        <w:rPr>
          <w:i/>
          <w:color w:val="1F4E79" w:themeColor="accent1" w:themeShade="80"/>
          <w:shd w:val="clear" w:color="auto" w:fill="FFFFFF"/>
        </w:rPr>
        <w:t>European</w:t>
      </w:r>
      <w:proofErr w:type="spellEnd"/>
      <w:r w:rsidRPr="003B6ED2">
        <w:rPr>
          <w:i/>
          <w:color w:val="1F4E79" w:themeColor="accent1" w:themeShade="80"/>
          <w:shd w:val="clear" w:color="auto" w:fill="FFFFFF"/>
        </w:rPr>
        <w:t xml:space="preserve"> </w:t>
      </w:r>
      <w:proofErr w:type="spellStart"/>
      <w:r w:rsidRPr="003B6ED2">
        <w:rPr>
          <w:i/>
          <w:color w:val="1F4E79" w:themeColor="accent1" w:themeShade="80"/>
          <w:shd w:val="clear" w:color="auto" w:fill="FFFFFF"/>
        </w:rPr>
        <w:t>and</w:t>
      </w:r>
      <w:proofErr w:type="spellEnd"/>
      <w:r w:rsidRPr="003B6ED2">
        <w:rPr>
          <w:i/>
          <w:color w:val="1F4E79" w:themeColor="accent1" w:themeShade="80"/>
          <w:shd w:val="clear" w:color="auto" w:fill="FFFFFF"/>
        </w:rPr>
        <w:t xml:space="preserve"> </w:t>
      </w:r>
      <w:proofErr w:type="spellStart"/>
      <w:r w:rsidRPr="003B6ED2">
        <w:rPr>
          <w:i/>
          <w:color w:val="1F4E79" w:themeColor="accent1" w:themeShade="80"/>
          <w:shd w:val="clear" w:color="auto" w:fill="FFFFFF"/>
        </w:rPr>
        <w:t>Mediterranean</w:t>
      </w:r>
      <w:proofErr w:type="spellEnd"/>
      <w:r w:rsidRPr="003B6ED2">
        <w:rPr>
          <w:i/>
          <w:color w:val="1F4E79" w:themeColor="accent1" w:themeShade="80"/>
          <w:shd w:val="clear" w:color="auto" w:fill="FFFFFF"/>
        </w:rPr>
        <w:t xml:space="preserve"> </w:t>
      </w:r>
      <w:proofErr w:type="spellStart"/>
      <w:r w:rsidRPr="003B6ED2">
        <w:rPr>
          <w:i/>
          <w:color w:val="1F4E79" w:themeColor="accent1" w:themeShade="80"/>
          <w:shd w:val="clear" w:color="auto" w:fill="FFFFFF"/>
        </w:rPr>
        <w:t>Plant</w:t>
      </w:r>
      <w:proofErr w:type="spellEnd"/>
      <w:r w:rsidRPr="003B6ED2">
        <w:rPr>
          <w:i/>
          <w:color w:val="1F4E79" w:themeColor="accent1" w:themeShade="80"/>
          <w:shd w:val="clear" w:color="auto" w:fill="FFFFFF"/>
        </w:rPr>
        <w:t xml:space="preserve"> </w:t>
      </w:r>
      <w:proofErr w:type="spellStart"/>
      <w:r w:rsidRPr="003B6ED2">
        <w:rPr>
          <w:i/>
          <w:color w:val="1F4E79" w:themeColor="accent1" w:themeShade="80"/>
          <w:shd w:val="clear" w:color="auto" w:fill="FFFFFF"/>
        </w:rPr>
        <w:t>Protection</w:t>
      </w:r>
      <w:proofErr w:type="spellEnd"/>
      <w:r w:rsidRPr="003B6ED2">
        <w:rPr>
          <w:i/>
          <w:color w:val="1F4E79" w:themeColor="accent1" w:themeShade="80"/>
          <w:shd w:val="clear" w:color="auto" w:fill="FFFFFF"/>
        </w:rPr>
        <w:t xml:space="preserve"> </w:t>
      </w:r>
      <w:proofErr w:type="spellStart"/>
      <w:r w:rsidRPr="003B6ED2">
        <w:rPr>
          <w:i/>
          <w:color w:val="1F4E79" w:themeColor="accent1" w:themeShade="80"/>
          <w:shd w:val="clear" w:color="auto" w:fill="FFFFFF"/>
        </w:rPr>
        <w:t>Organization</w:t>
      </w:r>
      <w:proofErr w:type="spellEnd"/>
      <w:r w:rsidRPr="003B6ED2">
        <w:rPr>
          <w:i/>
          <w:color w:val="1F4E79" w:themeColor="accent1" w:themeShade="80"/>
          <w:shd w:val="clear" w:color="auto" w:fill="FFFFFF"/>
        </w:rPr>
        <w:t xml:space="preserve"> – EPPO) </w:t>
      </w:r>
      <w:r w:rsidRPr="003B6ED2">
        <w:rPr>
          <w:rStyle w:val="Emphasis"/>
          <w:b/>
          <w:bCs/>
          <w:i w:val="0"/>
          <w:iCs w:val="0"/>
          <w:color w:val="1F4E79" w:themeColor="accent1" w:themeShade="80"/>
          <w:shd w:val="clear" w:color="auto" w:fill="FFFFFF"/>
        </w:rPr>
        <w:t>standarti</w:t>
      </w:r>
      <w:r w:rsidRPr="003B6ED2">
        <w:rPr>
          <w:rStyle w:val="Emphasis"/>
          <w:b/>
          <w:bCs/>
          <w:i w:val="0"/>
          <w:iCs w:val="0"/>
          <w:color w:val="1F4E79" w:themeColor="accent1" w:themeShade="80"/>
          <w:shd w:val="clear" w:color="auto" w:fill="FFFFFF"/>
        </w:rPr>
        <w:t xml:space="preserve"> VAAD - augu karantīna</w:t>
      </w:r>
    </w:p>
    <w:p w:rsidR="005E245F" w:rsidRPr="003B6ED2" w:rsidRDefault="003B6ED2" w:rsidP="005E245F">
      <w:pPr>
        <w:pStyle w:val="ListParagraph"/>
        <w:numPr>
          <w:ilvl w:val="0"/>
          <w:numId w:val="3"/>
        </w:numPr>
        <w:spacing w:line="216" w:lineRule="auto"/>
        <w:rPr>
          <w:i/>
          <w:color w:val="1F4E79" w:themeColor="accent1" w:themeShade="80"/>
        </w:rPr>
      </w:pPr>
      <w:r w:rsidRPr="003B6ED2">
        <w:rPr>
          <w:b/>
          <w:bCs/>
          <w:i/>
          <w:color w:val="1F4E79" w:themeColor="accent1" w:themeShade="80"/>
          <w:shd w:val="clear" w:color="auto" w:fill="FFFFFF"/>
        </w:rPr>
        <w:t>Starptautiskā Standartizācijas organizācija</w:t>
      </w:r>
      <w:r w:rsidRPr="003B6ED2">
        <w:rPr>
          <w:i/>
          <w:color w:val="1F4E79" w:themeColor="accent1" w:themeShade="80"/>
          <w:shd w:val="clear" w:color="auto" w:fill="FFFFFF"/>
        </w:rPr>
        <w:t> (</w:t>
      </w:r>
      <w:proofErr w:type="spellStart"/>
      <w:r w:rsidRPr="003B6ED2">
        <w:rPr>
          <w:i/>
          <w:iCs/>
          <w:color w:val="1F4E79" w:themeColor="accent1" w:themeShade="80"/>
          <w:shd w:val="clear" w:color="auto" w:fill="FFFFFF"/>
        </w:rPr>
        <w:t>International</w:t>
      </w:r>
      <w:proofErr w:type="spellEnd"/>
      <w:r w:rsidRPr="003B6ED2">
        <w:rPr>
          <w:i/>
          <w:iCs/>
          <w:color w:val="1F4E79" w:themeColor="accent1" w:themeShade="80"/>
          <w:shd w:val="clear" w:color="auto" w:fill="FFFFFF"/>
        </w:rPr>
        <w:t xml:space="preserve"> </w:t>
      </w:r>
      <w:proofErr w:type="spellStart"/>
      <w:r w:rsidRPr="003B6ED2">
        <w:rPr>
          <w:i/>
          <w:iCs/>
          <w:color w:val="1F4E79" w:themeColor="accent1" w:themeShade="80"/>
          <w:shd w:val="clear" w:color="auto" w:fill="FFFFFF"/>
        </w:rPr>
        <w:t>Organization</w:t>
      </w:r>
      <w:proofErr w:type="spellEnd"/>
      <w:r w:rsidRPr="003B6ED2">
        <w:rPr>
          <w:i/>
          <w:iCs/>
          <w:color w:val="1F4E79" w:themeColor="accent1" w:themeShade="80"/>
          <w:shd w:val="clear" w:color="auto" w:fill="FFFFFF"/>
        </w:rPr>
        <w:t xml:space="preserve"> </w:t>
      </w:r>
      <w:proofErr w:type="spellStart"/>
      <w:r w:rsidRPr="003B6ED2">
        <w:rPr>
          <w:i/>
          <w:iCs/>
          <w:color w:val="1F4E79" w:themeColor="accent1" w:themeShade="80"/>
          <w:shd w:val="clear" w:color="auto" w:fill="FFFFFF"/>
        </w:rPr>
        <w:t>for</w:t>
      </w:r>
      <w:proofErr w:type="spellEnd"/>
      <w:r w:rsidRPr="003B6ED2">
        <w:rPr>
          <w:i/>
          <w:iCs/>
          <w:color w:val="1F4E79" w:themeColor="accent1" w:themeShade="80"/>
          <w:shd w:val="clear" w:color="auto" w:fill="FFFFFF"/>
        </w:rPr>
        <w:t xml:space="preserve"> </w:t>
      </w:r>
      <w:proofErr w:type="spellStart"/>
      <w:r w:rsidRPr="003B6ED2">
        <w:rPr>
          <w:i/>
          <w:iCs/>
          <w:color w:val="1F4E79" w:themeColor="accent1" w:themeShade="80"/>
          <w:shd w:val="clear" w:color="auto" w:fill="FFFFFF"/>
        </w:rPr>
        <w:t>Standardization</w:t>
      </w:r>
      <w:proofErr w:type="spellEnd"/>
      <w:r w:rsidRPr="003B6ED2">
        <w:rPr>
          <w:i/>
          <w:iCs/>
          <w:color w:val="1F4E79" w:themeColor="accent1" w:themeShade="80"/>
          <w:shd w:val="clear" w:color="auto" w:fill="FFFFFF"/>
        </w:rPr>
        <w:t xml:space="preserve"> – ISO</w:t>
      </w:r>
      <w:r w:rsidRPr="003B6ED2">
        <w:rPr>
          <w:i/>
          <w:color w:val="1F4E79" w:themeColor="accent1" w:themeShade="80"/>
          <w:shd w:val="clear" w:color="auto" w:fill="FFFFFF"/>
        </w:rPr>
        <w:t>) ir nacionālo standartizācijas organizāciju federācija, kurā apvienojušās organizācijas no vairāk nekā 140 valstīm. Visizplatītākie standarti gan publiskajā, gan privātajā sektorā ir ISO 9000 kopas standarti (piemēram, ISO 9000:2007, ISO 9001:2008, ISO 9004:2009) saistībā ar kvalitātes vadību.</w:t>
      </w:r>
    </w:p>
    <w:p w:rsidR="003B6ED2" w:rsidRPr="003B6ED2" w:rsidRDefault="003B6ED2" w:rsidP="00B90D87">
      <w:pPr>
        <w:shd w:val="clear" w:color="auto" w:fill="FFFFFF"/>
        <w:spacing w:after="0" w:line="240" w:lineRule="auto"/>
        <w:ind w:left="1440"/>
        <w:rPr>
          <w:rFonts w:ascii="Times New Roman" w:eastAsia="Times New Roman" w:hAnsi="Times New Roman" w:cs="Times New Roman"/>
          <w:i/>
          <w:color w:val="1F4E79" w:themeColor="accent1" w:themeShade="80"/>
          <w:sz w:val="24"/>
          <w:szCs w:val="24"/>
          <w:lang w:eastAsia="lv-LV"/>
        </w:rPr>
      </w:pPr>
      <w:r w:rsidRPr="003B6ED2">
        <w:rPr>
          <w:rFonts w:ascii="Times New Roman" w:eastAsia="Times New Roman" w:hAnsi="Times New Roman" w:cs="Times New Roman"/>
          <w:i/>
          <w:color w:val="1F4E79" w:themeColor="accent1" w:themeShade="80"/>
          <w:sz w:val="24"/>
          <w:szCs w:val="24"/>
          <w:lang w:eastAsia="lv-LV"/>
        </w:rPr>
        <w:t>ISO 9001:2008 standarts nosaka, ka organizācijai neatkarīgi no nozares jāizpilda vismaz sešas obligātās prasības (tām jābūt dokumentētām):</w:t>
      </w:r>
    </w:p>
    <w:p w:rsidR="003B6ED2" w:rsidRPr="003B6ED2" w:rsidRDefault="003B6ED2" w:rsidP="003B6ED2">
      <w:pPr>
        <w:numPr>
          <w:ilvl w:val="0"/>
          <w:numId w:val="4"/>
        </w:numPr>
        <w:shd w:val="clear" w:color="auto" w:fill="FFFFFF"/>
        <w:spacing w:before="100" w:beforeAutospacing="1" w:after="75" w:line="240" w:lineRule="auto"/>
        <w:rPr>
          <w:rFonts w:ascii="Times New Roman" w:eastAsia="Times New Roman" w:hAnsi="Times New Roman" w:cs="Times New Roman"/>
          <w:i/>
          <w:color w:val="1F4E79" w:themeColor="accent1" w:themeShade="80"/>
          <w:sz w:val="24"/>
          <w:szCs w:val="24"/>
          <w:lang w:eastAsia="lv-LV"/>
        </w:rPr>
      </w:pPr>
      <w:r w:rsidRPr="003B6ED2">
        <w:rPr>
          <w:rFonts w:ascii="Times New Roman" w:eastAsia="Times New Roman" w:hAnsi="Times New Roman" w:cs="Times New Roman"/>
          <w:i/>
          <w:color w:val="1F4E79" w:themeColor="accent1" w:themeShade="80"/>
          <w:sz w:val="24"/>
          <w:szCs w:val="24"/>
          <w:lang w:eastAsia="lv-LV"/>
        </w:rPr>
        <w:t>dokumentu vadība;</w:t>
      </w:r>
    </w:p>
    <w:p w:rsidR="003B6ED2" w:rsidRPr="003B6ED2" w:rsidRDefault="003B6ED2" w:rsidP="003B6ED2">
      <w:pPr>
        <w:numPr>
          <w:ilvl w:val="0"/>
          <w:numId w:val="4"/>
        </w:numPr>
        <w:shd w:val="clear" w:color="auto" w:fill="FFFFFF"/>
        <w:spacing w:before="100" w:beforeAutospacing="1" w:after="75" w:line="240" w:lineRule="auto"/>
        <w:rPr>
          <w:rFonts w:ascii="Times New Roman" w:eastAsia="Times New Roman" w:hAnsi="Times New Roman" w:cs="Times New Roman"/>
          <w:i/>
          <w:color w:val="1F4E79" w:themeColor="accent1" w:themeShade="80"/>
          <w:sz w:val="24"/>
          <w:szCs w:val="24"/>
          <w:lang w:eastAsia="lv-LV"/>
        </w:rPr>
      </w:pPr>
      <w:r w:rsidRPr="003B6ED2">
        <w:rPr>
          <w:rFonts w:ascii="Times New Roman" w:eastAsia="Times New Roman" w:hAnsi="Times New Roman" w:cs="Times New Roman"/>
          <w:i/>
          <w:color w:val="1F4E79" w:themeColor="accent1" w:themeShade="80"/>
          <w:sz w:val="24"/>
          <w:szCs w:val="24"/>
          <w:lang w:eastAsia="lv-LV"/>
        </w:rPr>
        <w:t>pierakstu vadība;</w:t>
      </w:r>
    </w:p>
    <w:p w:rsidR="003B6ED2" w:rsidRPr="003B6ED2" w:rsidRDefault="003B6ED2" w:rsidP="003B6ED2">
      <w:pPr>
        <w:numPr>
          <w:ilvl w:val="0"/>
          <w:numId w:val="4"/>
        </w:numPr>
        <w:shd w:val="clear" w:color="auto" w:fill="FFFFFF"/>
        <w:spacing w:before="100" w:beforeAutospacing="1" w:after="75" w:line="240" w:lineRule="auto"/>
        <w:rPr>
          <w:rFonts w:ascii="Times New Roman" w:eastAsia="Times New Roman" w:hAnsi="Times New Roman" w:cs="Times New Roman"/>
          <w:i/>
          <w:color w:val="1F4E79" w:themeColor="accent1" w:themeShade="80"/>
          <w:sz w:val="24"/>
          <w:szCs w:val="24"/>
          <w:lang w:eastAsia="lv-LV"/>
        </w:rPr>
      </w:pPr>
      <w:r w:rsidRPr="003B6ED2">
        <w:rPr>
          <w:rFonts w:ascii="Times New Roman" w:eastAsia="Times New Roman" w:hAnsi="Times New Roman" w:cs="Times New Roman"/>
          <w:i/>
          <w:color w:val="1F4E79" w:themeColor="accent1" w:themeShade="80"/>
          <w:sz w:val="24"/>
          <w:szCs w:val="24"/>
          <w:lang w:eastAsia="lv-LV"/>
        </w:rPr>
        <w:t>iekšējais audits;</w:t>
      </w:r>
    </w:p>
    <w:p w:rsidR="003B6ED2" w:rsidRPr="003B6ED2" w:rsidRDefault="003B6ED2" w:rsidP="003B6ED2">
      <w:pPr>
        <w:numPr>
          <w:ilvl w:val="0"/>
          <w:numId w:val="4"/>
        </w:numPr>
        <w:shd w:val="clear" w:color="auto" w:fill="FFFFFF"/>
        <w:spacing w:before="100" w:beforeAutospacing="1" w:after="75" w:line="240" w:lineRule="auto"/>
        <w:rPr>
          <w:rFonts w:ascii="Times New Roman" w:eastAsia="Times New Roman" w:hAnsi="Times New Roman" w:cs="Times New Roman"/>
          <w:i/>
          <w:color w:val="1F4E79" w:themeColor="accent1" w:themeShade="80"/>
          <w:sz w:val="24"/>
          <w:szCs w:val="24"/>
          <w:lang w:eastAsia="lv-LV"/>
        </w:rPr>
      </w:pPr>
      <w:r w:rsidRPr="003B6ED2">
        <w:rPr>
          <w:rFonts w:ascii="Times New Roman" w:eastAsia="Times New Roman" w:hAnsi="Times New Roman" w:cs="Times New Roman"/>
          <w:i/>
          <w:color w:val="1F4E79" w:themeColor="accent1" w:themeShade="80"/>
          <w:sz w:val="24"/>
          <w:szCs w:val="24"/>
          <w:lang w:eastAsia="lv-LV"/>
        </w:rPr>
        <w:t>neatbilstoša produkta vadība;</w:t>
      </w:r>
    </w:p>
    <w:p w:rsidR="003B6ED2" w:rsidRPr="003B6ED2" w:rsidRDefault="003B6ED2" w:rsidP="003B6ED2">
      <w:pPr>
        <w:numPr>
          <w:ilvl w:val="0"/>
          <w:numId w:val="4"/>
        </w:numPr>
        <w:shd w:val="clear" w:color="auto" w:fill="FFFFFF"/>
        <w:spacing w:before="100" w:beforeAutospacing="1" w:after="75" w:line="240" w:lineRule="auto"/>
        <w:rPr>
          <w:rFonts w:ascii="Times New Roman" w:eastAsia="Times New Roman" w:hAnsi="Times New Roman" w:cs="Times New Roman"/>
          <w:i/>
          <w:color w:val="1F4E79" w:themeColor="accent1" w:themeShade="80"/>
          <w:sz w:val="24"/>
          <w:szCs w:val="24"/>
          <w:lang w:eastAsia="lv-LV"/>
        </w:rPr>
      </w:pPr>
      <w:r w:rsidRPr="003B6ED2">
        <w:rPr>
          <w:rFonts w:ascii="Times New Roman" w:eastAsia="Times New Roman" w:hAnsi="Times New Roman" w:cs="Times New Roman"/>
          <w:i/>
          <w:color w:val="1F4E79" w:themeColor="accent1" w:themeShade="80"/>
          <w:sz w:val="24"/>
          <w:szCs w:val="24"/>
          <w:lang w:eastAsia="lv-LV"/>
        </w:rPr>
        <w:t>korektīvās darbības;</w:t>
      </w:r>
    </w:p>
    <w:p w:rsidR="003B6ED2" w:rsidRPr="003B6ED2" w:rsidRDefault="003B6ED2" w:rsidP="003B6ED2">
      <w:pPr>
        <w:numPr>
          <w:ilvl w:val="0"/>
          <w:numId w:val="4"/>
        </w:numPr>
        <w:shd w:val="clear" w:color="auto" w:fill="FFFFFF"/>
        <w:spacing w:before="100" w:beforeAutospacing="1" w:after="75" w:line="240" w:lineRule="auto"/>
        <w:rPr>
          <w:rFonts w:ascii="Times New Roman" w:eastAsia="Times New Roman" w:hAnsi="Times New Roman" w:cs="Times New Roman"/>
          <w:i/>
          <w:color w:val="1F4E79" w:themeColor="accent1" w:themeShade="80"/>
          <w:sz w:val="24"/>
          <w:szCs w:val="24"/>
          <w:lang w:eastAsia="lv-LV"/>
        </w:rPr>
      </w:pPr>
      <w:r w:rsidRPr="003B6ED2">
        <w:rPr>
          <w:rFonts w:ascii="Times New Roman" w:eastAsia="Times New Roman" w:hAnsi="Times New Roman" w:cs="Times New Roman"/>
          <w:i/>
          <w:color w:val="1F4E79" w:themeColor="accent1" w:themeShade="80"/>
          <w:sz w:val="24"/>
          <w:szCs w:val="24"/>
          <w:lang w:eastAsia="lv-LV"/>
        </w:rPr>
        <w:t>preventīvās darbības.</w:t>
      </w:r>
    </w:p>
    <w:p w:rsidR="003B6ED2" w:rsidRPr="003B6ED2" w:rsidRDefault="003B6ED2" w:rsidP="003B6ED2">
      <w:pPr>
        <w:pStyle w:val="ListParagraph"/>
        <w:spacing w:line="216" w:lineRule="auto"/>
        <w:ind w:left="1440"/>
      </w:pPr>
    </w:p>
    <w:p w:rsidR="00515307" w:rsidRPr="00B90D87" w:rsidRDefault="00B90D87" w:rsidP="00B90D87">
      <w:pPr>
        <w:pStyle w:val="ListParagraph"/>
        <w:numPr>
          <w:ilvl w:val="0"/>
          <w:numId w:val="6"/>
        </w:numPr>
        <w:rPr>
          <w:rFonts w:ascii="Arial" w:hAnsi="Arial" w:cs="Arial"/>
          <w:i/>
          <w:color w:val="1F4E79" w:themeColor="accent1" w:themeShade="80"/>
          <w:shd w:val="clear" w:color="auto" w:fill="FFFFFF"/>
        </w:rPr>
      </w:pPr>
      <w:r w:rsidRPr="00B90D87">
        <w:rPr>
          <w:rFonts w:ascii="Arial" w:hAnsi="Arial" w:cs="Arial"/>
          <w:i/>
          <w:color w:val="1F4E79" w:themeColor="accent1" w:themeShade="80"/>
          <w:shd w:val="clear" w:color="auto" w:fill="FFFFFF"/>
        </w:rPr>
        <w:lastRenderedPageBreak/>
        <w:t xml:space="preserve">NATO </w:t>
      </w:r>
      <w:proofErr w:type="spellStart"/>
      <w:r w:rsidRPr="00B90D87">
        <w:rPr>
          <w:rFonts w:ascii="Arial" w:hAnsi="Arial" w:cs="Arial"/>
          <w:i/>
          <w:color w:val="1F4E79" w:themeColor="accent1" w:themeShade="80"/>
          <w:shd w:val="clear" w:color="auto" w:fill="FFFFFF"/>
        </w:rPr>
        <w:t>STANDardizācijas</w:t>
      </w:r>
      <w:proofErr w:type="spellEnd"/>
      <w:r w:rsidRPr="00B90D87">
        <w:rPr>
          <w:rFonts w:ascii="Arial" w:hAnsi="Arial" w:cs="Arial"/>
          <w:i/>
          <w:color w:val="1F4E79" w:themeColor="accent1" w:themeShade="80"/>
          <w:shd w:val="clear" w:color="auto" w:fill="FFFFFF"/>
        </w:rPr>
        <w:t xml:space="preserve"> līgums (STANAG) nosaka procesus, procedūras, noteikumus un nosacījumus kopīgām militārām vai tehniskām procedūrām vai aprīkojumam starp alianses dalībvalstīm. Katra NATO valsts apstiprina STANAG un īsteno to savā armijā. Tās mērķis ir nodrošināt kopīgas operatīvās un administratīvās procedūras un loģistiku, lai vienas dalībvalsts armija varētu izmantot citas dalībvalsts armijas veikalus un atbalstu. STANAG nodrošina arī tehniskās sadarb</w:t>
      </w:r>
      <w:r w:rsidR="00111094">
        <w:rPr>
          <w:rFonts w:ascii="Arial" w:hAnsi="Arial" w:cs="Arial"/>
          <w:i/>
          <w:color w:val="1F4E79" w:themeColor="accent1" w:themeShade="80"/>
          <w:shd w:val="clear" w:color="auto" w:fill="FFFFFF"/>
        </w:rPr>
        <w:t xml:space="preserve">ības </w:t>
      </w:r>
      <w:r w:rsidRPr="00B90D87">
        <w:rPr>
          <w:rFonts w:ascii="Arial" w:hAnsi="Arial" w:cs="Arial"/>
          <w:i/>
          <w:color w:val="1F4E79" w:themeColor="accent1" w:themeShade="80"/>
          <w:shd w:val="clear" w:color="auto" w:fill="FFFFFF"/>
        </w:rPr>
        <w:t>spējas starp NATO un plašo sakaru un informācijas sistēmu (CIS) klāstu, kas vajadzīgs sabiedroto operācijām. </w:t>
      </w:r>
    </w:p>
    <w:p w:rsidR="00B90D87" w:rsidRPr="00B90D87" w:rsidRDefault="00B90D87" w:rsidP="00B90D87">
      <w:pPr>
        <w:ind w:left="720"/>
        <w:rPr>
          <w:rFonts w:ascii="Times New Roman" w:hAnsi="Times New Roman" w:cs="Times New Roman"/>
          <w:i/>
          <w:color w:val="1F4E79" w:themeColor="accent1" w:themeShade="80"/>
          <w:sz w:val="24"/>
          <w:szCs w:val="24"/>
        </w:rPr>
      </w:pPr>
      <w:r w:rsidRPr="00B90D87">
        <w:rPr>
          <w:rFonts w:ascii="Arial" w:hAnsi="Arial" w:cs="Arial"/>
          <w:i/>
          <w:color w:val="1F4E79" w:themeColor="accent1" w:themeShade="80"/>
          <w:shd w:val="clear" w:color="auto" w:fill="FFFFFF"/>
        </w:rPr>
        <w:t>STANAG standartus publicē NATO Standartizācijas birojs Briselē, divās oficiālajās valodās - angļu un franču valodā.</w:t>
      </w:r>
      <w:bookmarkStart w:id="0" w:name="_GoBack"/>
      <w:bookmarkEnd w:id="0"/>
    </w:p>
    <w:sectPr w:rsidR="00B90D87" w:rsidRPr="00B90D87" w:rsidSect="0071796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BA"/>
    <w:family w:val="swiss"/>
    <w:pitch w:val="variable"/>
    <w:sig w:usb0="E0002AFF" w:usb1="C0007843" w:usb2="00000009" w:usb3="00000000" w:csb0="000001FF" w:csb1="00000000"/>
  </w:font>
  <w:font w:name="Times New Roman">
    <w:panose1 w:val="02020603050405020304"/>
    <w:charset w:val="BA"/>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BA"/>
    <w:family w:val="swiss"/>
    <w:pitch w:val="variable"/>
    <w:sig w:usb0="E0002AFF" w:usb1="4000ACFF" w:usb2="00000001" w:usb3="00000000" w:csb0="000001FF" w:csb1="00000000"/>
  </w:font>
  <w:font w:name="+mn-ea">
    <w:panose1 w:val="00000000000000000000"/>
    <w:charset w:val="00"/>
    <w:family w:val="roman"/>
    <w:notTrueType/>
    <w:pitch w:val="default"/>
  </w:font>
  <w:font w:name="Calibri Light">
    <w:panose1 w:val="020F0302020204030204"/>
    <w:charset w:val="BA"/>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13360A"/>
    <w:multiLevelType w:val="hybridMultilevel"/>
    <w:tmpl w:val="BB065B20"/>
    <w:lvl w:ilvl="0" w:tplc="37B0BC52">
      <w:start w:val="1"/>
      <w:numFmt w:val="bullet"/>
      <w:lvlText w:val="•"/>
      <w:lvlJc w:val="left"/>
      <w:pPr>
        <w:tabs>
          <w:tab w:val="num" w:pos="720"/>
        </w:tabs>
        <w:ind w:left="720" w:hanging="360"/>
      </w:pPr>
      <w:rPr>
        <w:rFonts w:ascii="Arial" w:hAnsi="Arial" w:hint="default"/>
      </w:rPr>
    </w:lvl>
    <w:lvl w:ilvl="1" w:tplc="29E817AE" w:tentative="1">
      <w:start w:val="1"/>
      <w:numFmt w:val="bullet"/>
      <w:lvlText w:val="•"/>
      <w:lvlJc w:val="left"/>
      <w:pPr>
        <w:tabs>
          <w:tab w:val="num" w:pos="1440"/>
        </w:tabs>
        <w:ind w:left="1440" w:hanging="360"/>
      </w:pPr>
      <w:rPr>
        <w:rFonts w:ascii="Arial" w:hAnsi="Arial" w:hint="default"/>
      </w:rPr>
    </w:lvl>
    <w:lvl w:ilvl="2" w:tplc="D1DC6CCC" w:tentative="1">
      <w:start w:val="1"/>
      <w:numFmt w:val="bullet"/>
      <w:lvlText w:val="•"/>
      <w:lvlJc w:val="left"/>
      <w:pPr>
        <w:tabs>
          <w:tab w:val="num" w:pos="2160"/>
        </w:tabs>
        <w:ind w:left="2160" w:hanging="360"/>
      </w:pPr>
      <w:rPr>
        <w:rFonts w:ascii="Arial" w:hAnsi="Arial" w:hint="default"/>
      </w:rPr>
    </w:lvl>
    <w:lvl w:ilvl="3" w:tplc="45148C38" w:tentative="1">
      <w:start w:val="1"/>
      <w:numFmt w:val="bullet"/>
      <w:lvlText w:val="•"/>
      <w:lvlJc w:val="left"/>
      <w:pPr>
        <w:tabs>
          <w:tab w:val="num" w:pos="2880"/>
        </w:tabs>
        <w:ind w:left="2880" w:hanging="360"/>
      </w:pPr>
      <w:rPr>
        <w:rFonts w:ascii="Arial" w:hAnsi="Arial" w:hint="default"/>
      </w:rPr>
    </w:lvl>
    <w:lvl w:ilvl="4" w:tplc="E7C63B72" w:tentative="1">
      <w:start w:val="1"/>
      <w:numFmt w:val="bullet"/>
      <w:lvlText w:val="•"/>
      <w:lvlJc w:val="left"/>
      <w:pPr>
        <w:tabs>
          <w:tab w:val="num" w:pos="3600"/>
        </w:tabs>
        <w:ind w:left="3600" w:hanging="360"/>
      </w:pPr>
      <w:rPr>
        <w:rFonts w:ascii="Arial" w:hAnsi="Arial" w:hint="default"/>
      </w:rPr>
    </w:lvl>
    <w:lvl w:ilvl="5" w:tplc="049E8D88" w:tentative="1">
      <w:start w:val="1"/>
      <w:numFmt w:val="bullet"/>
      <w:lvlText w:val="•"/>
      <w:lvlJc w:val="left"/>
      <w:pPr>
        <w:tabs>
          <w:tab w:val="num" w:pos="4320"/>
        </w:tabs>
        <w:ind w:left="4320" w:hanging="360"/>
      </w:pPr>
      <w:rPr>
        <w:rFonts w:ascii="Arial" w:hAnsi="Arial" w:hint="default"/>
      </w:rPr>
    </w:lvl>
    <w:lvl w:ilvl="6" w:tplc="237E2622" w:tentative="1">
      <w:start w:val="1"/>
      <w:numFmt w:val="bullet"/>
      <w:lvlText w:val="•"/>
      <w:lvlJc w:val="left"/>
      <w:pPr>
        <w:tabs>
          <w:tab w:val="num" w:pos="5040"/>
        </w:tabs>
        <w:ind w:left="5040" w:hanging="360"/>
      </w:pPr>
      <w:rPr>
        <w:rFonts w:ascii="Arial" w:hAnsi="Arial" w:hint="default"/>
      </w:rPr>
    </w:lvl>
    <w:lvl w:ilvl="7" w:tplc="5380B0A4" w:tentative="1">
      <w:start w:val="1"/>
      <w:numFmt w:val="bullet"/>
      <w:lvlText w:val="•"/>
      <w:lvlJc w:val="left"/>
      <w:pPr>
        <w:tabs>
          <w:tab w:val="num" w:pos="5760"/>
        </w:tabs>
        <w:ind w:left="5760" w:hanging="360"/>
      </w:pPr>
      <w:rPr>
        <w:rFonts w:ascii="Arial" w:hAnsi="Arial" w:hint="default"/>
      </w:rPr>
    </w:lvl>
    <w:lvl w:ilvl="8" w:tplc="F666677A"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2BD53ECA"/>
    <w:multiLevelType w:val="hybridMultilevel"/>
    <w:tmpl w:val="317A636E"/>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2" w15:restartNumberingAfterBreak="0">
    <w:nsid w:val="32424088"/>
    <w:multiLevelType w:val="hybridMultilevel"/>
    <w:tmpl w:val="CB6C6CAC"/>
    <w:lvl w:ilvl="0" w:tplc="7BA29496">
      <w:start w:val="1"/>
      <w:numFmt w:val="bullet"/>
      <w:lvlText w:val="•"/>
      <w:lvlJc w:val="left"/>
      <w:pPr>
        <w:tabs>
          <w:tab w:val="num" w:pos="720"/>
        </w:tabs>
        <w:ind w:left="720" w:hanging="360"/>
      </w:pPr>
      <w:rPr>
        <w:rFonts w:ascii="Arial" w:hAnsi="Arial" w:hint="default"/>
      </w:rPr>
    </w:lvl>
    <w:lvl w:ilvl="1" w:tplc="A5DC7EDC">
      <w:numFmt w:val="bullet"/>
      <w:lvlText w:val="•"/>
      <w:lvlJc w:val="left"/>
      <w:pPr>
        <w:tabs>
          <w:tab w:val="num" w:pos="1440"/>
        </w:tabs>
        <w:ind w:left="1440" w:hanging="360"/>
      </w:pPr>
      <w:rPr>
        <w:rFonts w:ascii="Arial" w:hAnsi="Arial" w:hint="default"/>
      </w:rPr>
    </w:lvl>
    <w:lvl w:ilvl="2" w:tplc="3D52F030" w:tentative="1">
      <w:start w:val="1"/>
      <w:numFmt w:val="bullet"/>
      <w:lvlText w:val="•"/>
      <w:lvlJc w:val="left"/>
      <w:pPr>
        <w:tabs>
          <w:tab w:val="num" w:pos="2160"/>
        </w:tabs>
        <w:ind w:left="2160" w:hanging="360"/>
      </w:pPr>
      <w:rPr>
        <w:rFonts w:ascii="Arial" w:hAnsi="Arial" w:hint="default"/>
      </w:rPr>
    </w:lvl>
    <w:lvl w:ilvl="3" w:tplc="EB9A3240" w:tentative="1">
      <w:start w:val="1"/>
      <w:numFmt w:val="bullet"/>
      <w:lvlText w:val="•"/>
      <w:lvlJc w:val="left"/>
      <w:pPr>
        <w:tabs>
          <w:tab w:val="num" w:pos="2880"/>
        </w:tabs>
        <w:ind w:left="2880" w:hanging="360"/>
      </w:pPr>
      <w:rPr>
        <w:rFonts w:ascii="Arial" w:hAnsi="Arial" w:hint="default"/>
      </w:rPr>
    </w:lvl>
    <w:lvl w:ilvl="4" w:tplc="3FA4FDC6" w:tentative="1">
      <w:start w:val="1"/>
      <w:numFmt w:val="bullet"/>
      <w:lvlText w:val="•"/>
      <w:lvlJc w:val="left"/>
      <w:pPr>
        <w:tabs>
          <w:tab w:val="num" w:pos="3600"/>
        </w:tabs>
        <w:ind w:left="3600" w:hanging="360"/>
      </w:pPr>
      <w:rPr>
        <w:rFonts w:ascii="Arial" w:hAnsi="Arial" w:hint="default"/>
      </w:rPr>
    </w:lvl>
    <w:lvl w:ilvl="5" w:tplc="49E8D01C" w:tentative="1">
      <w:start w:val="1"/>
      <w:numFmt w:val="bullet"/>
      <w:lvlText w:val="•"/>
      <w:lvlJc w:val="left"/>
      <w:pPr>
        <w:tabs>
          <w:tab w:val="num" w:pos="4320"/>
        </w:tabs>
        <w:ind w:left="4320" w:hanging="360"/>
      </w:pPr>
      <w:rPr>
        <w:rFonts w:ascii="Arial" w:hAnsi="Arial" w:hint="default"/>
      </w:rPr>
    </w:lvl>
    <w:lvl w:ilvl="6" w:tplc="3C063EE6" w:tentative="1">
      <w:start w:val="1"/>
      <w:numFmt w:val="bullet"/>
      <w:lvlText w:val="•"/>
      <w:lvlJc w:val="left"/>
      <w:pPr>
        <w:tabs>
          <w:tab w:val="num" w:pos="5040"/>
        </w:tabs>
        <w:ind w:left="5040" w:hanging="360"/>
      </w:pPr>
      <w:rPr>
        <w:rFonts w:ascii="Arial" w:hAnsi="Arial" w:hint="default"/>
      </w:rPr>
    </w:lvl>
    <w:lvl w:ilvl="7" w:tplc="90521656" w:tentative="1">
      <w:start w:val="1"/>
      <w:numFmt w:val="bullet"/>
      <w:lvlText w:val="•"/>
      <w:lvlJc w:val="left"/>
      <w:pPr>
        <w:tabs>
          <w:tab w:val="num" w:pos="5760"/>
        </w:tabs>
        <w:ind w:left="5760" w:hanging="360"/>
      </w:pPr>
      <w:rPr>
        <w:rFonts w:ascii="Arial" w:hAnsi="Arial" w:hint="default"/>
      </w:rPr>
    </w:lvl>
    <w:lvl w:ilvl="8" w:tplc="20C20388"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44221002"/>
    <w:multiLevelType w:val="multilevel"/>
    <w:tmpl w:val="C36CA63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72685D"/>
    <w:multiLevelType w:val="multilevel"/>
    <w:tmpl w:val="FFF85CD0"/>
    <w:lvl w:ilvl="0">
      <w:start w:val="1"/>
      <w:numFmt w:val="decimal"/>
      <w:lvlText w:val="%1."/>
      <w:lvlJc w:val="left"/>
      <w:pPr>
        <w:tabs>
          <w:tab w:val="num" w:pos="1777"/>
        </w:tabs>
        <w:ind w:left="1777" w:hanging="360"/>
      </w:pPr>
    </w:lvl>
    <w:lvl w:ilvl="1" w:tentative="1">
      <w:start w:val="1"/>
      <w:numFmt w:val="decimal"/>
      <w:lvlText w:val="%2."/>
      <w:lvlJc w:val="left"/>
      <w:pPr>
        <w:tabs>
          <w:tab w:val="num" w:pos="2497"/>
        </w:tabs>
        <w:ind w:left="2497" w:hanging="360"/>
      </w:pPr>
    </w:lvl>
    <w:lvl w:ilvl="2" w:tentative="1">
      <w:start w:val="1"/>
      <w:numFmt w:val="decimal"/>
      <w:lvlText w:val="%3."/>
      <w:lvlJc w:val="left"/>
      <w:pPr>
        <w:tabs>
          <w:tab w:val="num" w:pos="3217"/>
        </w:tabs>
        <w:ind w:left="3217" w:hanging="360"/>
      </w:pPr>
    </w:lvl>
    <w:lvl w:ilvl="3" w:tentative="1">
      <w:start w:val="1"/>
      <w:numFmt w:val="decimal"/>
      <w:lvlText w:val="%4."/>
      <w:lvlJc w:val="left"/>
      <w:pPr>
        <w:tabs>
          <w:tab w:val="num" w:pos="3937"/>
        </w:tabs>
        <w:ind w:left="3937" w:hanging="360"/>
      </w:pPr>
    </w:lvl>
    <w:lvl w:ilvl="4" w:tentative="1">
      <w:start w:val="1"/>
      <w:numFmt w:val="decimal"/>
      <w:lvlText w:val="%5."/>
      <w:lvlJc w:val="left"/>
      <w:pPr>
        <w:tabs>
          <w:tab w:val="num" w:pos="4657"/>
        </w:tabs>
        <w:ind w:left="4657" w:hanging="360"/>
      </w:pPr>
    </w:lvl>
    <w:lvl w:ilvl="5" w:tentative="1">
      <w:start w:val="1"/>
      <w:numFmt w:val="decimal"/>
      <w:lvlText w:val="%6."/>
      <w:lvlJc w:val="left"/>
      <w:pPr>
        <w:tabs>
          <w:tab w:val="num" w:pos="5377"/>
        </w:tabs>
        <w:ind w:left="5377" w:hanging="360"/>
      </w:pPr>
    </w:lvl>
    <w:lvl w:ilvl="6" w:tentative="1">
      <w:start w:val="1"/>
      <w:numFmt w:val="decimal"/>
      <w:lvlText w:val="%7."/>
      <w:lvlJc w:val="left"/>
      <w:pPr>
        <w:tabs>
          <w:tab w:val="num" w:pos="6097"/>
        </w:tabs>
        <w:ind w:left="6097" w:hanging="360"/>
      </w:pPr>
    </w:lvl>
    <w:lvl w:ilvl="7" w:tentative="1">
      <w:start w:val="1"/>
      <w:numFmt w:val="decimal"/>
      <w:lvlText w:val="%8."/>
      <w:lvlJc w:val="left"/>
      <w:pPr>
        <w:tabs>
          <w:tab w:val="num" w:pos="6817"/>
        </w:tabs>
        <w:ind w:left="6817" w:hanging="360"/>
      </w:pPr>
    </w:lvl>
    <w:lvl w:ilvl="8" w:tentative="1">
      <w:start w:val="1"/>
      <w:numFmt w:val="decimal"/>
      <w:lvlText w:val="%9."/>
      <w:lvlJc w:val="left"/>
      <w:pPr>
        <w:tabs>
          <w:tab w:val="num" w:pos="7537"/>
        </w:tabs>
        <w:ind w:left="7537" w:hanging="360"/>
      </w:pPr>
    </w:lvl>
  </w:abstractNum>
  <w:abstractNum w:abstractNumId="5" w15:restartNumberingAfterBreak="0">
    <w:nsid w:val="6C717D90"/>
    <w:multiLevelType w:val="hybridMultilevel"/>
    <w:tmpl w:val="146E2246"/>
    <w:lvl w:ilvl="0" w:tplc="04260001">
      <w:start w:val="1"/>
      <w:numFmt w:val="bullet"/>
      <w:lvlText w:val=""/>
      <w:lvlJc w:val="left"/>
      <w:pPr>
        <w:ind w:left="1440" w:hanging="360"/>
      </w:pPr>
      <w:rPr>
        <w:rFonts w:ascii="Symbol" w:hAnsi="Symbol" w:hint="default"/>
      </w:rPr>
    </w:lvl>
    <w:lvl w:ilvl="1" w:tplc="04260003" w:tentative="1">
      <w:start w:val="1"/>
      <w:numFmt w:val="bullet"/>
      <w:lvlText w:val="o"/>
      <w:lvlJc w:val="left"/>
      <w:pPr>
        <w:ind w:left="2160" w:hanging="360"/>
      </w:pPr>
      <w:rPr>
        <w:rFonts w:ascii="Courier New" w:hAnsi="Courier New" w:cs="Courier New" w:hint="default"/>
      </w:rPr>
    </w:lvl>
    <w:lvl w:ilvl="2" w:tplc="04260005" w:tentative="1">
      <w:start w:val="1"/>
      <w:numFmt w:val="bullet"/>
      <w:lvlText w:val=""/>
      <w:lvlJc w:val="left"/>
      <w:pPr>
        <w:ind w:left="2880" w:hanging="360"/>
      </w:pPr>
      <w:rPr>
        <w:rFonts w:ascii="Wingdings" w:hAnsi="Wingdings" w:hint="default"/>
      </w:rPr>
    </w:lvl>
    <w:lvl w:ilvl="3" w:tplc="04260001" w:tentative="1">
      <w:start w:val="1"/>
      <w:numFmt w:val="bullet"/>
      <w:lvlText w:val=""/>
      <w:lvlJc w:val="left"/>
      <w:pPr>
        <w:ind w:left="3600" w:hanging="360"/>
      </w:pPr>
      <w:rPr>
        <w:rFonts w:ascii="Symbol" w:hAnsi="Symbol" w:hint="default"/>
      </w:rPr>
    </w:lvl>
    <w:lvl w:ilvl="4" w:tplc="04260003" w:tentative="1">
      <w:start w:val="1"/>
      <w:numFmt w:val="bullet"/>
      <w:lvlText w:val="o"/>
      <w:lvlJc w:val="left"/>
      <w:pPr>
        <w:ind w:left="4320" w:hanging="360"/>
      </w:pPr>
      <w:rPr>
        <w:rFonts w:ascii="Courier New" w:hAnsi="Courier New" w:cs="Courier New" w:hint="default"/>
      </w:rPr>
    </w:lvl>
    <w:lvl w:ilvl="5" w:tplc="04260005" w:tentative="1">
      <w:start w:val="1"/>
      <w:numFmt w:val="bullet"/>
      <w:lvlText w:val=""/>
      <w:lvlJc w:val="left"/>
      <w:pPr>
        <w:ind w:left="5040" w:hanging="360"/>
      </w:pPr>
      <w:rPr>
        <w:rFonts w:ascii="Wingdings" w:hAnsi="Wingdings" w:hint="default"/>
      </w:rPr>
    </w:lvl>
    <w:lvl w:ilvl="6" w:tplc="04260001" w:tentative="1">
      <w:start w:val="1"/>
      <w:numFmt w:val="bullet"/>
      <w:lvlText w:val=""/>
      <w:lvlJc w:val="left"/>
      <w:pPr>
        <w:ind w:left="5760" w:hanging="360"/>
      </w:pPr>
      <w:rPr>
        <w:rFonts w:ascii="Symbol" w:hAnsi="Symbol" w:hint="default"/>
      </w:rPr>
    </w:lvl>
    <w:lvl w:ilvl="7" w:tplc="04260003" w:tentative="1">
      <w:start w:val="1"/>
      <w:numFmt w:val="bullet"/>
      <w:lvlText w:val="o"/>
      <w:lvlJc w:val="left"/>
      <w:pPr>
        <w:ind w:left="6480" w:hanging="360"/>
      </w:pPr>
      <w:rPr>
        <w:rFonts w:ascii="Courier New" w:hAnsi="Courier New" w:cs="Courier New" w:hint="default"/>
      </w:rPr>
    </w:lvl>
    <w:lvl w:ilvl="8" w:tplc="04260005" w:tentative="1">
      <w:start w:val="1"/>
      <w:numFmt w:val="bullet"/>
      <w:lvlText w:val=""/>
      <w:lvlJc w:val="left"/>
      <w:pPr>
        <w:ind w:left="7200" w:hanging="360"/>
      </w:pPr>
      <w:rPr>
        <w:rFonts w:ascii="Wingdings" w:hAnsi="Wingdings" w:hint="default"/>
      </w:rPr>
    </w:lvl>
  </w:abstractNum>
  <w:num w:numId="1">
    <w:abstractNumId w:val="2"/>
  </w:num>
  <w:num w:numId="2">
    <w:abstractNumId w:val="3"/>
  </w:num>
  <w:num w:numId="3">
    <w:abstractNumId w:val="5"/>
  </w:num>
  <w:num w:numId="4">
    <w:abstractNumId w:val="4"/>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7968"/>
    <w:rsid w:val="00111094"/>
    <w:rsid w:val="001E4AD5"/>
    <w:rsid w:val="003B6ED2"/>
    <w:rsid w:val="00515307"/>
    <w:rsid w:val="005E245F"/>
    <w:rsid w:val="00717968"/>
    <w:rsid w:val="00781D12"/>
    <w:rsid w:val="007E11E3"/>
    <w:rsid w:val="007F4E85"/>
    <w:rsid w:val="00B90D87"/>
    <w:rsid w:val="00C22E2B"/>
  </w:rsids>
  <m:mathPr>
    <m:mathFont m:val="Cambria Math"/>
    <m:brkBin m:val="before"/>
    <m:brkBinSub m:val="--"/>
    <m:smallFrac m:val="0"/>
    <m:dispDef/>
    <m:lMargin m:val="0"/>
    <m:rMargin m:val="0"/>
    <m:defJc m:val="centerGroup"/>
    <m:wrapIndent m:val="1440"/>
    <m:intLim m:val="subSup"/>
    <m:naryLim m:val="undOvr"/>
  </m:mathPr>
  <w:themeFontLang w:val="lv-L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BA2A9"/>
  <w15:chartTrackingRefBased/>
  <w15:docId w15:val="{C67997F9-CE44-4A0C-8154-267CD1D75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lv-LV"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717968"/>
    <w:rPr>
      <w:color w:val="0000FF"/>
      <w:u w:val="single"/>
    </w:rPr>
  </w:style>
  <w:style w:type="paragraph" w:styleId="ListParagraph">
    <w:name w:val="List Paragraph"/>
    <w:basedOn w:val="Normal"/>
    <w:uiPriority w:val="34"/>
    <w:qFormat/>
    <w:rsid w:val="00717968"/>
    <w:pPr>
      <w:spacing w:after="0" w:line="240" w:lineRule="auto"/>
      <w:ind w:left="720"/>
      <w:contextualSpacing/>
    </w:pPr>
    <w:rPr>
      <w:rFonts w:ascii="Times New Roman" w:eastAsia="Times New Roman" w:hAnsi="Times New Roman" w:cs="Times New Roman"/>
      <w:sz w:val="24"/>
      <w:szCs w:val="24"/>
      <w:lang w:eastAsia="lv-LV"/>
    </w:rPr>
  </w:style>
  <w:style w:type="character" w:styleId="FollowedHyperlink">
    <w:name w:val="FollowedHyperlink"/>
    <w:basedOn w:val="DefaultParagraphFont"/>
    <w:uiPriority w:val="99"/>
    <w:semiHidden/>
    <w:unhideWhenUsed/>
    <w:rsid w:val="00717968"/>
    <w:rPr>
      <w:color w:val="954F72" w:themeColor="followedHyperlink"/>
      <w:u w:val="single"/>
    </w:rPr>
  </w:style>
  <w:style w:type="character" w:styleId="Emphasis">
    <w:name w:val="Emphasis"/>
    <w:basedOn w:val="DefaultParagraphFont"/>
    <w:uiPriority w:val="20"/>
    <w:qFormat/>
    <w:rsid w:val="005E245F"/>
    <w:rPr>
      <w:i/>
      <w:iCs/>
    </w:rPr>
  </w:style>
  <w:style w:type="paragraph" w:styleId="NormalWeb">
    <w:name w:val="Normal (Web)"/>
    <w:basedOn w:val="Normal"/>
    <w:uiPriority w:val="99"/>
    <w:semiHidden/>
    <w:unhideWhenUsed/>
    <w:rsid w:val="003B6ED2"/>
    <w:pPr>
      <w:spacing w:before="100" w:beforeAutospacing="1" w:after="100" w:afterAutospacing="1" w:line="240" w:lineRule="auto"/>
    </w:pPr>
    <w:rPr>
      <w:rFonts w:ascii="Times New Roman" w:eastAsia="Times New Roman" w:hAnsi="Times New Roman" w:cs="Times New Roman"/>
      <w:sz w:val="24"/>
      <w:szCs w:val="24"/>
      <w:lang w:eastAsia="lv-LV"/>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591069">
      <w:bodyDiv w:val="1"/>
      <w:marLeft w:val="0"/>
      <w:marRight w:val="0"/>
      <w:marTop w:val="0"/>
      <w:marBottom w:val="0"/>
      <w:divBdr>
        <w:top w:val="none" w:sz="0" w:space="0" w:color="auto"/>
        <w:left w:val="none" w:sz="0" w:space="0" w:color="auto"/>
        <w:bottom w:val="none" w:sz="0" w:space="0" w:color="auto"/>
        <w:right w:val="none" w:sz="0" w:space="0" w:color="auto"/>
      </w:divBdr>
    </w:div>
    <w:div w:id="228926585">
      <w:bodyDiv w:val="1"/>
      <w:marLeft w:val="0"/>
      <w:marRight w:val="0"/>
      <w:marTop w:val="0"/>
      <w:marBottom w:val="0"/>
      <w:divBdr>
        <w:top w:val="none" w:sz="0" w:space="0" w:color="auto"/>
        <w:left w:val="none" w:sz="0" w:space="0" w:color="auto"/>
        <w:bottom w:val="none" w:sz="0" w:space="0" w:color="auto"/>
        <w:right w:val="none" w:sz="0" w:space="0" w:color="auto"/>
      </w:divBdr>
      <w:divsChild>
        <w:div w:id="1285235892">
          <w:marLeft w:val="360"/>
          <w:marRight w:val="0"/>
          <w:marTop w:val="200"/>
          <w:marBottom w:val="0"/>
          <w:divBdr>
            <w:top w:val="none" w:sz="0" w:space="0" w:color="auto"/>
            <w:left w:val="none" w:sz="0" w:space="0" w:color="auto"/>
            <w:bottom w:val="none" w:sz="0" w:space="0" w:color="auto"/>
            <w:right w:val="none" w:sz="0" w:space="0" w:color="auto"/>
          </w:divBdr>
        </w:div>
      </w:divsChild>
    </w:div>
    <w:div w:id="1239711662">
      <w:bodyDiv w:val="1"/>
      <w:marLeft w:val="0"/>
      <w:marRight w:val="0"/>
      <w:marTop w:val="0"/>
      <w:marBottom w:val="0"/>
      <w:divBdr>
        <w:top w:val="none" w:sz="0" w:space="0" w:color="auto"/>
        <w:left w:val="none" w:sz="0" w:space="0" w:color="auto"/>
        <w:bottom w:val="none" w:sz="0" w:space="0" w:color="auto"/>
        <w:right w:val="none" w:sz="0" w:space="0" w:color="auto"/>
      </w:divBdr>
      <w:divsChild>
        <w:div w:id="1485778290">
          <w:marLeft w:val="360"/>
          <w:marRight w:val="0"/>
          <w:marTop w:val="200"/>
          <w:marBottom w:val="0"/>
          <w:divBdr>
            <w:top w:val="none" w:sz="0" w:space="0" w:color="auto"/>
            <w:left w:val="none" w:sz="0" w:space="0" w:color="auto"/>
            <w:bottom w:val="none" w:sz="0" w:space="0" w:color="auto"/>
            <w:right w:val="none" w:sz="0" w:space="0" w:color="auto"/>
          </w:divBdr>
        </w:div>
        <w:div w:id="503908054">
          <w:marLeft w:val="360"/>
          <w:marRight w:val="0"/>
          <w:marTop w:val="200"/>
          <w:marBottom w:val="0"/>
          <w:divBdr>
            <w:top w:val="none" w:sz="0" w:space="0" w:color="auto"/>
            <w:left w:val="none" w:sz="0" w:space="0" w:color="auto"/>
            <w:bottom w:val="none" w:sz="0" w:space="0" w:color="auto"/>
            <w:right w:val="none" w:sz="0" w:space="0" w:color="auto"/>
          </w:divBdr>
        </w:div>
        <w:div w:id="2016033993">
          <w:marLeft w:val="1080"/>
          <w:marRight w:val="0"/>
          <w:marTop w:val="100"/>
          <w:marBottom w:val="0"/>
          <w:divBdr>
            <w:top w:val="none" w:sz="0" w:space="0" w:color="auto"/>
            <w:left w:val="none" w:sz="0" w:space="0" w:color="auto"/>
            <w:bottom w:val="none" w:sz="0" w:space="0" w:color="auto"/>
            <w:right w:val="none" w:sz="0" w:space="0" w:color="auto"/>
          </w:divBdr>
        </w:div>
        <w:div w:id="1113789550">
          <w:marLeft w:val="1080"/>
          <w:marRight w:val="0"/>
          <w:marTop w:val="100"/>
          <w:marBottom w:val="0"/>
          <w:divBdr>
            <w:top w:val="none" w:sz="0" w:space="0" w:color="auto"/>
            <w:left w:val="none" w:sz="0" w:space="0" w:color="auto"/>
            <w:bottom w:val="none" w:sz="0" w:space="0" w:color="auto"/>
            <w:right w:val="none" w:sz="0" w:space="0" w:color="auto"/>
          </w:divBdr>
        </w:div>
        <w:div w:id="270548632">
          <w:marLeft w:val="1080"/>
          <w:marRight w:val="0"/>
          <w:marTop w:val="100"/>
          <w:marBottom w:val="0"/>
          <w:divBdr>
            <w:top w:val="none" w:sz="0" w:space="0" w:color="auto"/>
            <w:left w:val="none" w:sz="0" w:space="0" w:color="auto"/>
            <w:bottom w:val="none" w:sz="0" w:space="0" w:color="auto"/>
            <w:right w:val="none" w:sz="0" w:space="0" w:color="auto"/>
          </w:divBdr>
        </w:div>
        <w:div w:id="1098057588">
          <w:marLeft w:val="1080"/>
          <w:marRight w:val="0"/>
          <w:marTop w:val="100"/>
          <w:marBottom w:val="0"/>
          <w:divBdr>
            <w:top w:val="none" w:sz="0" w:space="0" w:color="auto"/>
            <w:left w:val="none" w:sz="0" w:space="0" w:color="auto"/>
            <w:bottom w:val="none" w:sz="0" w:space="0" w:color="auto"/>
            <w:right w:val="none" w:sz="0" w:space="0" w:color="auto"/>
          </w:divBdr>
        </w:div>
        <w:div w:id="1828593231">
          <w:marLeft w:val="1080"/>
          <w:marRight w:val="0"/>
          <w:marTop w:val="100"/>
          <w:marBottom w:val="0"/>
          <w:divBdr>
            <w:top w:val="none" w:sz="0" w:space="0" w:color="auto"/>
            <w:left w:val="none" w:sz="0" w:space="0" w:color="auto"/>
            <w:bottom w:val="none" w:sz="0" w:space="0" w:color="auto"/>
            <w:right w:val="none" w:sz="0" w:space="0" w:color="auto"/>
          </w:divBdr>
        </w:div>
      </w:divsChild>
    </w:div>
    <w:div w:id="1390416223">
      <w:bodyDiv w:val="1"/>
      <w:marLeft w:val="0"/>
      <w:marRight w:val="0"/>
      <w:marTop w:val="0"/>
      <w:marBottom w:val="0"/>
      <w:divBdr>
        <w:top w:val="none" w:sz="0" w:space="0" w:color="auto"/>
        <w:left w:val="none" w:sz="0" w:space="0" w:color="auto"/>
        <w:bottom w:val="none" w:sz="0" w:space="0" w:color="auto"/>
        <w:right w:val="none" w:sz="0" w:space="0" w:color="auto"/>
      </w:divBdr>
      <w:divsChild>
        <w:div w:id="7609491">
          <w:marLeft w:val="0"/>
          <w:marRight w:val="0"/>
          <w:marTop w:val="0"/>
          <w:marBottom w:val="0"/>
          <w:divBdr>
            <w:top w:val="none" w:sz="0" w:space="0" w:color="auto"/>
            <w:left w:val="none" w:sz="0" w:space="0" w:color="auto"/>
            <w:bottom w:val="none" w:sz="0" w:space="0" w:color="auto"/>
            <w:right w:val="none" w:sz="0" w:space="0" w:color="auto"/>
          </w:divBdr>
        </w:div>
        <w:div w:id="1411195207">
          <w:marLeft w:val="0"/>
          <w:marRight w:val="0"/>
          <w:marTop w:val="0"/>
          <w:marBottom w:val="0"/>
          <w:divBdr>
            <w:top w:val="none" w:sz="0" w:space="0" w:color="auto"/>
            <w:left w:val="none" w:sz="0" w:space="0" w:color="auto"/>
            <w:bottom w:val="none" w:sz="0" w:space="0" w:color="auto"/>
            <w:right w:val="none" w:sz="0" w:space="0" w:color="auto"/>
          </w:divBdr>
        </w:div>
        <w:div w:id="563103392">
          <w:marLeft w:val="0"/>
          <w:marRight w:val="0"/>
          <w:marTop w:val="0"/>
          <w:marBottom w:val="0"/>
          <w:divBdr>
            <w:top w:val="none" w:sz="0" w:space="0" w:color="auto"/>
            <w:left w:val="none" w:sz="0" w:space="0" w:color="auto"/>
            <w:bottom w:val="none" w:sz="0" w:space="0" w:color="auto"/>
            <w:right w:val="none" w:sz="0" w:space="0" w:color="auto"/>
          </w:divBdr>
        </w:div>
        <w:div w:id="2073842792">
          <w:marLeft w:val="0"/>
          <w:marRight w:val="0"/>
          <w:marTop w:val="0"/>
          <w:marBottom w:val="0"/>
          <w:divBdr>
            <w:top w:val="none" w:sz="0" w:space="0" w:color="auto"/>
            <w:left w:val="none" w:sz="0" w:space="0" w:color="auto"/>
            <w:bottom w:val="none" w:sz="0" w:space="0" w:color="auto"/>
            <w:right w:val="none" w:sz="0" w:space="0" w:color="auto"/>
          </w:divBdr>
        </w:div>
        <w:div w:id="1282344860">
          <w:marLeft w:val="0"/>
          <w:marRight w:val="0"/>
          <w:marTop w:val="0"/>
          <w:marBottom w:val="0"/>
          <w:divBdr>
            <w:top w:val="none" w:sz="0" w:space="0" w:color="auto"/>
            <w:left w:val="none" w:sz="0" w:space="0" w:color="auto"/>
            <w:bottom w:val="none" w:sz="0" w:space="0" w:color="auto"/>
            <w:right w:val="none" w:sz="0" w:space="0" w:color="auto"/>
          </w:divBdr>
        </w:div>
        <w:div w:id="18219686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uropa.eu/youreurope/business/product-requirements/standards/standards-in-europe/index_lv.htm" TargetMode="External"/><Relationship Id="rId5" Type="http://schemas.openxmlformats.org/officeDocument/2006/relationships/hyperlink" Target="http://likumi.lv/ta/id/50425-standartizacijas-likum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2486</TotalTime>
  <Pages>2</Pages>
  <Words>2110</Words>
  <Characters>1203</Characters>
  <Application>Microsoft Office Word</Application>
  <DocSecurity>0</DocSecurity>
  <Lines>10</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Usetr</dc:creator>
  <cp:keywords/>
  <dc:description/>
  <cp:lastModifiedBy>Usetr</cp:lastModifiedBy>
  <cp:revision>4</cp:revision>
  <dcterms:created xsi:type="dcterms:W3CDTF">2021-01-11T18:13:00Z</dcterms:created>
  <dcterms:modified xsi:type="dcterms:W3CDTF">2021-01-13T11:39:00Z</dcterms:modified>
</cp:coreProperties>
</file>