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D62" w:rsidRDefault="00D10C03" w:rsidP="00D10C03">
      <w:pPr>
        <w:rPr>
          <w:rStyle w:val="fontstyle21"/>
        </w:rPr>
      </w:pPr>
      <w:r>
        <w:rPr>
          <w:rStyle w:val="fontstyle01"/>
        </w:rPr>
        <w:t>Uzdevumi 9.01.2021. lekcijai Salāgojumi, pielaides un tehniskie mērījumi:</w:t>
      </w:r>
      <w:r w:rsidR="008A51C6">
        <w:rPr>
          <w:rStyle w:val="fontstyle01"/>
        </w:rPr>
        <w:t xml:space="preserve"> </w:t>
      </w:r>
      <w:r>
        <w:rPr>
          <w:rFonts w:ascii="Calibri-BoldItalic" w:hAnsi="Calibri-BoldItalic"/>
          <w:b/>
          <w:bCs/>
          <w:i/>
          <w:iCs/>
          <w:color w:val="000000"/>
        </w:rPr>
        <w:br/>
      </w:r>
      <w:r>
        <w:rPr>
          <w:rStyle w:val="fontstyle21"/>
        </w:rPr>
        <w:t xml:space="preserve">1. Izlasīt par izmēru ķēdēm dažādos literatūras avotos, kuri ievietoti </w:t>
      </w:r>
      <w:proofErr w:type="spellStart"/>
      <w:r>
        <w:rPr>
          <w:rStyle w:val="fontstyle21"/>
        </w:rPr>
        <w:t>google</w:t>
      </w:r>
      <w:proofErr w:type="spellEnd"/>
      <w:r>
        <w:rPr>
          <w:rStyle w:val="fontstyle21"/>
        </w:rPr>
        <w:t xml:space="preserve"> diskā mapē</w:t>
      </w:r>
      <w:r>
        <w:rPr>
          <w:rFonts w:ascii="Calibri" w:hAnsi="Calibri" w:cs="Calibri"/>
          <w:color w:val="000000"/>
        </w:rPr>
        <w:br/>
      </w:r>
      <w:proofErr w:type="spellStart"/>
      <w:r>
        <w:rPr>
          <w:rStyle w:val="fontstyle21"/>
        </w:rPr>
        <w:t>Mehatronika</w:t>
      </w:r>
      <w:proofErr w:type="spellEnd"/>
      <w:r>
        <w:rPr>
          <w:rStyle w:val="fontstyle21"/>
        </w:rPr>
        <w:t>.</w:t>
      </w:r>
      <w:r>
        <w:rPr>
          <w:rFonts w:ascii="Calibri" w:hAnsi="Calibri" w:cs="Calibri"/>
          <w:color w:val="000000"/>
        </w:rPr>
        <w:br/>
      </w:r>
      <w:r>
        <w:rPr>
          <w:rStyle w:val="fontstyle21"/>
        </w:rPr>
        <w:t xml:space="preserve">2. Atbildēt uz jautājumiem </w:t>
      </w:r>
      <w:proofErr w:type="spellStart"/>
      <w:r>
        <w:rPr>
          <w:rStyle w:val="fontstyle21"/>
        </w:rPr>
        <w:t>A.Žuravļova</w:t>
      </w:r>
      <w:proofErr w:type="spellEnd"/>
      <w:r>
        <w:rPr>
          <w:rStyle w:val="fontstyle21"/>
        </w:rPr>
        <w:t xml:space="preserve"> grāmatā 183. </w:t>
      </w:r>
      <w:proofErr w:type="spellStart"/>
      <w:r>
        <w:rPr>
          <w:rStyle w:val="fontstyle21"/>
        </w:rPr>
        <w:t>lpp</w:t>
      </w:r>
      <w:proofErr w:type="spellEnd"/>
      <w:r>
        <w:rPr>
          <w:rStyle w:val="fontstyle21"/>
        </w:rPr>
        <w:t xml:space="preserve"> (11. nodaļas – Jēdzieni par</w:t>
      </w:r>
      <w:r>
        <w:rPr>
          <w:rFonts w:ascii="Calibri" w:hAnsi="Calibri" w:cs="Calibri"/>
          <w:color w:val="000000"/>
        </w:rPr>
        <w:br/>
      </w:r>
      <w:r>
        <w:rPr>
          <w:rStyle w:val="fontstyle21"/>
        </w:rPr>
        <w:t xml:space="preserve">izmēru ķēdēm – beigās). Atbildes uz šiem jautājumiem iesūtīt </w:t>
      </w:r>
      <w:proofErr w:type="spellStart"/>
      <w:r>
        <w:rPr>
          <w:rStyle w:val="fontstyle21"/>
        </w:rPr>
        <w:t>epastā</w:t>
      </w:r>
      <w:proofErr w:type="spellEnd"/>
      <w:r>
        <w:rPr>
          <w:rFonts w:ascii="Calibri" w:hAnsi="Calibri" w:cs="Calibri"/>
          <w:color w:val="000000"/>
        </w:rPr>
        <w:br/>
      </w:r>
      <w:r>
        <w:rPr>
          <w:rStyle w:val="fontstyle21"/>
          <w:color w:val="0563C1"/>
        </w:rPr>
        <w:t xml:space="preserve">inese.birzniece@gmail.com </w:t>
      </w:r>
      <w:r>
        <w:rPr>
          <w:rStyle w:val="fontstyle21"/>
        </w:rPr>
        <w:t>līdz nākamās sestdienas lekcijai.</w:t>
      </w:r>
    </w:p>
    <w:p w:rsidR="009E2714" w:rsidRDefault="009E2714" w:rsidP="009E2714">
      <w:pPr>
        <w:pStyle w:val="ListParagraph"/>
        <w:numPr>
          <w:ilvl w:val="0"/>
          <w:numId w:val="1"/>
        </w:numPr>
      </w:pPr>
      <w:r>
        <w:t>Ko sauc par izmēru ķēdi, un kā tās iedala pēc locekļu novietojuma?</w:t>
      </w:r>
    </w:p>
    <w:p w:rsidR="00642CD2" w:rsidRPr="00E61486" w:rsidRDefault="00642CD2" w:rsidP="00642CD2">
      <w:pPr>
        <w:pStyle w:val="ListParagraph"/>
        <w:rPr>
          <w:rFonts w:ascii="Times New Roman" w:hAnsi="Times New Roman" w:cs="Times New Roman"/>
          <w:i/>
          <w:color w:val="1F4E79" w:themeColor="accent1" w:themeShade="80"/>
          <w:sz w:val="24"/>
          <w:szCs w:val="24"/>
          <w:shd w:val="clear" w:color="auto" w:fill="FFFFFF"/>
        </w:rPr>
      </w:pPr>
      <w:r w:rsidRPr="00E61486">
        <w:rPr>
          <w:rFonts w:ascii="Times New Roman" w:hAnsi="Times New Roman" w:cs="Times New Roman"/>
          <w:i/>
          <w:color w:val="1F4E79" w:themeColor="accent1" w:themeShade="80"/>
          <w:sz w:val="24"/>
          <w:szCs w:val="24"/>
          <w:shd w:val="clear" w:color="auto" w:fill="FFFFFF"/>
        </w:rPr>
        <w:t>Izmēru ķēde ir savstarpēji savienotu izmēru kopums, kas nosaka izstrādājuma vienas daļas vai vairāku daļu asu un virsmu relatīvo stāvokli, kas noteiktā secībā ir izkārtots gar slēgtu ķēdi un tieši ietekmē viena no shēmas izmēriem precizitāti.</w:t>
      </w:r>
    </w:p>
    <w:p w:rsidR="00642CD2" w:rsidRPr="00E61486" w:rsidRDefault="00642CD2" w:rsidP="00642CD2">
      <w:pPr>
        <w:pStyle w:val="ListParagraph"/>
        <w:rPr>
          <w:rFonts w:ascii="Times New Roman" w:hAnsi="Times New Roman" w:cs="Times New Roman"/>
          <w:i/>
          <w:color w:val="1F4E79" w:themeColor="accent1" w:themeShade="80"/>
          <w:sz w:val="24"/>
          <w:szCs w:val="24"/>
          <w:shd w:val="clear" w:color="auto" w:fill="FFFFFF"/>
        </w:rPr>
      </w:pPr>
      <w:r w:rsidRPr="00E61486">
        <w:rPr>
          <w:rFonts w:ascii="Times New Roman" w:hAnsi="Times New Roman" w:cs="Times New Roman"/>
          <w:i/>
          <w:color w:val="1F4E79" w:themeColor="accent1" w:themeShade="80"/>
          <w:sz w:val="24"/>
          <w:szCs w:val="24"/>
          <w:shd w:val="clear" w:color="auto" w:fill="FFFFFF"/>
        </w:rPr>
        <w:t>Izmēru ķēdes iedala:</w:t>
      </w:r>
    </w:p>
    <w:p w:rsidR="00E61486" w:rsidRPr="00E61486" w:rsidRDefault="00642CD2" w:rsidP="00E61486">
      <w:pPr>
        <w:pStyle w:val="ListParagraph"/>
        <w:numPr>
          <w:ilvl w:val="0"/>
          <w:numId w:val="2"/>
        </w:numPr>
        <w:rPr>
          <w:rFonts w:ascii="Times New Roman" w:hAnsi="Times New Roman" w:cs="Times New Roman"/>
          <w:i/>
          <w:color w:val="1F4E79" w:themeColor="accent1" w:themeShade="80"/>
          <w:sz w:val="24"/>
          <w:szCs w:val="24"/>
        </w:rPr>
      </w:pPr>
      <w:r w:rsidRPr="00E61486">
        <w:rPr>
          <w:rFonts w:ascii="Times New Roman" w:hAnsi="Times New Roman" w:cs="Times New Roman"/>
          <w:i/>
          <w:color w:val="1F4E79" w:themeColor="accent1" w:themeShade="80"/>
          <w:sz w:val="24"/>
          <w:szCs w:val="24"/>
        </w:rPr>
        <w:t>Lineārās – locekļi novietoti paralēli</w:t>
      </w:r>
    </w:p>
    <w:p w:rsidR="00E61486" w:rsidRPr="00E61486" w:rsidRDefault="00642CD2" w:rsidP="002E27E1">
      <w:pPr>
        <w:pStyle w:val="ListParagraph"/>
        <w:numPr>
          <w:ilvl w:val="0"/>
          <w:numId w:val="2"/>
        </w:numPr>
        <w:rPr>
          <w:rFonts w:ascii="Times New Roman" w:hAnsi="Times New Roman" w:cs="Times New Roman"/>
          <w:i/>
          <w:color w:val="1F4E79" w:themeColor="accent1" w:themeShade="80"/>
          <w:sz w:val="24"/>
          <w:szCs w:val="24"/>
        </w:rPr>
      </w:pPr>
      <w:proofErr w:type="spellStart"/>
      <w:r w:rsidRPr="00E61486">
        <w:rPr>
          <w:rFonts w:ascii="Times New Roman" w:hAnsi="Times New Roman" w:cs="Times New Roman"/>
          <w:i/>
          <w:color w:val="1F4E79" w:themeColor="accent1" w:themeShade="80"/>
          <w:sz w:val="24"/>
          <w:szCs w:val="24"/>
        </w:rPr>
        <w:t>Plakniskās</w:t>
      </w:r>
      <w:proofErr w:type="spellEnd"/>
      <w:r w:rsidRPr="00E61486">
        <w:rPr>
          <w:rFonts w:ascii="Times New Roman" w:hAnsi="Times New Roman" w:cs="Times New Roman"/>
          <w:i/>
          <w:color w:val="1F4E79" w:themeColor="accent1" w:themeShade="80"/>
          <w:sz w:val="24"/>
          <w:szCs w:val="24"/>
        </w:rPr>
        <w:t xml:space="preserve"> – </w:t>
      </w:r>
      <w:r w:rsidR="00E61486" w:rsidRPr="00E61486">
        <w:rPr>
          <w:rFonts w:ascii="Times New Roman" w:hAnsi="Times New Roman" w:cs="Times New Roman"/>
          <w:i/>
          <w:color w:val="1F4E79" w:themeColor="accent1" w:themeShade="80"/>
          <w:sz w:val="24"/>
          <w:szCs w:val="24"/>
          <w:shd w:val="clear" w:color="auto" w:fill="FFFFFF"/>
        </w:rPr>
        <w:t>Izmēru ķēdes sauc par plakanām, kuru visas saites vai to daļa nav paralēli viena otrai, bet atrodas vienā vai vairākās paralēlās plaknēs</w:t>
      </w:r>
      <w:r w:rsidR="00E61486" w:rsidRPr="00E61486">
        <w:rPr>
          <w:rFonts w:ascii="Times New Roman" w:hAnsi="Times New Roman" w:cs="Times New Roman"/>
          <w:i/>
          <w:color w:val="1F4E79" w:themeColor="accent1" w:themeShade="80"/>
          <w:sz w:val="24"/>
          <w:szCs w:val="24"/>
        </w:rPr>
        <w:t xml:space="preserve"> </w:t>
      </w:r>
    </w:p>
    <w:p w:rsidR="00E61486" w:rsidRPr="00E61486" w:rsidRDefault="00642CD2" w:rsidP="002E27E1">
      <w:pPr>
        <w:pStyle w:val="ListParagraph"/>
        <w:numPr>
          <w:ilvl w:val="0"/>
          <w:numId w:val="2"/>
        </w:numPr>
        <w:rPr>
          <w:rFonts w:ascii="Times New Roman" w:hAnsi="Times New Roman" w:cs="Times New Roman"/>
          <w:i/>
          <w:color w:val="1F4E79" w:themeColor="accent1" w:themeShade="80"/>
          <w:sz w:val="24"/>
          <w:szCs w:val="24"/>
        </w:rPr>
      </w:pPr>
      <w:r w:rsidRPr="00E61486">
        <w:rPr>
          <w:rFonts w:ascii="Times New Roman" w:hAnsi="Times New Roman" w:cs="Times New Roman"/>
          <w:i/>
          <w:color w:val="1F4E79" w:themeColor="accent1" w:themeShade="80"/>
          <w:sz w:val="24"/>
          <w:szCs w:val="24"/>
        </w:rPr>
        <w:t xml:space="preserve">Telpiskās </w:t>
      </w:r>
      <w:r w:rsidR="00E61486" w:rsidRPr="00E61486">
        <w:rPr>
          <w:rFonts w:ascii="Times New Roman" w:hAnsi="Times New Roman" w:cs="Times New Roman"/>
          <w:i/>
          <w:color w:val="1F4E79" w:themeColor="accent1" w:themeShade="80"/>
          <w:sz w:val="24"/>
          <w:szCs w:val="24"/>
        </w:rPr>
        <w:t xml:space="preserve">- </w:t>
      </w:r>
      <w:r w:rsidR="00E61486" w:rsidRPr="00E61486">
        <w:rPr>
          <w:rFonts w:ascii="Times New Roman" w:hAnsi="Times New Roman" w:cs="Times New Roman"/>
          <w:i/>
          <w:color w:val="1F4E79" w:themeColor="accent1" w:themeShade="80"/>
          <w:sz w:val="24"/>
          <w:szCs w:val="24"/>
          <w:shd w:val="clear" w:color="auto" w:fill="FFFFFF"/>
        </w:rPr>
        <w:t>ķēdes, kuru visas saites vai to daļa nav paralēlas viena otrai un atrodas paralēlās plaknēs</w:t>
      </w:r>
    </w:p>
    <w:p w:rsidR="00E61486" w:rsidRPr="00E61486" w:rsidRDefault="00E61486" w:rsidP="00E61486">
      <w:pPr>
        <w:pStyle w:val="ListParagraph"/>
        <w:numPr>
          <w:ilvl w:val="0"/>
          <w:numId w:val="2"/>
        </w:numPr>
        <w:rPr>
          <w:rFonts w:ascii="Times New Roman" w:hAnsi="Times New Roman" w:cs="Times New Roman"/>
          <w:i/>
          <w:color w:val="1F4E79" w:themeColor="accent1" w:themeShade="80"/>
          <w:sz w:val="24"/>
          <w:szCs w:val="24"/>
        </w:rPr>
      </w:pPr>
      <w:r w:rsidRPr="00E61486">
        <w:rPr>
          <w:rFonts w:ascii="Times New Roman" w:hAnsi="Times New Roman" w:cs="Times New Roman"/>
          <w:i/>
          <w:color w:val="1F4E79" w:themeColor="accent1" w:themeShade="80"/>
          <w:sz w:val="24"/>
          <w:szCs w:val="24"/>
        </w:rPr>
        <w:t xml:space="preserve">Leņķiskās - </w:t>
      </w:r>
      <w:r w:rsidRPr="00E61486">
        <w:rPr>
          <w:rFonts w:ascii="Times New Roman" w:hAnsi="Times New Roman" w:cs="Times New Roman"/>
          <w:i/>
          <w:color w:val="1F4E79" w:themeColor="accent1" w:themeShade="80"/>
          <w:sz w:val="24"/>
          <w:szCs w:val="24"/>
          <w:shd w:val="clear" w:color="auto" w:fill="FFFFFF"/>
        </w:rPr>
        <w:t xml:space="preserve">kuru visas saites ir leņķa </w:t>
      </w:r>
      <w:proofErr w:type="spellStart"/>
      <w:r w:rsidRPr="00E61486">
        <w:rPr>
          <w:rFonts w:ascii="Times New Roman" w:hAnsi="Times New Roman" w:cs="Times New Roman"/>
          <w:i/>
          <w:color w:val="1F4E79" w:themeColor="accent1" w:themeShade="80"/>
          <w:sz w:val="24"/>
          <w:szCs w:val="24"/>
          <w:shd w:val="clear" w:color="auto" w:fill="FFFFFF"/>
        </w:rPr>
        <w:t>lielumi.Leņķiskās</w:t>
      </w:r>
      <w:proofErr w:type="spellEnd"/>
      <w:r w:rsidRPr="00E61486">
        <w:rPr>
          <w:rFonts w:ascii="Times New Roman" w:hAnsi="Times New Roman" w:cs="Times New Roman"/>
          <w:i/>
          <w:color w:val="1F4E79" w:themeColor="accent1" w:themeShade="80"/>
          <w:sz w:val="24"/>
          <w:szCs w:val="24"/>
          <w:shd w:val="clear" w:color="auto" w:fill="FFFFFF"/>
        </w:rPr>
        <w:t xml:space="preserve"> ķēdes veidojošo izmēru pazīmes bieži ir perpendikulāras, asu un virsmu </w:t>
      </w:r>
      <w:proofErr w:type="spellStart"/>
      <w:r w:rsidRPr="00E61486">
        <w:rPr>
          <w:rFonts w:ascii="Times New Roman" w:hAnsi="Times New Roman" w:cs="Times New Roman"/>
          <w:i/>
          <w:color w:val="1F4E79" w:themeColor="accent1" w:themeShade="80"/>
          <w:sz w:val="24"/>
          <w:szCs w:val="24"/>
          <w:shd w:val="clear" w:color="auto" w:fill="FFFFFF"/>
        </w:rPr>
        <w:t>neparalēlotas</w:t>
      </w:r>
      <w:proofErr w:type="spellEnd"/>
      <w:r w:rsidRPr="00E61486">
        <w:rPr>
          <w:rFonts w:ascii="Times New Roman" w:hAnsi="Times New Roman" w:cs="Times New Roman"/>
          <w:i/>
          <w:color w:val="1F4E79" w:themeColor="accent1" w:themeShade="80"/>
          <w:sz w:val="24"/>
          <w:szCs w:val="24"/>
          <w:shd w:val="clear" w:color="auto" w:fill="FFFFFF"/>
        </w:rPr>
        <w:t xml:space="preserve"> un līdzīgas kļūdas virsmu un detaļu asu relatīvā izvietojumā</w:t>
      </w:r>
    </w:p>
    <w:p w:rsidR="009E2714" w:rsidRDefault="009E2714" w:rsidP="009E2714">
      <w:pPr>
        <w:pStyle w:val="ListParagraph"/>
        <w:numPr>
          <w:ilvl w:val="0"/>
          <w:numId w:val="1"/>
        </w:numPr>
      </w:pPr>
      <w:r>
        <w:t>Kādu locekli ķēdē sauc par slēdzošo locekli, un kā tas ir saistīts ar palielinošo un pamazinošo locekli?</w:t>
      </w:r>
    </w:p>
    <w:p w:rsidR="00642CD2" w:rsidRPr="00E61486" w:rsidRDefault="00642CD2" w:rsidP="00642CD2">
      <w:pPr>
        <w:pStyle w:val="ListParagraph"/>
        <w:rPr>
          <w:rFonts w:ascii="Times New Roman" w:hAnsi="Times New Roman" w:cs="Times New Roman"/>
          <w:i/>
          <w:color w:val="1F4E79" w:themeColor="accent1" w:themeShade="80"/>
          <w:sz w:val="24"/>
          <w:szCs w:val="24"/>
        </w:rPr>
      </w:pPr>
      <w:r w:rsidRPr="00E61486">
        <w:rPr>
          <w:rFonts w:ascii="Times New Roman" w:hAnsi="Times New Roman" w:cs="Times New Roman"/>
          <w:i/>
          <w:color w:val="1F4E79" w:themeColor="accent1" w:themeShade="80"/>
          <w:sz w:val="24"/>
          <w:szCs w:val="24"/>
        </w:rPr>
        <w:t xml:space="preserve">Slēdzošais loceklis ir ķēdes posms, kur ir sprauga vai </w:t>
      </w:r>
      <w:proofErr w:type="spellStart"/>
      <w:r w:rsidRPr="00E61486">
        <w:rPr>
          <w:rFonts w:ascii="Times New Roman" w:hAnsi="Times New Roman" w:cs="Times New Roman"/>
          <w:i/>
          <w:color w:val="1F4E79" w:themeColor="accent1" w:themeShade="80"/>
          <w:sz w:val="24"/>
          <w:szCs w:val="24"/>
        </w:rPr>
        <w:t>uzspīlējums</w:t>
      </w:r>
      <w:proofErr w:type="spellEnd"/>
      <w:r w:rsidRPr="00E61486">
        <w:rPr>
          <w:rFonts w:ascii="Times New Roman" w:hAnsi="Times New Roman" w:cs="Times New Roman"/>
          <w:i/>
          <w:color w:val="1F4E79" w:themeColor="accent1" w:themeShade="80"/>
          <w:sz w:val="24"/>
          <w:szCs w:val="24"/>
        </w:rPr>
        <w:t>.  Ja slēdzošais loceklis palielinās, tad komponentes locekļi ir palielinoši, ja samazinās, tad samazinoši.</w:t>
      </w:r>
    </w:p>
    <w:p w:rsidR="009E2714" w:rsidRDefault="009E2714" w:rsidP="009E2714">
      <w:pPr>
        <w:pStyle w:val="ListParagraph"/>
        <w:numPr>
          <w:ilvl w:val="0"/>
          <w:numId w:val="1"/>
        </w:numPr>
      </w:pPr>
      <w:r>
        <w:t>Ar ko atšķiras tiešais un netiešais uzdevums izmēru ķēdes locekļu pielaižu aprēķinā?</w:t>
      </w:r>
    </w:p>
    <w:p w:rsidR="00E61486" w:rsidRPr="00AA47AE" w:rsidRDefault="00AA47AE" w:rsidP="00E61486">
      <w:pPr>
        <w:pStyle w:val="ListParagraph"/>
        <w:rPr>
          <w:i/>
          <w:color w:val="1F4E79" w:themeColor="accent1" w:themeShade="80"/>
        </w:rPr>
      </w:pPr>
      <w:r w:rsidRPr="00AA47AE">
        <w:rPr>
          <w:i/>
          <w:color w:val="1F4E79" w:themeColor="accent1" w:themeShade="80"/>
        </w:rPr>
        <w:t xml:space="preserve">Tiešajā uzdevumā aprēķina visu ķēdes locekļu pielaides, bet netiešajā – aprēķina tikai slēdzošā locekļa pielaidi un </w:t>
      </w:r>
      <w:proofErr w:type="spellStart"/>
      <w:r w:rsidRPr="00AA47AE">
        <w:rPr>
          <w:i/>
          <w:color w:val="1F4E79" w:themeColor="accent1" w:themeShade="80"/>
        </w:rPr>
        <w:t>robežnovirzes</w:t>
      </w:r>
      <w:proofErr w:type="spellEnd"/>
      <w:r w:rsidRPr="00AA47AE">
        <w:rPr>
          <w:i/>
          <w:color w:val="1F4E79" w:themeColor="accent1" w:themeShade="80"/>
        </w:rPr>
        <w:t xml:space="preserve"> pēc pārējo locekļu jau dotajām novirzēm un pielaidēm.</w:t>
      </w:r>
    </w:p>
    <w:p w:rsidR="009E2714" w:rsidRDefault="009E2714" w:rsidP="009E2714">
      <w:pPr>
        <w:pStyle w:val="ListParagraph"/>
        <w:numPr>
          <w:ilvl w:val="0"/>
          <w:numId w:val="1"/>
        </w:numPr>
      </w:pPr>
      <w:r>
        <w:t>Kādas sakarības ir starp slēdzošā locekļa augšējo un apakšējo novirzi palielinošam un pamazinošam loceklim?</w:t>
      </w:r>
    </w:p>
    <w:p w:rsidR="00E61486" w:rsidRDefault="00B701B6" w:rsidP="00E61486">
      <w:pPr>
        <w:pStyle w:val="ListParagraph"/>
        <w:rPr>
          <w:i/>
          <w:color w:val="1F4E79" w:themeColor="accent1" w:themeShade="80"/>
        </w:rPr>
      </w:pPr>
      <w:r>
        <w:rPr>
          <w:i/>
          <w:color w:val="1F4E79" w:themeColor="accent1" w:themeShade="80"/>
        </w:rPr>
        <w:t>Slēdzošā locekļa augšējā novirze ir vienāda ar palielinošo locekļu augšējo noviržu summa un pamazinošo locekļu apakšējo noviržu summas starpību.</w:t>
      </w:r>
    </w:p>
    <w:p w:rsidR="00E61486" w:rsidRDefault="00B701B6" w:rsidP="00E61486">
      <w:pPr>
        <w:pStyle w:val="ListParagraph"/>
      </w:pPr>
      <w:r>
        <w:rPr>
          <w:i/>
          <w:color w:val="1F4E79" w:themeColor="accent1" w:themeShade="80"/>
        </w:rPr>
        <w:t xml:space="preserve">Slēdzošā locekļa </w:t>
      </w:r>
      <w:r w:rsidR="00E62A6B">
        <w:rPr>
          <w:i/>
          <w:color w:val="1F4E79" w:themeColor="accent1" w:themeShade="80"/>
        </w:rPr>
        <w:t>apakšējā novirze  ir vienāda ar palielinošo locekļu apakšējo noviržu summas un pamazinošo locekļu augšējo noviržu summas starpību.</w:t>
      </w:r>
    </w:p>
    <w:p w:rsidR="009E2714" w:rsidRDefault="008A51C6" w:rsidP="009E2714">
      <w:pPr>
        <w:pStyle w:val="ListParagraph"/>
        <w:numPr>
          <w:ilvl w:val="0"/>
          <w:numId w:val="1"/>
        </w:numPr>
      </w:pPr>
      <w:r>
        <w:t>Kādas sakarības starp slēdzošā locekļa pielaidi un ķēdes locekļu pielaidēm pilnajā savstarpējā apmaināmībā?</w:t>
      </w:r>
    </w:p>
    <w:p w:rsidR="001A5AE2" w:rsidRPr="001A5AE2" w:rsidRDefault="001A5AE2" w:rsidP="001A5AE2">
      <w:pPr>
        <w:pStyle w:val="ListParagraph"/>
        <w:rPr>
          <w:rFonts w:ascii="Times New Roman" w:hAnsi="Times New Roman" w:cs="Times New Roman"/>
          <w:i/>
          <w:color w:val="1F4E79" w:themeColor="accent1" w:themeShade="80"/>
          <w:sz w:val="24"/>
          <w:szCs w:val="24"/>
          <w:shd w:val="clear" w:color="auto" w:fill="FFFFFF"/>
        </w:rPr>
      </w:pPr>
      <w:r w:rsidRPr="001A5AE2">
        <w:rPr>
          <w:rFonts w:ascii="Times New Roman" w:hAnsi="Times New Roman" w:cs="Times New Roman"/>
          <w:i/>
          <w:color w:val="1F4E79" w:themeColor="accent1" w:themeShade="80"/>
          <w:sz w:val="24"/>
          <w:szCs w:val="24"/>
          <w:shd w:val="clear" w:color="auto" w:fill="FFFFFF"/>
        </w:rPr>
        <w:t xml:space="preserve">Pilnīgas savstarpējās aizstājamības metode ir metode, kurā visos tās ieviešanas gadījumos tiek panākta vajadzīgā izmēru ķēdes slēdzošā locekļa precizitāte, iekļaujot komponentu locekļus, neizvēlas un nemaina to vērtības. Lai nodrošinātu pilnīgu savstarpējo aizvietojamību, izmēru ķēdes tiek aprēķinātas, ņemot vērā tikai izmēru ķēdes posmu maksimālās novirzes un to visnelabvēlīgākās kombinācijas, izmantojot locekļu pielaides sistēmu. </w:t>
      </w:r>
    </w:p>
    <w:p w:rsidR="001A5AE2" w:rsidRDefault="001A5AE2" w:rsidP="001A5AE2">
      <w:pPr>
        <w:pStyle w:val="ListParagraph"/>
      </w:pPr>
    </w:p>
    <w:p w:rsidR="001A5AE2" w:rsidRDefault="001A5AE2" w:rsidP="001A5AE2">
      <w:pPr>
        <w:pStyle w:val="ListParagraph"/>
      </w:pPr>
    </w:p>
    <w:p w:rsidR="008A51C6" w:rsidRDefault="008A51C6" w:rsidP="002C27B4">
      <w:pPr>
        <w:pStyle w:val="ListParagraph"/>
        <w:numPr>
          <w:ilvl w:val="0"/>
          <w:numId w:val="1"/>
        </w:numPr>
      </w:pPr>
      <w:r>
        <w:lastRenderedPageBreak/>
        <w:t xml:space="preserve">Kāda ir izmēru ķēdes pielaižu aprēķinu būtība, lietojot </w:t>
      </w:r>
    </w:p>
    <w:p w:rsidR="002C27B4" w:rsidRPr="002C27B4" w:rsidRDefault="002C27B4" w:rsidP="001A5AE2">
      <w:pPr>
        <w:pStyle w:val="ListParagraph"/>
        <w:rPr>
          <w:rFonts w:ascii="Times New Roman" w:hAnsi="Times New Roman" w:cs="Times New Roman"/>
          <w:i/>
          <w:color w:val="1F4E79" w:themeColor="accent1" w:themeShade="80"/>
          <w:sz w:val="24"/>
          <w:szCs w:val="24"/>
        </w:rPr>
      </w:pPr>
      <w:r w:rsidRPr="002C27B4">
        <w:rPr>
          <w:rFonts w:ascii="Times New Roman" w:hAnsi="Times New Roman" w:cs="Times New Roman"/>
          <w:i/>
          <w:color w:val="1F4E79" w:themeColor="accent1" w:themeShade="80"/>
          <w:sz w:val="24"/>
          <w:szCs w:val="24"/>
          <w:shd w:val="clear" w:color="auto" w:fill="FFFFFF"/>
        </w:rPr>
        <w:t>Izmēru ķēdes aprēķināšanas būtība ir noteikt pielaides, maksimālās novirzes, to viduspunktu koordinātas, visu saišu nominālos izmērus.</w:t>
      </w:r>
    </w:p>
    <w:p w:rsidR="008A51C6" w:rsidRDefault="008A51C6" w:rsidP="008A51C6">
      <w:pPr>
        <w:pStyle w:val="ListParagraph"/>
        <w:numPr>
          <w:ilvl w:val="1"/>
          <w:numId w:val="1"/>
        </w:numPr>
      </w:pPr>
      <w:r>
        <w:t>Selektīvo salikšanu</w:t>
      </w:r>
    </w:p>
    <w:p w:rsidR="00560C7E" w:rsidRDefault="00560C7E" w:rsidP="00560C7E">
      <w:pPr>
        <w:pStyle w:val="ListParagraph"/>
        <w:ind w:left="1440"/>
        <w:rPr>
          <w:i/>
          <w:color w:val="1F4E79" w:themeColor="accent1" w:themeShade="80"/>
        </w:rPr>
      </w:pPr>
      <w:r>
        <w:rPr>
          <w:i/>
          <w:color w:val="1F4E79" w:themeColor="accent1" w:themeShade="80"/>
        </w:rPr>
        <w:t xml:space="preserve">Detaļām ir lielas pielaides, tās sašķiro pa izmēriem un </w:t>
      </w:r>
      <w:r w:rsidR="004E2B69">
        <w:rPr>
          <w:i/>
          <w:color w:val="1F4E79" w:themeColor="accent1" w:themeShade="80"/>
        </w:rPr>
        <w:t>izvēlas savienot atbilstošos izmērus</w:t>
      </w:r>
      <w:bookmarkStart w:id="0" w:name="_GoBack"/>
      <w:bookmarkEnd w:id="0"/>
    </w:p>
    <w:p w:rsidR="008A51C6" w:rsidRPr="00560C7E" w:rsidRDefault="008A51C6" w:rsidP="00560C7E">
      <w:pPr>
        <w:pStyle w:val="ListParagraph"/>
        <w:numPr>
          <w:ilvl w:val="1"/>
          <w:numId w:val="1"/>
        </w:numPr>
        <w:rPr>
          <w:i/>
          <w:color w:val="1F4E79" w:themeColor="accent1" w:themeShade="80"/>
        </w:rPr>
      </w:pPr>
      <w:proofErr w:type="spellStart"/>
      <w:r>
        <w:t>Kompensatoru</w:t>
      </w:r>
      <w:proofErr w:type="spellEnd"/>
    </w:p>
    <w:p w:rsidR="00560C7E" w:rsidRPr="00560C7E" w:rsidRDefault="00560C7E" w:rsidP="00560C7E">
      <w:pPr>
        <w:pStyle w:val="ListParagraph"/>
        <w:ind w:left="1440"/>
        <w:rPr>
          <w:i/>
          <w:color w:val="1F4E79" w:themeColor="accent1" w:themeShade="80"/>
        </w:rPr>
      </w:pPr>
      <w:r>
        <w:rPr>
          <w:i/>
          <w:color w:val="1F4E79" w:themeColor="accent1" w:themeShade="80"/>
        </w:rPr>
        <w:t xml:space="preserve">Lai pielāgotu ķēdes izmērus, ķēdē ievieto papildus posmu – </w:t>
      </w:r>
      <w:proofErr w:type="spellStart"/>
      <w:r>
        <w:rPr>
          <w:i/>
          <w:color w:val="1F4E79" w:themeColor="accent1" w:themeShade="80"/>
        </w:rPr>
        <w:t>kompensatoru</w:t>
      </w:r>
      <w:proofErr w:type="spellEnd"/>
      <w:r>
        <w:rPr>
          <w:i/>
          <w:color w:val="1F4E79" w:themeColor="accent1" w:themeShade="80"/>
        </w:rPr>
        <w:t>, kas nodrošina augstu slēdzošā locekļa pretestību, bet palielina detaļu skaitu</w:t>
      </w:r>
    </w:p>
    <w:p w:rsidR="008A51C6" w:rsidRDefault="008A51C6" w:rsidP="008A51C6">
      <w:pPr>
        <w:pStyle w:val="ListParagraph"/>
        <w:numPr>
          <w:ilvl w:val="1"/>
          <w:numId w:val="1"/>
        </w:numPr>
      </w:pPr>
      <w:r>
        <w:t>Kāda ķēdes locekļa pielāgošanu mezgla salikšanā?</w:t>
      </w:r>
    </w:p>
    <w:p w:rsidR="00560C7E" w:rsidRPr="00560C7E" w:rsidRDefault="00560C7E" w:rsidP="00560C7E">
      <w:pPr>
        <w:pStyle w:val="ListParagraph"/>
        <w:ind w:left="1440"/>
        <w:rPr>
          <w:i/>
          <w:color w:val="1F4E79" w:themeColor="accent1" w:themeShade="80"/>
        </w:rPr>
      </w:pPr>
      <w:r>
        <w:rPr>
          <w:i/>
          <w:color w:val="1F4E79" w:themeColor="accent1" w:themeShade="80"/>
        </w:rPr>
        <w:t>Detaļām ir lielas pielaides, tās sašķiro pa izmēriem un slēdzošā locekļa savienošanas precizitātei pielāgo kādu ķēdes posmu</w:t>
      </w:r>
    </w:p>
    <w:p w:rsidR="00560C7E" w:rsidRDefault="00560C7E" w:rsidP="00560C7E">
      <w:pPr>
        <w:pStyle w:val="ListParagraph"/>
        <w:ind w:left="1440"/>
      </w:pPr>
    </w:p>
    <w:p w:rsidR="008A51C6" w:rsidRDefault="008A51C6" w:rsidP="008A51C6">
      <w:pPr>
        <w:pStyle w:val="ListParagraph"/>
        <w:ind w:left="1440"/>
      </w:pPr>
    </w:p>
    <w:p w:rsidR="008A51C6" w:rsidRDefault="008A51C6" w:rsidP="008A51C6">
      <w:pPr>
        <w:pStyle w:val="ListParagraph"/>
      </w:pPr>
    </w:p>
    <w:p w:rsidR="008A51C6" w:rsidRDefault="008A51C6" w:rsidP="009E2714">
      <w:pPr>
        <w:pStyle w:val="ListParagraph"/>
        <w:numPr>
          <w:ilvl w:val="0"/>
          <w:numId w:val="1"/>
        </w:numPr>
      </w:pPr>
      <w:r>
        <w:t>Nosauciet izmēru ķēdes pielaižu aprēķina priekšrocības pēc varbūtības teorijas!</w:t>
      </w:r>
    </w:p>
    <w:p w:rsidR="008A51C6" w:rsidRDefault="008A51C6" w:rsidP="008A51C6">
      <w:pPr>
        <w:pStyle w:val="ListParagraph"/>
      </w:pPr>
    </w:p>
    <w:p w:rsidR="008A51C6" w:rsidRPr="005B0C9A" w:rsidRDefault="005B0C9A" w:rsidP="005B0C9A">
      <w:pPr>
        <w:rPr>
          <w:i/>
          <w:color w:val="1F4E79" w:themeColor="accent1" w:themeShade="80"/>
        </w:rPr>
      </w:pPr>
      <w:r>
        <w:rPr>
          <w:i/>
          <w:color w:val="1F4E79" w:themeColor="accent1" w:themeShade="80"/>
        </w:rPr>
        <w:t xml:space="preserve">Aprēķinot pēc varbūtības teorijas, izmēru ķēdes pielaides var palielināt, jo sakritība, ka </w:t>
      </w:r>
      <w:r w:rsidR="00560C7E">
        <w:rPr>
          <w:i/>
          <w:color w:val="1F4E79" w:themeColor="accent1" w:themeShade="80"/>
        </w:rPr>
        <w:t>savienos detaļas ar būtiskām (nesavienojamām) atšķirībām, ir ļoti niecīga.</w:t>
      </w:r>
    </w:p>
    <w:sectPr w:rsidR="008A51C6" w:rsidRPr="005B0C9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Calibri-BoldItalic">
    <w:altName w:val="Times New Roman"/>
    <w:panose1 w:val="00000000000000000000"/>
    <w:charset w:val="00"/>
    <w:family w:val="roman"/>
    <w:notTrueType/>
    <w:pitch w:val="default"/>
  </w:font>
  <w:font w:name="Calibri Light">
    <w:panose1 w:val="020F0302020204030204"/>
    <w:charset w:val="BA"/>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A4EC2"/>
    <w:multiLevelType w:val="hybridMultilevel"/>
    <w:tmpl w:val="3B488686"/>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 w15:restartNumberingAfterBreak="0">
    <w:nsid w:val="16154F6D"/>
    <w:multiLevelType w:val="hybridMultilevel"/>
    <w:tmpl w:val="8E723AC0"/>
    <w:lvl w:ilvl="0" w:tplc="1C148C70">
      <w:start w:val="1"/>
      <w:numFmt w:val="decimal"/>
      <w:lvlText w:val="%1."/>
      <w:lvlJc w:val="left"/>
      <w:pPr>
        <w:ind w:left="720" w:hanging="360"/>
      </w:pPr>
      <w:rPr>
        <w:rFonts w:ascii="Calibri" w:hAnsi="Calibri" w:cs="Calibri" w:hint="default"/>
        <w:color w:val="000000"/>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C03"/>
    <w:rsid w:val="001A5AE2"/>
    <w:rsid w:val="002C27B4"/>
    <w:rsid w:val="004237CA"/>
    <w:rsid w:val="004E2B69"/>
    <w:rsid w:val="00560C7E"/>
    <w:rsid w:val="005B0C9A"/>
    <w:rsid w:val="00642CD2"/>
    <w:rsid w:val="00726D62"/>
    <w:rsid w:val="008A51C6"/>
    <w:rsid w:val="009E2714"/>
    <w:rsid w:val="00AA47AE"/>
    <w:rsid w:val="00B701B6"/>
    <w:rsid w:val="00D10C03"/>
    <w:rsid w:val="00E61486"/>
    <w:rsid w:val="00E62A6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832B"/>
  <w15:chartTrackingRefBased/>
  <w15:docId w15:val="{4D146D68-FF7F-40CF-89AC-3C6C3A31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10C03"/>
    <w:rPr>
      <w:rFonts w:ascii="Calibri-BoldItalic" w:hAnsi="Calibri-BoldItalic" w:hint="default"/>
      <w:b/>
      <w:bCs/>
      <w:i/>
      <w:iCs/>
      <w:color w:val="000000"/>
      <w:sz w:val="22"/>
      <w:szCs w:val="22"/>
    </w:rPr>
  </w:style>
  <w:style w:type="character" w:customStyle="1" w:styleId="fontstyle21">
    <w:name w:val="fontstyle21"/>
    <w:basedOn w:val="DefaultParagraphFont"/>
    <w:rsid w:val="00D10C03"/>
    <w:rPr>
      <w:rFonts w:ascii="Calibri" w:hAnsi="Calibri" w:cs="Calibri" w:hint="default"/>
      <w:b w:val="0"/>
      <w:bCs w:val="0"/>
      <w:i w:val="0"/>
      <w:iCs w:val="0"/>
      <w:color w:val="000000"/>
      <w:sz w:val="22"/>
      <w:szCs w:val="22"/>
    </w:rPr>
  </w:style>
  <w:style w:type="paragraph" w:styleId="ListParagraph">
    <w:name w:val="List Paragraph"/>
    <w:basedOn w:val="Normal"/>
    <w:uiPriority w:val="34"/>
    <w:qFormat/>
    <w:rsid w:val="009E27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2</Pages>
  <Words>2295</Words>
  <Characters>1309</Characters>
  <Application>Microsoft Office Word</Application>
  <DocSecurity>0</DocSecurity>
  <Lines>10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Usetr</dc:creator>
  <cp:keywords/>
  <dc:description/>
  <cp:lastModifiedBy>Usetr</cp:lastModifiedBy>
  <cp:revision>6</cp:revision>
  <dcterms:created xsi:type="dcterms:W3CDTF">2021-01-13T16:04:00Z</dcterms:created>
  <dcterms:modified xsi:type="dcterms:W3CDTF">2021-01-14T12:12:00Z</dcterms:modified>
</cp:coreProperties>
</file>