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Agribusiness Data Landscape Exploration &amp; Planning</w:t>
      </w:r>
    </w:p>
    <w:p>
      <w:pPr>
        <w:spacing w:after="400"/>
      </w:pPr>
      <w:r>
        <w:rPr>
          <w:i/>
          <w:iCs/>
          <w:sz w:val="22"/>
          <w:szCs w:val="22"/>
        </w:rPr>
        <w:t xml:space="preserve">Week 1 Task | Junior Data Analyst - Agribusiness Internship | Yuva Intern</w:t>
      </w:r>
    </w:p>
    <w:p>
      <w:pPr>
        <w:pStyle w:val="Heading1"/>
        <w:spacing w:after="150" w:before="300"/>
      </w:pPr>
      <w:r>
        <w:t xml:space="preserve">1. Introduction</w:t>
      </w:r>
    </w:p>
    <w:p>
      <w:pPr>
        <w:spacing w:after="120"/>
      </w:pPr>
      <w:r>
        <w:t xml:space="preserve">Agribusiness decision-making - by farmers, traders, agribusiness firms, and policymakers - depends on timely, reliable data spanning production, weather, markets, and economics. This report surveys five publicly available agribusiness data sources, reviews the major data types they provide, proposes a set of key performance indicators (KPIs) for future analysis, and outlines a strategic plan for approaching agribusiness data analysis in upcoming weeks of this internship.</w:t>
      </w:r>
    </w:p>
    <w:p>
      <w:pPr>
        <w:pStyle w:val="Heading1"/>
        <w:spacing w:after="150" w:before="300"/>
      </w:pPr>
      <w:r>
        <w:t xml:space="preserve">2. Identified Data Sources</w:t>
      </w:r>
    </w:p>
    <w:p>
      <w:pPr>
        <w:spacing w:after="120"/>
      </w:pPr>
      <w:r>
        <w:t xml:space="preserve">Five public data sources were identified and reviewed, covering both India-specific and global agribusiness data: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600"/>
        <w:gridCol w:w="3000"/>
        <w:gridCol w:w="1350"/>
        <w:gridCol w:w="1500"/>
      </w:tblGrid>
      <w:tr>
        <w:tc>
          <w:tcPr>
            <w:tcW w:type="dxa" w:w="1900"/>
            <w:shd w:fill="2E533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600"/>
            <w:shd w:fill="2E533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3000"/>
            <w:shd w:fill="2E533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Captured</w:t>
            </w:r>
          </w:p>
        </w:tc>
        <w:tc>
          <w:tcPr>
            <w:tcW w:type="dxa" w:w="1350"/>
            <w:shd w:fill="2E533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1500"/>
            <w:shd w:fill="2E533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Relevance</w:t>
            </w:r>
          </w:p>
        </w:tc>
      </w:tr>
      <w:tr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Crop-wise Area, Production &amp; Yield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India Data Portal / Ministry of Agriculture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State/district-level area, production, and yield for major Indian crops</w:t>
            </w:r>
          </w:p>
        </w:tc>
        <w:tc>
          <w:tcPr>
            <w:tcW w:type="dxa" w:w="13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CSV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Core dataset for regional yield trend analysis</w:t>
            </w:r>
          </w:p>
        </w:tc>
      </w:tr>
      <w:tr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FAOSTAT - Trade: Crops &amp; Livestock (Asia)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FAO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Import/export volumes and values for crops &amp; livestock, Asia region</w:t>
            </w:r>
          </w:p>
        </w:tc>
        <w:tc>
          <w:tcPr>
            <w:tcW w:type="dxa" w:w="13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 query / CSV export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Export competitiveness and trade-flow analysis</w:t>
            </w:r>
          </w:p>
        </w:tc>
      </w:tr>
      <w:tr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World Bank Data360 - Agricultural Commodity Indices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World Bank / FAO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Global agricultural commodity price indices</w:t>
            </w:r>
          </w:p>
        </w:tc>
        <w:tc>
          <w:tcPr>
            <w:tcW w:type="dxa" w:w="13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Searchable DB / CSV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Macro price-trend and volatility analysis</w:t>
            </w:r>
          </w:p>
        </w:tc>
      </w:tr>
      <w:tr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Agriculture and Farming Dataset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Kaggle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Farm-level records: crop type, area, irrigation, fertilizer, pesticide, water use, yield (50 farms)</w:t>
            </w:r>
          </w:p>
        </w:tc>
        <w:tc>
          <w:tcPr>
            <w:tcW w:type="dxa" w:w="13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CSV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Only micro/farm-level dataset - enables input-efficiency analysis</w:t>
            </w:r>
          </w:p>
        </w:tc>
      </w:tr>
      <w:tr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Agriculture &amp; Rural Development Indicators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World Bank Open Data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Country-level agri value-added, land use, rural population/employment</w:t>
            </w:r>
          </w:p>
        </w:tc>
        <w:tc>
          <w:tcPr>
            <w:tcW w:type="dxa" w:w="13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CSV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Ties analysis to broader economic/business impact</w:t>
            </w:r>
          </w:p>
        </w:tc>
      </w:tr>
    </w:tbl>
    <w:p>
      <w:pPr>
        <w:pStyle w:val="Heading1"/>
        <w:spacing w:after="150" w:before="300"/>
      </w:pPr>
      <w:r>
        <w:t xml:space="preserve">3. Data Types and Their Use in Decision-Making</w:t>
      </w:r>
    </w:p>
    <w:p>
      <w:pPr>
        <w:spacing w:after="120"/>
      </w:pPr>
      <w:r>
        <w:t xml:space="preserve">Crop Yield Data (India Data Portal, Kaggle): captures production volume, yield per hectare, and area under cultivation. Farmers and cooperatives use this to plan crop rotation and input allocation; agribusiness firms use yield trends to forecast supply and set procurement targets; policymakers use it to target irrigation or subsidy interventions.</w:t>
      </w:r>
    </w:p>
    <w:p>
      <w:pPr>
        <w:spacing w:after="120"/>
      </w:pPr>
      <w:r>
        <w:t xml:space="preserve">Market Price Data (World Bank AGCI, Agmarknet-type sources): captures commodity prices and volatility. Farmers use it to decide when and where to sell; traders and agribusinesses use price volatility to time purchases and manage inventory risk; it also feeds contract-pricing models.</w:t>
      </w:r>
    </w:p>
    <w:p>
      <w:pPr>
        <w:spacing w:after="120"/>
      </w:pPr>
      <w:r>
        <w:t xml:space="preserve">Trade Data (FAOSTAT): captures import/export volumes for crops and livestock. Used to assess export competitiveness and identify under-exploited trade opportunities for Indian commodities.</w:t>
      </w:r>
    </w:p>
    <w:p>
      <w:pPr>
        <w:spacing w:after="120"/>
      </w:pPr>
      <w:r>
        <w:t xml:space="preserve">Farm-Level Operational Data (Kaggle): captures irrigation type, fertilizer/pesticide use, water usage, and resulting yield at the individual-farm level. This is the only micro-level dataset among the five, enabling input-output efficiency analysis that macro datasets cannot provide.</w:t>
      </w:r>
    </w:p>
    <w:p>
      <w:pPr>
        <w:spacing w:after="120"/>
      </w:pPr>
      <w:r>
        <w:t xml:space="preserve">Economic/Rural Development Data (World Bank): captures agricultural value-added and rural employment share. Used to contextualize the economic significance of the sector and assess social impact of interventions.</w:t>
      </w:r>
    </w:p>
    <w:p>
      <w:pPr>
        <w:spacing w:after="120"/>
      </w:pPr>
      <w:r>
        <w:t xml:space="preserve">The strongest analytical value comes from combining these layers - for example, overlaying farm-level input efficiency with regional yield trends and market price volatility - rather than treating each source in isolation.</w:t>
      </w:r>
    </w:p>
    <w:p>
      <w:pPr>
        <w:pStyle w:val="Heading1"/>
        <w:spacing w:after="150" w:before="300"/>
      </w:pPr>
      <w:r>
        <w:t xml:space="preserve">4. Key Performance Indicators (KPI) Plan</w:t>
      </w:r>
    </w:p>
    <w:p>
      <w:pPr>
        <w:spacing w:after="120"/>
      </w:pPr>
      <w:r>
        <w:t xml:space="preserve">The following KPIs are proposed for use in subsequent analysis weeks, grouped by category: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600"/>
        <w:gridCol w:w="1600"/>
        <w:gridCol w:w="3250"/>
      </w:tblGrid>
      <w:tr>
        <w:tc>
          <w:tcPr>
            <w:tcW w:type="dxa" w:w="1900"/>
            <w:shd w:fill="2E533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600"/>
            <w:shd w:fill="2E533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It's Computed</w:t>
            </w:r>
          </w:p>
        </w:tc>
        <w:tc>
          <w:tcPr>
            <w:tcW w:type="dxa" w:w="1600"/>
            <w:shd w:fill="2E533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250"/>
            <w:shd w:fill="2E533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Decision It Informs</w:t>
            </w:r>
          </w:p>
        </w:tc>
      </w:tr>
      <w:tr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Yield per acre/hectare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Total production / total area, by crop-region-season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India Data Portal, Kaggle</w:t>
            </w:r>
          </w:p>
        </w:tc>
        <w:tc>
          <w:tcPr>
            <w:tcW w:type="dxa" w:w="3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Prioritizes investment and extension services toward under-performing crops/regions</w:t>
            </w:r>
          </w:p>
        </w:tc>
      </w:tr>
      <w:tr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Yield variance (YoY)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Std. dev. / % change in yield, same crop-region across years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India Data Portal</w:t>
            </w:r>
          </w:p>
        </w:tc>
        <w:tc>
          <w:tcPr>
            <w:tcW w:type="dxa" w:w="3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Flags climate-vulnerable areas needing insurance or resilient seed programs</w:t>
            </w:r>
          </w:p>
        </w:tc>
      </w:tr>
      <w:tr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Input efficiency (yield/fertilizer, yield/water)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Yield (tons) / Fertilizer or Water used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Kaggle farm dataset</w:t>
            </w:r>
          </w:p>
        </w:tc>
        <w:tc>
          <w:tcPr>
            <w:tcW w:type="dxa" w:w="3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Identifies farms needing efficiency coaching rather than more inputs</w:t>
            </w:r>
          </w:p>
        </w:tc>
      </w:tr>
      <w:tr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Price volatility index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Std. dev. of price over rolling time window, per commodity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World Bank AGCI / Agmarknet-type data</w:t>
            </w:r>
          </w:p>
        </w:tc>
        <w:tc>
          <w:tcPr>
            <w:tcW w:type="dxa" w:w="3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Identifies crops needing price-support or forward-contracting</w:t>
            </w:r>
          </w:p>
        </w:tc>
      </w:tr>
      <w:tr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Export competitiveness ratio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Export volume / domestic production, by crop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FAOSTAT trade data</w:t>
            </w:r>
          </w:p>
        </w:tc>
        <w:tc>
          <w:tcPr>
            <w:tcW w:type="dxa" w:w="3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Flags under-exploited crops for export-oriented supply chains</w:t>
            </w:r>
          </w:p>
        </w:tc>
      </w:tr>
      <w:tr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Price-yield correlation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Correlation coefficient, yield vs. price over time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Combined price + yield data</w:t>
            </w:r>
          </w:p>
        </w:tc>
        <w:tc>
          <w:tcPr>
            <w:tcW w:type="dxa" w:w="3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Informs storage/withholding decisions in bumper-harvest years</w:t>
            </w:r>
          </w:p>
        </w:tc>
      </w:tr>
      <w:tr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Agricultural value added (% GDP)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Reported indicator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World Bank</w:t>
            </w:r>
          </w:p>
        </w:tc>
        <w:tc>
          <w:tcPr>
            <w:tcW w:type="dxa" w:w="3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Contextualizes sector significance for investment decisions</w:t>
            </w:r>
          </w:p>
        </w:tc>
      </w:tr>
      <w:tr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Rural employment share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Reported indicator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World Bank</w:t>
            </w:r>
          </w:p>
        </w:tc>
        <w:tc>
          <w:tcPr>
            <w:tcW w:type="dxa" w:w="3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Assesses social impact of mechanization/agribusiness interventions</w:t>
            </w:r>
          </w:p>
        </w:tc>
      </w:tr>
      <w:tr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Water use efficiency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Yield (tons) / water used (1000 m3)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Kaggle farm dataset</w:t>
            </w:r>
          </w:p>
        </w:tc>
        <w:tc>
          <w:tcPr>
            <w:tcW w:type="dxa" w:w="3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Guides water allocation policy amid water stress</w:t>
            </w:r>
          </w:p>
        </w:tc>
      </w:tr>
      <w:tr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Irrigation type impact on yield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Average yield grouped by irrigation type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Kaggle farm dataset</w:t>
            </w:r>
          </w:p>
        </w:tc>
        <w:tc>
          <w:tcPr>
            <w:tcW w:type="dxa" w:w="3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Direct recommendation for irrigation infrastructure investment</w:t>
            </w:r>
          </w:p>
        </w:tc>
      </w:tr>
      <w:tr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Soil type vs. yield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Average yield grouped by soil type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Kaggle farm dataset</w:t>
            </w:r>
          </w:p>
        </w:tc>
        <w:tc>
          <w:tcPr>
            <w:tcW w:type="dxa" w:w="3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Targets soil amendment programs by soil type</w:t>
            </w:r>
          </w:p>
        </w:tc>
      </w:tr>
    </w:tbl>
    <w:p>
      <w:pPr>
        <w:pStyle w:val="Heading1"/>
        <w:spacing w:after="150" w:before="300"/>
      </w:pPr>
      <w:r>
        <w:t xml:space="preserve">5. Preliminary Exploration of the Farm-Level Dataset</w:t>
      </w:r>
    </w:p>
    <w:p>
      <w:pPr>
        <w:spacing w:after="120"/>
      </w:pPr>
      <w:r>
        <w:t xml:space="preserve">As an initial exercise, the farm-level Kaggle dataset (50 farms) was explored to test feasibility of the input-efficiency KPIs above. Key preliminary findings: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175"/>
        <w:gridCol w:w="2975"/>
      </w:tblGrid>
      <w:tr>
        <w:tc>
          <w:tcPr>
            <w:tcW w:type="dxa" w:w="3200"/>
            <w:shd w:fill="2E533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75"/>
            <w:shd w:fill="2E533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Finding (from 50-farm sample)</w:t>
            </w:r>
          </w:p>
        </w:tc>
        <w:tc>
          <w:tcPr>
            <w:tcW w:type="dxa" w:w="2975"/>
            <w:shd w:fill="2E533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Implication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Yield per acre by crop</w:t>
            </w:r>
          </w:p>
        </w:tc>
        <w:tc>
          <w:tcPr>
            <w:tcW w:type="dxa" w:w="3175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Carrot (0.70) and Sugarcane (0.68) highest; Rice (0.07) and Maize (0.08) lowest</w:t>
            </w:r>
          </w:p>
        </w:tc>
        <w:tc>
          <w:tcPr>
            <w:tcW w:type="dxa" w:w="2975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Root/vegetable crops show far higher yield density than grains in this sample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Water use efficiency by irrigation type</w:t>
            </w:r>
          </w:p>
        </w:tc>
        <w:tc>
          <w:tcPr>
            <w:tcW w:type="dxa" w:w="3175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Rain-fed (1.11 tons/1000m3) and Drip (0.89) most efficient; Flood (0.35) least</w:t>
            </w:r>
          </w:p>
        </w:tc>
        <w:tc>
          <w:tcPr>
            <w:tcW w:type="dxa" w:w="2975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Flood irrigation is the clearest target for water-efficiency improvement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Average yield by irrigation type</w:t>
            </w:r>
          </w:p>
        </w:tc>
        <w:tc>
          <w:tcPr>
            <w:tcW w:type="dxa" w:w="3175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Manual highest (34.16 tons) despite mid-range water efficiency</w:t>
            </w:r>
          </w:p>
        </w:tc>
        <w:tc>
          <w:tcPr>
            <w:tcW w:type="dxa" w:w="2975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nuance worth flagging - possibly sample-size driven, needs a larger dataset to confirm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Fertilizer efficiency by crop</w:t>
            </w:r>
          </w:p>
        </w:tc>
        <w:tc>
          <w:tcPr>
            <w:tcW w:type="dxa" w:w="3175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Maize and Soybean highest; Potato lowest</w:t>
            </w:r>
          </w:p>
        </w:tc>
        <w:tc>
          <w:tcPr>
            <w:tcW w:type="dxa" w:w="2975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Candidate insight for input-cost optimization advice to farmers</w:t>
            </w:r>
          </w:p>
        </w:tc>
      </w:tr>
    </w:tbl>
    <w:p>
      <w:pPr>
        <w:spacing w:after="120"/>
      </w:pPr>
      <w:r>
        <w:rPr>
          <w:i/>
          <w:iCs/>
          <w:sz w:val="20"/>
          <w:szCs w:val="20"/>
        </w:rPr>
        <w:t xml:space="preserve">Note: With only 50 records, these findings are directional rather than conclusive. A key recommendation for future weeks is to validate these patterns against a larger dataset (e.g., India Data Portal's district-level records) before drawing firm conclusions.</w:t>
      </w:r>
    </w:p>
    <w:p>
      <w:pPr>
        <w:pStyle w:val="Heading1"/>
        <w:spacing w:after="150" w:before="300"/>
      </w:pPr>
      <w:r>
        <w:t xml:space="preserve">6. Strategic Plan for Future Analysis</w:t>
      </w:r>
    </w:p>
    <w:p>
      <w:pPr>
        <w:spacing w:after="120"/>
      </w:pPr>
      <w:r>
        <w:t xml:space="preserve">The proposed approach for upcoming weeks follows four stages: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Data Cleaning &amp; Consolidation - standardize units, handle missing values, and align time periods/geographies across the five sources so they can be joined for cross-source analysis.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Exploratory Data Analysis - compute the KPIs defined in Section 4 across the full (non-sample) datasets, identify trends, outliers, and correlations (e.g., price-yield, input-efficiency by region).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Predictive/Diagnostic Modeling - build simple models (e.g., regression) to test relationships such as weather impact on yield, or fertilizer use versus yield returns, once sufficient historical data is consolidated.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Visualization &amp; Reporting - translate findings into dashboards or summary reports usable by non-technical stakeholders (farmers, cooperative managers, policymakers).</w:t>
      </w:r>
    </w:p>
    <w:p>
      <w:pPr>
        <w:pStyle w:val="Heading1"/>
        <w:spacing w:after="150" w:before="300"/>
      </w:pPr>
      <w:r>
        <w:t xml:space="preserve">7. Addressing Common Agribusiness Challenges</w:t>
      </w:r>
    </w:p>
    <w:p>
      <w:pPr>
        <w:spacing w:after="120"/>
      </w:pPr>
      <w:r>
        <w:t xml:space="preserve">Price Volatility: Price volatility and price-yield correlation KPIs (Section 4) give farmers and traders early signals to inform storage and selling decisions, reducing losses from selling during oversupply gluts.</w:t>
      </w:r>
    </w:p>
    <w:p>
      <w:pPr>
        <w:spacing w:after="120"/>
      </w:pPr>
      <w:r>
        <w:t xml:space="preserve">Climate &amp; Yield Risk: Yield variance tracking and (in later weeks) weather-yield correlation analysis can flag high-risk regions for targeted insurance products or resilient-seed interventions.</w:t>
      </w:r>
    </w:p>
    <w:p>
      <w:pPr>
        <w:spacing w:after="120"/>
      </w:pPr>
      <w:r>
        <w:t xml:space="preserve">Resource Inefficiency: Input-efficiency KPIs (fertilizer, water use) directly identify where farms are over-using inputs relative to yield, supporting targeted efficiency coaching rather than blanket input subsidies.</w:t>
      </w:r>
    </w:p>
    <w:p>
      <w:pPr>
        <w:spacing w:after="120"/>
      </w:pPr>
      <w:r>
        <w:t xml:space="preserve">Market Access &amp; Export Gaps: The export competitiveness ratio highlights crops with strong production but weak export penetration, pointing to specific opportunities for agribusiness firms to develop export-oriented supply chains.</w:t>
      </w:r>
    </w:p>
    <w:p>
      <w:pPr>
        <w:pStyle w:val="Heading1"/>
        <w:spacing w:after="150" w:before="300"/>
      </w:pPr>
      <w:r>
        <w:t xml:space="preserve">8. Conclusion</w:t>
      </w:r>
    </w:p>
    <w:p>
      <w:pPr>
        <w:spacing w:after="120"/>
      </w:pPr>
      <w:r>
        <w:t xml:space="preserve">This exploration identified five complementary public data sources spanning farm-level, regional, and global agribusiness data; mapped their use to concrete business and policy decisions; and proposed a 11-KPI measurement framework spanning productivity, market, economic, and sustainability dimensions. A preliminary test of the farm-level dataset confirmed the feasibility of the input-efficiency KPIs and surfaced early patterns worth validating at scale. The four-stage strategic plan outlined in Section 6 will guide data consolidation, exploration, modeling, and reporting in subsequent weeks of this internship.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2026-09-15T18:45:22.978Z</dcterms:created>
  <dcterms:modified xsi:type="dcterms:W3CDTF">2026-09-15T18:45:22.986Z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