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Week 2 Report: Data Collection, Cleaning and Preprocessing for Logistics Analysis</w:t>
      </w:r>
    </w:p>
    <w:p>
      <w:pPr/>
      <w:r>
        <w:rPr>
          <w:b/>
        </w:rPr>
        <w:t xml:space="preserve">Prepared by:</w:t>
      </w:r>
      <w:r>
        <w:t xml:space="preserve"> Sarnadip | Logistics Data Analyst Intern | Week 2</w:t>
      </w:r>
    </w:p>
    <w:p>
      <w:pPr>
        <w:pStyle w:val="Heading2"/>
      </w:pPr>
      <w:r>
        <w:t xml:space="preserve">1. Introduction and Dataset Description</w:t>
      </w:r>
    </w:p>
    <w:p>
      <w:pPr/>
      <w:r>
        <w:t xml:space="preserve">This report shows how raw logistics data is checked, cleaned and prepared before analysis. Data preparation is the first step of any analysis, because every later result depends on it. The report follows a simple pipeline: collect and describe the data, check its quality, fix the problems found, scale the numbers, and save a clean file.</w:t>
      </w:r>
    </w:p>
    <w:p>
      <w:pPr/>
      <w:r>
        <w:rPr>
          <w:b/>
        </w:rPr>
        <w:t xml:space="preserve">Data collection.</w:t>
      </w:r>
      <w:r>
        <w:t xml:space="preserve"> The data comes from a public Kaggle dataset, "Delivery Logistics Dataset (India – Multi-Partner)", published by kundanbedmutha. It records 25,000 deliveries made by nine delivery partners across five regions of India. Collection is simulated: the file was downloaded and its characteristics were described, as if it had been collected from a company's delivery system.</w:t>
      </w:r>
    </w:p>
    <w:tbl>
      <w:tblPr>
        <w:tblStyle w:val="TableGrid"/>
        <w:tblW w:w="0" w:type="auto"/>
        <w:tblLayout w:type="fixed"/>
        <w:tblLook w:val="04A0" w:firstRow="1" w:lastRow="0" w:firstColumn="0" w:lastColumn="0" w:noHBand="0" w:noVBand="1"/>
      </w:tblPr>
      <w:tblGrid>
        <w:gridCol w:w="2606"/>
        <w:gridCol w:w="6753"/>
      </w:tblGrid>
      <w:tr>
        <w:trPr>
          <w:tblHeader/>
        </w:trPr>
        <w:tc>
          <w:tcPr>
            <w:tcW w:w="2606" w:type="dxa"/>
            <w:shd w:val="clear" w:color="auto" w:fill="F2F2F2"/>
          </w:tcPr>
          <w:p>
            <w:pPr/>
            <w:r>
              <w:t xml:space="preserve">Characteristic</w:t>
            </w:r>
          </w:p>
        </w:tc>
        <w:tc>
          <w:tcPr>
            <w:tcW w:w="6753" w:type="dxa"/>
            <w:shd w:val="clear" w:color="auto" w:fill="F2F2F2"/>
          </w:tcPr>
          <w:p>
            <w:pPr/>
            <w:r>
              <w:t xml:space="preserve">Description</w:t>
            </w:r>
          </w:p>
        </w:tc>
      </w:tr>
      <w:tr>
        <w:tc>
          <w:tcPr>
            <w:tcW w:w="2606" w:type="dxa"/>
          </w:tcPr>
          <w:p>
            <w:pPr/>
            <w:r>
              <w:t xml:space="preserve">Size</w:t>
            </w:r>
          </w:p>
        </w:tc>
        <w:tc>
          <w:tcPr>
            <w:tcW w:w="6753" w:type="dxa"/>
          </w:tcPr>
          <w:p>
            <w:pPr/>
            <w:r>
              <w:t xml:space="preserve">25,000 rows and 15 columns (14 after cleaning)</w:t>
            </w:r>
          </w:p>
        </w:tc>
      </w:tr>
      <w:tr>
        <w:tc>
          <w:tcPr>
            <w:tcW w:w="2606" w:type="dxa"/>
          </w:tcPr>
          <w:p>
            <w:pPr/>
            <w:r>
              <w:t xml:space="preserve">Delivery details</w:t>
            </w:r>
          </w:p>
        </w:tc>
        <w:tc>
          <w:tcPr>
            <w:tcW w:w="6753" w:type="dxa"/>
          </w:tcPr>
          <w:p>
            <w:pPr/>
            <w:r>
              <w:t xml:space="preserve">Delivery partner (9), package type (9), vehicle type (6), delivery mode (4), region (5), weather condition (6)</w:t>
            </w:r>
          </w:p>
        </w:tc>
      </w:tr>
      <w:tr>
        <w:tc>
          <w:tcPr>
            <w:tcW w:w="2606" w:type="dxa"/>
          </w:tcPr>
          <w:p>
            <w:pPr/>
            <w:r>
              <w:t xml:space="preserve">Numbers</w:t>
            </w:r>
          </w:p>
        </w:tc>
        <w:tc>
          <w:tcPr>
            <w:tcW w:w="6753" w:type="dxa"/>
          </w:tcPr>
          <w:p>
            <w:pPr/>
            <w:r>
              <w:t xml:space="preserve">Distance (km), package weight (kg), delivery time (hours), expected time (hours), delivery cost (₹), delivery rating (1 to 5)</w:t>
            </w:r>
          </w:p>
        </w:tc>
      </w:tr>
      <w:tr>
        <w:tc>
          <w:tcPr>
            <w:tcW w:w="2606" w:type="dxa"/>
          </w:tcPr>
          <w:p>
            <w:pPr/>
            <w:r>
              <w:t xml:space="preserve">Results</w:t>
            </w:r>
          </w:p>
        </w:tc>
        <w:tc>
          <w:tcPr>
            <w:tcW w:w="6753" w:type="dxa"/>
          </w:tcPr>
          <w:p>
            <w:pPr/>
            <w:r>
              <w:t xml:space="preserve">Delayed (yes or no), delivery status (delivered, delayed or failed)</w:t>
            </w:r>
          </w:p>
        </w:tc>
      </w:tr>
    </w:tbl>
    <w:p>
      <w:pPr>
        <w:pStyle w:val="Heading2"/>
      </w:pPr>
      <w:r>
        <w:t xml:space="preserve">2. Background: Why Data Quality Matters in Logistics</w:t>
      </w:r>
    </w:p>
    <w:p>
      <w:pPr/>
      <w:r>
        <w:rPr>
          <w:b/>
        </w:rPr>
        <w:t xml:space="preserve">Logistics runs on data.</w:t>
      </w:r>
      <w:r>
        <w:t xml:space="preserve"> Every choice in logistics, such as which partner to use, how long to promise, or how to price a delivery, is made from data. When the data is wrong, the decision is wrong, and the mistake can grow as it moves through the supply chain. Industry writers describe this as a cascade: a single piece of bad data can affect many later decisions. They also note that misleading data is worse than missing data, because it looks correct and is trusted.</w:t>
      </w:r>
    </w:p>
    <w:p>
      <w:pPr/>
      <w:r>
        <w:rPr>
          <w:b/>
        </w:rPr>
        <w:t xml:space="preserve">The cost of bad data.</w:t>
      </w:r>
      <w:r>
        <w:t xml:space="preserve"> One logistics industry article estimates that bad data costs companies in the United States more than $3 trillion every year, and reports that data quality tools can return ten times their cost. Figures like this come from industry sources and should be read as estimates, but they show how large the problem is believed to be. Another source, reporting figures from Harvard Business Review, says data scientists spend about 60% of their time cleaning and organizing data.</w:t>
      </w:r>
    </w:p>
    <w:p>
      <w:pPr/>
      <w:r>
        <w:rPr>
          <w:b/>
        </w:rPr>
        <w:t xml:space="preserve">Common data problems in logistics.</w:t>
      </w:r>
      <w:r>
        <w:t xml:space="preserve"> A 2025 paper from the Fraunhofer Institute for Material Flow and Logistics names missing, wrong and duplicate entries as the usual problems in logistics data. It links them to inefficient supply chains, higher operating costs and poor decisions. Other writers add late or out-of-date data, and data kept in separate systems that do not match. A QIMA article citing Supply Chain Dive says 94% of businesses lack full visibility of their supply chain. The same idea applies at a small scale to our dataset: before using it, we must check for these problems.</w:t>
      </w:r>
    </w:p>
    <w:p>
      <w:pPr/>
      <w:r>
        <w:rPr>
          <w:b/>
        </w:rPr>
        <w:t xml:space="preserve">Data quality and analytics.</w:t>
      </w:r>
      <w:r>
        <w:t xml:space="preserve"> Charts, averages and prediction models only repeat what the data tells them. A supply chain data article from Cozentus notes that analytics built on incomplete or wrong data give misleading answers, and that AI gives unreliable results when the data is poor. This is why cleaning comes before modeling in the roadmap from Week 1.</w:t>
      </w:r>
    </w:p>
    <w:p>
      <w:pPr/>
      <w:r>
        <w:rPr>
          <w:b/>
        </w:rPr>
        <w:t xml:space="preserve">Fit for use.</w:t>
      </w:r>
      <w:r>
        <w:t xml:space="preserve"> Data can be correct for one purpose and unsuitable for another. For example, data collected for billing may not contain what a delivery analysis needs. In this project, the question is whether the data is fit for studying delays and cost, which guides the checks used below.</w:t>
      </w:r>
    </w:p>
    <w:p>
      <w:pPr>
        <w:pStyle w:val="Heading2"/>
      </w:pPr>
      <w:r>
        <w:t xml:space="preserve">3. Data Quality Issues Found</w:t>
      </w:r>
    </w:p>
    <w:p>
      <w:pPr/>
      <w:r>
        <w:t xml:space="preserve">The dataset was checked for the most common quality problems. Most checks passed, but two format problems were found.</w:t>
      </w:r>
    </w:p>
    <w:tbl>
      <w:tblPr>
        <w:tblStyle w:val="TableGrid"/>
        <w:tblW w:w="0" w:type="auto"/>
        <w:tblLayout w:type="fixed"/>
        <w:tblLook w:val="04A0" w:firstRow="1" w:lastRow="0" w:firstColumn="0" w:lastColumn="0" w:noHBand="0" w:noVBand="1"/>
      </w:tblPr>
      <w:tblGrid>
        <w:gridCol w:w="2223"/>
        <w:gridCol w:w="4689"/>
        <w:gridCol w:w="2447"/>
      </w:tblGrid>
      <w:tr>
        <w:trPr>
          <w:tblHeader/>
        </w:trPr>
        <w:tc>
          <w:tcPr>
            <w:tcW w:w="2223" w:type="dxa"/>
            <w:shd w:val="clear" w:color="auto" w:fill="F2F2F2"/>
          </w:tcPr>
          <w:p>
            <w:pPr/>
            <w:r>
              <w:t xml:space="preserve">Check</w:t>
            </w:r>
          </w:p>
        </w:tc>
        <w:tc>
          <w:tcPr>
            <w:tcW w:w="4689" w:type="dxa"/>
            <w:shd w:val="clear" w:color="auto" w:fill="F2F2F2"/>
          </w:tcPr>
          <w:p>
            <w:pPr/>
            <w:r>
              <w:t xml:space="preserve">Result</w:t>
            </w:r>
          </w:p>
        </w:tc>
        <w:tc>
          <w:tcPr>
            <w:tcW w:w="2447" w:type="dxa"/>
            <w:shd w:val="clear" w:color="auto" w:fill="F2F2F2"/>
          </w:tcPr>
          <w:p>
            <w:pPr/>
            <w:r>
              <w:t xml:space="preserve">Action needed</w:t>
            </w:r>
          </w:p>
        </w:tc>
      </w:tr>
      <w:tr>
        <w:tc>
          <w:tcPr>
            <w:tcW w:w="2223" w:type="dxa"/>
          </w:tcPr>
          <w:p>
            <w:pPr/>
            <w:r>
              <w:t xml:space="preserve">Missing values</w:t>
            </w:r>
          </w:p>
        </w:tc>
        <w:tc>
          <w:tcPr>
            <w:tcW w:w="4689" w:type="dxa"/>
          </w:tcPr>
          <w:p>
            <w:pPr/>
            <w:r>
              <w:t xml:space="preserve">0 in every column</w:t>
            </w:r>
          </w:p>
        </w:tc>
        <w:tc>
          <w:tcPr>
            <w:tcW w:w="2447" w:type="dxa"/>
          </w:tcPr>
          <w:p>
            <w:pPr/>
            <w:r>
              <w:t xml:space="preserve">None (technique demonstrated on a copy)</w:t>
            </w:r>
          </w:p>
        </w:tc>
      </w:tr>
      <w:tr>
        <w:tc>
          <w:tcPr>
            <w:tcW w:w="2223" w:type="dxa"/>
          </w:tcPr>
          <w:p>
            <w:pPr/>
            <w:r>
              <w:t xml:space="preserve">Duplicate rows</w:t>
            </w:r>
          </w:p>
        </w:tc>
        <w:tc>
          <w:tcPr>
            <w:tcW w:w="4689" w:type="dxa"/>
          </w:tcPr>
          <w:p>
            <w:pPr/>
            <w:r>
              <w:t xml:space="preserve">0</w:t>
            </w:r>
          </w:p>
        </w:tc>
        <w:tc>
          <w:tcPr>
            <w:tcW w:w="2447" w:type="dxa"/>
          </w:tcPr>
          <w:p>
            <w:pPr/>
            <w:r>
              <w:t xml:space="preserve">None</w:t>
            </w:r>
          </w:p>
        </w:tc>
      </w:tr>
      <w:tr>
        <w:tc>
          <w:tcPr>
            <w:tcW w:w="2223" w:type="dxa"/>
          </w:tcPr>
          <w:p>
            <w:pPr/>
            <w:r>
              <w:t xml:space="preserve">Time columns</w:t>
            </w:r>
          </w:p>
        </w:tc>
        <w:tc>
          <w:tcPr>
            <w:tcW w:w="4689" w:type="dxa"/>
          </w:tcPr>
          <w:p>
            <w:pPr/>
            <w:r>
              <w:t xml:space="preserve">Stored as text instead of numbers</w:t>
            </w:r>
          </w:p>
        </w:tc>
        <w:tc>
          <w:tcPr>
            <w:tcW w:w="2447" w:type="dxa"/>
          </w:tcPr>
          <w:p>
            <w:pPr/>
            <w:r>
              <w:t xml:space="preserve">Convert to whole numbers</w:t>
            </w:r>
          </w:p>
        </w:tc>
      </w:tr>
      <w:tr>
        <w:tc>
          <w:tcPr>
            <w:tcW w:w="2223" w:type="dxa"/>
          </w:tcPr>
          <w:p>
            <w:pPr/>
            <w:r>
              <w:t xml:space="preserve">delivery_id column</w:t>
            </w:r>
          </w:p>
        </w:tc>
        <w:tc>
          <w:tcPr>
            <w:tcW w:w="4689" w:type="dxa"/>
          </w:tcPr>
          <w:p>
            <w:pPr/>
            <w:r>
              <w:t xml:space="preserve">Decimal numbers with repeated values, cannot identify a delivery</w:t>
            </w:r>
          </w:p>
        </w:tc>
        <w:tc>
          <w:tcPr>
            <w:tcW w:w="2447" w:type="dxa"/>
          </w:tcPr>
          <w:p>
            <w:pPr/>
            <w:r>
              <w:t xml:space="preserve">Remove the column</w:t>
            </w:r>
          </w:p>
        </w:tc>
      </w:tr>
      <w:tr>
        <w:tc>
          <w:tcPr>
            <w:tcW w:w="2223" w:type="dxa"/>
          </w:tcPr>
          <w:p>
            <w:pPr/>
            <w:r>
              <w:t xml:space="preserve">Outliers</w:t>
            </w:r>
          </w:p>
        </w:tc>
        <w:tc>
          <w:tcPr>
            <w:tcW w:w="4689" w:type="dxa"/>
          </w:tcPr>
          <w:p>
            <w:pPr/>
            <w:r>
              <w:t xml:space="preserve">0 in distance, weight and cost</w:t>
            </w:r>
          </w:p>
        </w:tc>
        <w:tc>
          <w:tcPr>
            <w:tcW w:w="2447" w:type="dxa"/>
          </w:tcPr>
          <w:p>
            <w:pPr/>
            <w:r>
              <w:t xml:space="preserve">None</w:t>
            </w:r>
          </w:p>
        </w:tc>
      </w:tr>
      <w:tr>
        <w:tc>
          <w:tcPr>
            <w:tcW w:w="2223" w:type="dxa"/>
          </w:tcPr>
          <w:p>
            <w:pPr/>
            <w:r>
              <w:t xml:space="preserve">Different scales</w:t>
            </w:r>
          </w:p>
        </w:tc>
        <w:tc>
          <w:tcPr>
            <w:tcW w:w="4689" w:type="dxa"/>
          </w:tcPr>
          <w:p>
            <w:pPr/>
            <w:r>
              <w:t xml:space="preserve">Distance, weight and cost have very different ranges</w:t>
            </w:r>
          </w:p>
        </w:tc>
        <w:tc>
          <w:tcPr>
            <w:tcW w:w="2447" w:type="dxa"/>
          </w:tcPr>
          <w:p>
            <w:pPr/>
            <w:r>
              <w:t xml:space="preserve">Normalize</w:t>
            </w:r>
          </w:p>
        </w:tc>
      </w:tr>
      <w:tr>
        <w:tc>
          <w:tcPr>
            <w:tcW w:w="2223" w:type="dxa"/>
          </w:tcPr>
          <w:p>
            <w:pPr/>
            <w:r>
              <w:t xml:space="preserve">Text consistency</w:t>
            </w:r>
          </w:p>
        </w:tc>
        <w:tc>
          <w:tcPr>
            <w:tcW w:w="4689" w:type="dxa"/>
          </w:tcPr>
          <w:p>
            <w:pPr/>
            <w:r>
              <w:t xml:space="preserve">All values lowercase, no spelling differences</w:t>
            </w:r>
          </w:p>
        </w:tc>
        <w:tc>
          <w:tcPr>
            <w:tcW w:w="2447" w:type="dxa"/>
          </w:tcPr>
          <w:p>
            <w:pPr/>
            <w:r>
              <w:t xml:space="preserve">None</w:t>
            </w:r>
          </w:p>
        </w:tc>
      </w:tr>
    </w:tbl>
    <w:p>
      <w:pPr>
        <w:pStyle w:val="Heading2"/>
      </w:pPr>
      <w:r>
        <w:t xml:space="preserve">4. Methodology: Why Each Technique Was Chosen</w:t>
      </w:r>
    </w:p>
    <w:tbl>
      <w:tblPr>
        <w:tblStyle w:val="TableGrid"/>
        <w:tblW w:w="0" w:type="auto"/>
        <w:tblLayout w:type="fixed"/>
        <w:tblLook w:val="04A0" w:firstRow="1" w:lastRow="0" w:firstColumn="0" w:lastColumn="0" w:noHBand="0" w:noVBand="1"/>
      </w:tblPr>
      <w:tblGrid>
        <w:gridCol w:w="1464"/>
        <w:gridCol w:w="1669"/>
        <w:gridCol w:w="3735"/>
        <w:gridCol w:w="2492"/>
      </w:tblGrid>
      <w:tr>
        <w:trPr>
          <w:tblHeader/>
        </w:trPr>
        <w:tc>
          <w:tcPr>
            <w:tcW w:w="1464" w:type="dxa"/>
            <w:shd w:val="clear" w:color="auto" w:fill="F2F2F2"/>
          </w:tcPr>
          <w:p>
            <w:pPr/>
            <w:r>
              <w:t xml:space="preserve">Issue</w:t>
            </w:r>
          </w:p>
        </w:tc>
        <w:tc>
          <w:tcPr>
            <w:tcW w:w="1669" w:type="dxa"/>
            <w:shd w:val="clear" w:color="auto" w:fill="F2F2F2"/>
          </w:tcPr>
          <w:p>
            <w:pPr/>
            <w:r>
              <w:t xml:space="preserve">Technique</w:t>
            </w:r>
          </w:p>
        </w:tc>
        <w:tc>
          <w:tcPr>
            <w:tcW w:w="3735" w:type="dxa"/>
            <w:shd w:val="clear" w:color="auto" w:fill="F2F2F2"/>
          </w:tcPr>
          <w:p>
            <w:pPr/>
            <w:r>
              <w:t xml:space="preserve">Why it was chosen</w:t>
            </w:r>
          </w:p>
        </w:tc>
        <w:tc>
          <w:tcPr>
            <w:tcW w:w="2492" w:type="dxa"/>
            <w:shd w:val="clear" w:color="auto" w:fill="F2F2F2"/>
          </w:tcPr>
          <w:p>
            <w:pPr/>
            <w:r>
              <w:t xml:space="preserve">Effect on later analysis</w:t>
            </w:r>
          </w:p>
        </w:tc>
      </w:tr>
      <w:tr>
        <w:tc>
          <w:tcPr>
            <w:tcW w:w="1464" w:type="dxa"/>
          </w:tcPr>
          <w:p>
            <w:pPr/>
            <w:r>
              <w:t xml:space="preserve">Time columns stored as text</w:t>
            </w:r>
          </w:p>
        </w:tc>
        <w:tc>
          <w:tcPr>
            <w:tcW w:w="1669" w:type="dxa"/>
          </w:tcPr>
          <w:p>
            <w:pPr/>
            <w:r>
              <w:t xml:space="preserve">Keep the last digits and convert to integers</w:t>
            </w:r>
          </w:p>
        </w:tc>
        <w:tc>
          <w:tcPr>
            <w:tcW w:w="3735" w:type="dxa"/>
          </w:tcPr>
          <w:p>
            <w:pPr/>
            <w:r>
              <w:t xml:space="preserve">The real hours are the last digits of each value, and text cannot be used in calculations</w:t>
            </w:r>
          </w:p>
        </w:tc>
        <w:tc>
          <w:tcPr>
            <w:tcW w:w="2492" w:type="dxa"/>
          </w:tcPr>
          <w:p>
            <w:pPr/>
            <w:r>
              <w:t xml:space="preserve">Averages and delay checks become possible</w:t>
            </w:r>
          </w:p>
        </w:tc>
      </w:tr>
      <w:tr>
        <w:tc>
          <w:tcPr>
            <w:tcW w:w="1464" w:type="dxa"/>
          </w:tcPr>
          <w:p>
            <w:pPr/>
            <w:r>
              <w:t xml:space="preserve">delivery_id not usable</w:t>
            </w:r>
          </w:p>
        </w:tc>
        <w:tc>
          <w:tcPr>
            <w:tcW w:w="1669" w:type="dxa"/>
          </w:tcPr>
          <w:p>
            <w:pPr/>
            <w:r>
              <w:t xml:space="preserve">Drop the column</w:t>
            </w:r>
          </w:p>
        </w:tc>
        <w:tc>
          <w:tcPr>
            <w:tcW w:w="3735" w:type="dxa"/>
          </w:tcPr>
          <w:p>
            <w:pPr/>
            <w:r>
              <w:t xml:space="preserve">A column with repeated values cannot identify a delivery and could mislead the analysis</w:t>
            </w:r>
          </w:p>
        </w:tc>
        <w:tc>
          <w:tcPr>
            <w:tcW w:w="2492" w:type="dxa"/>
          </w:tcPr>
          <w:p>
            <w:pPr/>
            <w:r>
              <w:t xml:space="preserve">Removes a misleading column</w:t>
            </w:r>
          </w:p>
        </w:tc>
      </w:tr>
      <w:tr>
        <w:tc>
          <w:tcPr>
            <w:tcW w:w="1464" w:type="dxa"/>
          </w:tcPr>
          <w:p>
            <w:pPr/>
            <w:r>
              <w:t xml:space="preserve">Missing values</w:t>
            </w:r>
          </w:p>
        </w:tc>
        <w:tc>
          <w:tcPr>
            <w:tcW w:w="1669" w:type="dxa"/>
          </w:tcPr>
          <w:p>
            <w:pPr/>
            <w:r>
              <w:t xml:space="preserve">Fill with the median</w:t>
            </w:r>
          </w:p>
        </w:tc>
        <w:tc>
          <w:tcPr>
            <w:tcW w:w="3735" w:type="dxa"/>
          </w:tcPr>
          <w:p>
            <w:pPr/>
            <w:r>
              <w:t xml:space="preserve">The median is not pulled by very large or very small values, and it keeps all rows</w:t>
            </w:r>
          </w:p>
        </w:tc>
        <w:tc>
          <w:tcPr>
            <w:tcW w:w="2492" w:type="dxa"/>
          </w:tcPr>
          <w:p>
            <w:pPr/>
            <w:r>
              <w:t xml:space="preserve">No rows are lost, and the middle of the data stays stable</w:t>
            </w:r>
          </w:p>
        </w:tc>
      </w:tr>
      <w:tr>
        <w:tc>
          <w:tcPr>
            <w:tcW w:w="1464" w:type="dxa"/>
          </w:tcPr>
          <w:p>
            <w:pPr/>
            <w:r>
              <w:t xml:space="preserve">Outliers</w:t>
            </w:r>
          </w:p>
        </w:tc>
        <w:tc>
          <w:tcPr>
            <w:tcW w:w="1669" w:type="dxa"/>
          </w:tcPr>
          <w:p>
            <w:pPr/>
            <w:r>
              <w:t xml:space="preserve">IQR method</w:t>
            </w:r>
          </w:p>
        </w:tc>
        <w:tc>
          <w:tcPr>
            <w:tcW w:w="3735" w:type="dxa"/>
          </w:tcPr>
          <w:p>
            <w:pPr/>
            <w:r>
              <w:t xml:space="preserve">It uses the middle spread of the data and does not assume any particular shape</w:t>
            </w:r>
          </w:p>
        </w:tc>
        <w:tc>
          <w:tcPr>
            <w:tcW w:w="2492" w:type="dxa"/>
          </w:tcPr>
          <w:p>
            <w:pPr/>
            <w:r>
              <w:t xml:space="preserve">Extreme values cannot distort averages or models</w:t>
            </w:r>
          </w:p>
        </w:tc>
      </w:tr>
      <w:tr>
        <w:tc>
          <w:tcPr>
            <w:tcW w:w="1464" w:type="dxa"/>
          </w:tcPr>
          <w:p>
            <w:pPr/>
            <w:r>
              <w:t xml:space="preserve">Different scales</w:t>
            </w:r>
          </w:p>
        </w:tc>
        <w:tc>
          <w:tcPr>
            <w:tcW w:w="1669" w:type="dxa"/>
          </w:tcPr>
          <w:p>
            <w:pPr/>
            <w:r>
              <w:t xml:space="preserve">Min-Max normalization</w:t>
            </w:r>
          </w:p>
        </w:tc>
        <w:tc>
          <w:tcPr>
            <w:tcW w:w="3735" w:type="dxa"/>
          </w:tcPr>
          <w:p>
            <w:pPr/>
            <w:r>
              <w:t xml:space="preserve">It keeps the shape of the data and puts every column between 0 and 1</w:t>
            </w:r>
          </w:p>
        </w:tc>
        <w:tc>
          <w:tcPr>
            <w:tcW w:w="2492" w:type="dxa"/>
          </w:tcPr>
          <w:p>
            <w:pPr/>
            <w:r>
              <w:t xml:space="preserve">No column dominates just because its numbers are larger</w:t>
            </w:r>
          </w:p>
        </w:tc>
      </w:tr>
      <w:tr>
        <w:tc>
          <w:tcPr>
            <w:tcW w:w="1464" w:type="dxa"/>
          </w:tcPr>
          <w:p>
            <w:pPr/>
            <w:r>
              <w:t xml:space="preserve">Text consistency</w:t>
            </w:r>
          </w:p>
        </w:tc>
        <w:tc>
          <w:tcPr>
            <w:tcW w:w="1669" w:type="dxa"/>
          </w:tcPr>
          <w:p>
            <w:pPr/>
            <w:r>
              <w:t xml:space="preserve">List every unique value</w:t>
            </w:r>
          </w:p>
        </w:tc>
        <w:tc>
          <w:tcPr>
            <w:tcW w:w="3735" w:type="dxa"/>
          </w:tcPr>
          <w:p>
            <w:pPr/>
            <w:r>
              <w:t xml:space="preserve">Different spellings of one word would be counted as separate groups</w:t>
            </w:r>
          </w:p>
        </w:tc>
        <w:tc>
          <w:tcPr>
            <w:tcW w:w="2492" w:type="dxa"/>
          </w:tcPr>
          <w:p>
            <w:pPr/>
            <w:r>
              <w:t xml:space="preserve">Groups such as regions and modes are counted correctly</w:t>
            </w:r>
          </w:p>
        </w:tc>
      </w:tr>
    </w:tbl>
    <w:p>
      <w:pPr/>
      <w:r>
        <w:rPr>
          <w:b/>
        </w:rPr>
        <w:t xml:space="preserve">How the IQR method works.</w:t>
      </w:r>
      <w:r>
        <w:t xml:space="preserve"> The data is sorted, and Q1 and Q3 are the values at the 25% and 75% marks. The IQR is Q3 minus Q1. Any value below Q1 - 1.5 × IQR or above Q3 + 1.5 × IQR is treated as an outlier.</w:t>
      </w:r>
    </w:p>
    <w:p>
      <w:pPr>
        <w:pStyle w:val="Code"/>
      </w:pPr>
      <w:bookmarkStart w:id="1" w:name="bongo_lang_latex_1"/>
      <w:bookmarkEnd w:id="1"/>
      <w:r>
        <w:t xml:space="preserve">x_{scaled} = \frac{x - x_{min}}{x_{max} - x_{min}}</w:t>
      </w:r>
    </w:p>
    <w:p>
      <w:pPr/>
      <w:r>
        <w:t xml:space="preserve">The formula above is Min-Max normalization. The smallest value of a column becomes 0, the largest becomes 1, and every other value falls in between.</w:t>
      </w:r>
    </w:p>
    <w:p>
      <w:pPr>
        <w:pStyle w:val="Heading2"/>
      </w:pPr>
      <w:r>
        <w:t xml:space="preserve">5. Code and Results</w:t>
      </w:r>
    </w:p>
    <w:p>
      <w:pPr/>
      <w:r>
        <w:t xml:space="preserve">The code below was run in a Jupyter Notebook. Each part shows the code, the result and a short insight.</w:t>
      </w:r>
    </w:p>
    <w:p>
      <w:pPr>
        <w:pStyle w:val="Heading3"/>
      </w:pPr>
      <w:r>
        <w:t xml:space="preserve">5.1 Data quality check</w:t>
      </w:r>
    </w:p>
    <w:p>
      <w:pPr>
        <w:pStyle w:val="Code"/>
      </w:pPr>
      <w:bookmarkStart w:id="2" w:name="bongo_lang_python_2"/>
      <w:bookmarkEnd w:id="2"/>
      <w:r>
        <w:t xml:space="preserve">import pandas as pd</w:t>
        <w:br/>
        <w:br/>
        <w:t xml:space="preserve">df = pd.read_csv("Delivery_Logistics.csv")</w:t>
        <w:br/>
        <w:br/>
        <w:t xml:space="preserve">print("Rows and columns:", df.shape)</w:t>
        <w:br/>
        <w:t xml:space="preserve">print()</w:t>
        <w:br/>
        <w:t xml:space="preserve">print("Missing values per column:")</w:t>
        <w:br/>
        <w:t xml:space="preserve">print(df.isnull().sum())</w:t>
        <w:br/>
        <w:t xml:space="preserve">print()</w:t>
        <w:br/>
        <w:t xml:space="preserve">print("Duplicate rows:", df.duplicated().sum())</w:t>
        <w:br/>
        <w:t xml:space="preserve">print()</w:t>
        <w:br/>
        <w:t xml:space="preserve">print("Column types:")</w:t>
        <w:br/>
        <w:t xml:space="preserve">print(df.dtypes)</w:t>
      </w:r>
    </w:p>
    <w:p>
      <w:pPr/>
      <w:r>
        <w:rPr>
          <w:b/>
        </w:rPr>
        <w:t xml:space="preserve">Result:</w:t>
      </w:r>
    </w:p>
    <w:tbl>
      <w:tblPr>
        <w:tblStyle w:val="TableGrid"/>
        <w:tblW w:w="0" w:type="auto"/>
        <w:tblLayout w:type="fixed"/>
        <w:tblLook w:val="04A0" w:firstRow="1" w:lastRow="0" w:firstColumn="0" w:lastColumn="0" w:noHBand="0" w:noVBand="1"/>
      </w:tblPr>
      <w:tblGrid>
        <w:gridCol w:w="2918"/>
        <w:gridCol w:w="6441"/>
      </w:tblGrid>
      <w:tr>
        <w:trPr>
          <w:tblHeader/>
        </w:trPr>
        <w:tc>
          <w:tcPr>
            <w:tcW w:w="2918" w:type="dxa"/>
            <w:shd w:val="clear" w:color="auto" w:fill="F2F2F2"/>
          </w:tcPr>
          <w:p>
            <w:pPr/>
            <w:r>
              <w:t xml:space="preserve">Check</w:t>
            </w:r>
          </w:p>
        </w:tc>
        <w:tc>
          <w:tcPr>
            <w:tcW w:w="6441" w:type="dxa"/>
            <w:shd w:val="clear" w:color="auto" w:fill="F2F2F2"/>
          </w:tcPr>
          <w:p>
            <w:pPr/>
            <w:r>
              <w:t xml:space="preserve">Result</w:t>
            </w:r>
          </w:p>
        </w:tc>
      </w:tr>
      <w:tr>
        <w:tc>
          <w:tcPr>
            <w:tcW w:w="2918" w:type="dxa"/>
          </w:tcPr>
          <w:p>
            <w:pPr/>
            <w:r>
              <w:t xml:space="preserve">Rows and columns</w:t>
            </w:r>
          </w:p>
        </w:tc>
        <w:tc>
          <w:tcPr>
            <w:tcW w:w="6441" w:type="dxa"/>
          </w:tcPr>
          <w:p>
            <w:pPr/>
            <w:r>
              <w:t xml:space="preserve">25,000 rows, 15 columns</w:t>
            </w:r>
          </w:p>
        </w:tc>
      </w:tr>
      <w:tr>
        <w:tc>
          <w:tcPr>
            <w:tcW w:w="2918" w:type="dxa"/>
          </w:tcPr>
          <w:p>
            <w:pPr/>
            <w:r>
              <w:t xml:space="preserve">Missing values</w:t>
            </w:r>
          </w:p>
        </w:tc>
        <w:tc>
          <w:tcPr>
            <w:tcW w:w="6441" w:type="dxa"/>
          </w:tcPr>
          <w:p>
            <w:pPr/>
            <w:r>
              <w:t xml:space="preserve">0 in every column</w:t>
            </w:r>
          </w:p>
        </w:tc>
      </w:tr>
      <w:tr>
        <w:tc>
          <w:tcPr>
            <w:tcW w:w="2918" w:type="dxa"/>
          </w:tcPr>
          <w:p>
            <w:pPr/>
            <w:r>
              <w:t xml:space="preserve">Duplicate rows</w:t>
            </w:r>
          </w:p>
        </w:tc>
        <w:tc>
          <w:tcPr>
            <w:tcW w:w="6441" w:type="dxa"/>
          </w:tcPr>
          <w:p>
            <w:pPr/>
            <w:r>
              <w:t xml:space="preserve">0</w:t>
            </w:r>
          </w:p>
        </w:tc>
      </w:tr>
      <w:tr>
        <w:tc>
          <w:tcPr>
            <w:tcW w:w="2918" w:type="dxa"/>
          </w:tcPr>
          <w:p>
            <w:pPr/>
            <w:r>
              <w:t xml:space="preserve">Time columns</w:t>
            </w:r>
          </w:p>
        </w:tc>
        <w:tc>
          <w:tcPr>
            <w:tcW w:w="6441" w:type="dxa"/>
          </w:tcPr>
          <w:p>
            <w:pPr/>
            <w:r>
              <w:t xml:space="preserve">Stored as text instead of numbers</w:t>
            </w:r>
          </w:p>
        </w:tc>
      </w:tr>
      <w:tr>
        <w:tc>
          <w:tcPr>
            <w:tcW w:w="2918" w:type="dxa"/>
          </w:tcPr>
          <w:p>
            <w:pPr/>
            <w:r>
              <w:t xml:space="preserve">delivery_id</w:t>
            </w:r>
          </w:p>
        </w:tc>
        <w:tc>
          <w:tcPr>
            <w:tcW w:w="6441" w:type="dxa"/>
          </w:tcPr>
          <w:p>
            <w:pPr/>
            <w:r>
              <w:t xml:space="preserve">Decimal number with repeated values, not a usable ID</w:t>
            </w:r>
          </w:p>
        </w:tc>
      </w:tr>
    </w:tbl>
    <w:p>
      <w:pPr/>
      <w:r>
        <w:rPr>
          <w:b/>
        </w:rPr>
        <w:t xml:space="preserve">Insight:</w:t>
      </w:r>
      <w:r>
        <w:t xml:space="preserve"> The dataset has no missing values or duplicate rows, but it has two format problems: the time columns are stored as text, and delivery_id cannot identify a delivery. Both need to be fixed before analysis.</w:t>
      </w:r>
    </w:p>
    <w:p>
      <w:pPr>
        <w:pStyle w:val="Heading3"/>
      </w:pPr>
      <w:r>
        <w:t xml:space="preserve">5.2 Fix data format problems</w:t>
      </w:r>
    </w:p>
    <w:p>
      <w:pPr>
        <w:pStyle w:val="Code"/>
      </w:pPr>
      <w:bookmarkStart w:id="3" w:name="bongo_lang_python_3"/>
      <w:bookmarkEnd w:id="3"/>
      <w:r>
        <w:t xml:space="preserve"># Fix 1: turn the time columns into plain numbers (hours)</w:t>
        <w:br/>
        <w:t xml:space="preserve">df["delivery_time_hours"] = df["delivery_time_hours"].str[-9:].astype(int)</w:t>
        <w:br/>
        <w:t xml:space="preserve">df["expected_time_hours"] = df["expected_time_hours"].str[-9:].astype(int)</w:t>
        <w:br/>
        <w:br/>
        <w:t xml:space="preserve"># Fix 2: remove the messy delivery_id column</w:t>
        <w:br/>
        <w:t xml:space="preserve">df = df.drop(columns=["delivery_id"])</w:t>
        <w:br/>
        <w:br/>
        <w:t xml:space="preserve">print("Rows and columns:", df.shape)</w:t>
        <w:br/>
        <w:t xml:space="preserve">print()</w:t>
        <w:br/>
        <w:t xml:space="preserve">print(df.dtypes)</w:t>
      </w:r>
    </w:p>
    <w:p>
      <w:pPr/>
      <w:r>
        <w:rPr>
          <w:b/>
        </w:rPr>
        <w:t xml:space="preserve">Result:</w:t>
      </w:r>
    </w:p>
    <w:tbl>
      <w:tblPr>
        <w:tblStyle w:val="TableGrid"/>
        <w:tblW w:w="0" w:type="auto"/>
        <w:tblLayout w:type="fixed"/>
        <w:tblLook w:val="04A0" w:firstRow="1" w:lastRow="0" w:firstColumn="0" w:lastColumn="0" w:noHBand="0" w:noVBand="1"/>
      </w:tblPr>
      <w:tblGrid>
        <w:gridCol w:w="2576"/>
        <w:gridCol w:w="3838"/>
        <w:gridCol w:w="2945"/>
      </w:tblGrid>
      <w:tr>
        <w:trPr>
          <w:tblHeader/>
        </w:trPr>
        <w:tc>
          <w:tcPr>
            <w:tcW w:w="2576" w:type="dxa"/>
            <w:shd w:val="clear" w:color="auto" w:fill="F2F2F2"/>
          </w:tcPr>
          <w:p>
            <w:pPr/>
            <w:r>
              <w:t xml:space="preserve">Fix</w:t>
            </w:r>
          </w:p>
        </w:tc>
        <w:tc>
          <w:tcPr>
            <w:tcW w:w="3838" w:type="dxa"/>
            <w:shd w:val="clear" w:color="auto" w:fill="F2F2F2"/>
          </w:tcPr>
          <w:p>
            <w:pPr/>
            <w:r>
              <w:t xml:space="preserve">Before</w:t>
            </w:r>
          </w:p>
        </w:tc>
        <w:tc>
          <w:tcPr>
            <w:tcW w:w="2945" w:type="dxa"/>
            <w:shd w:val="clear" w:color="auto" w:fill="F2F2F2"/>
          </w:tcPr>
          <w:p>
            <w:pPr/>
            <w:r>
              <w:t xml:space="preserve">After</w:t>
            </w:r>
          </w:p>
        </w:tc>
      </w:tr>
      <w:tr>
        <w:tc>
          <w:tcPr>
            <w:tcW w:w="2576" w:type="dxa"/>
          </w:tcPr>
          <w:p>
            <w:pPr/>
            <w:r>
              <w:t xml:space="preserve">Time columns</w:t>
            </w:r>
          </w:p>
        </w:tc>
        <w:tc>
          <w:tcPr>
            <w:tcW w:w="3838" w:type="dxa"/>
          </w:tcPr>
          <w:p>
            <w:pPr/>
            <w:r>
              <w:t xml:space="preserve">Text (object)</w:t>
            </w:r>
          </w:p>
        </w:tc>
        <w:tc>
          <w:tcPr>
            <w:tcW w:w="2945" w:type="dxa"/>
          </w:tcPr>
          <w:p>
            <w:pPr/>
            <w:r>
              <w:t xml:space="preserve">Whole numbers (int64)</w:t>
            </w:r>
          </w:p>
        </w:tc>
      </w:tr>
      <w:tr>
        <w:tc>
          <w:tcPr>
            <w:tcW w:w="2576" w:type="dxa"/>
          </w:tcPr>
          <w:p>
            <w:pPr/>
            <w:r>
              <w:t xml:space="preserve">delivery_id</w:t>
            </w:r>
          </w:p>
        </w:tc>
        <w:tc>
          <w:tcPr>
            <w:tcW w:w="3838" w:type="dxa"/>
          </w:tcPr>
          <w:p>
            <w:pPr/>
            <w:r>
              <w:t xml:space="preserve">Present, with repeated values</w:t>
            </w:r>
          </w:p>
        </w:tc>
        <w:tc>
          <w:tcPr>
            <w:tcW w:w="2945" w:type="dxa"/>
          </w:tcPr>
          <w:p>
            <w:pPr/>
            <w:r>
              <w:t xml:space="preserve">Removed</w:t>
            </w:r>
          </w:p>
        </w:tc>
      </w:tr>
      <w:tr>
        <w:tc>
          <w:tcPr>
            <w:tcW w:w="2576" w:type="dxa"/>
          </w:tcPr>
          <w:p>
            <w:pPr/>
            <w:r>
              <w:t xml:space="preserve">Columns in dataset</w:t>
            </w:r>
          </w:p>
        </w:tc>
        <w:tc>
          <w:tcPr>
            <w:tcW w:w="3838" w:type="dxa"/>
          </w:tcPr>
          <w:p>
            <w:pPr/>
            <w:r>
              <w:t xml:space="preserve">15</w:t>
            </w:r>
          </w:p>
        </w:tc>
        <w:tc>
          <w:tcPr>
            <w:tcW w:w="2945" w:type="dxa"/>
          </w:tcPr>
          <w:p>
            <w:pPr/>
            <w:r>
              <w:t xml:space="preserve">14</w:t>
            </w:r>
          </w:p>
        </w:tc>
      </w:tr>
    </w:tbl>
    <w:p>
      <w:pPr/>
      <w:r>
        <w:rPr>
          <w:b/>
        </w:rPr>
        <w:t xml:space="preserve">Insight:</w:t>
      </w:r>
      <w:r>
        <w:t xml:space="preserve"> The time columns can now be used for calculations such as averages and delay checks. Removing delivery_id avoids using a column that could mislead the analysis.</w:t>
      </w:r>
    </w:p>
    <w:p>
      <w:pPr>
        <w:pStyle w:val="Heading3"/>
      </w:pPr>
      <w:r>
        <w:t xml:space="preserve">5.3 Handle missing values (simulation)</w:t>
      </w:r>
    </w:p>
    <w:p>
      <w:pPr/>
      <w:r>
        <w:t xml:space="preserve">The original data has no missing values, so the technique is shown on a copy. About 5% of the distance values were removed on purpose and then filled with the median.</w:t>
      </w:r>
    </w:p>
    <w:p>
      <w:pPr>
        <w:pStyle w:val="Code"/>
      </w:pPr>
      <w:bookmarkStart w:id="4" w:name="bongo_lang_python_4"/>
      <w:bookmarkEnd w:id="4"/>
      <w:r>
        <w:t xml:space="preserve">import numpy as np</w:t>
        <w:br/>
        <w:br/>
        <w:t xml:space="preserve"># Make a copy so the real data stays untouched</w:t>
        <w:br/>
        <w:t xml:space="preserve">df_test = df.copy()</w:t>
        <w:br/>
        <w:br/>
        <w:t xml:space="preserve"># Remove 5% of the distance values on purpose (1,250 rows)</w:t>
        <w:br/>
        <w:t xml:space="preserve">np.random.seed(42)</w:t>
        <w:br/>
        <w:t xml:space="preserve">rows = np.random.choice(df_test.index, size=1250, replace=False)</w:t>
        <w:br/>
        <w:t xml:space="preserve">df_test.loc[rows, "distance_km"] = np.nan</w:t>
        <w:br/>
        <w:br/>
        <w:t xml:space="preserve">print("Missing before fix:", df_test["distance_km"].isnull().sum())</w:t>
        <w:br/>
        <w:br/>
        <w:t xml:space="preserve"># Fix: fill the gaps with the median distance</w:t>
        <w:br/>
        <w:t xml:space="preserve">median_distance = df_test["distance_km"].median()</w:t>
        <w:br/>
        <w:t xml:space="preserve">df_test["distance_km"] = df_test["distance_km"].fillna(median_distance)</w:t>
        <w:br/>
        <w:br/>
        <w:t xml:space="preserve">print("Missing after fix:", df_test["distance_km"].isnull().sum())</w:t>
        <w:br/>
        <w:t xml:space="preserve">print("Median used:", round(median_distance, 1))</w:t>
      </w:r>
    </w:p>
    <w:p>
      <w:pPr/>
      <w:r>
        <w:rPr>
          <w:b/>
        </w:rPr>
        <w:t xml:space="preserve">Result:</w:t>
      </w:r>
    </w:p>
    <w:tbl>
      <w:tblPr>
        <w:tblStyle w:val="TableGrid"/>
        <w:tblW w:w="0" w:type="auto"/>
        <w:tblLayout w:type="fixed"/>
        <w:tblLook w:val="04A0" w:firstRow="1" w:lastRow="0" w:firstColumn="0" w:lastColumn="0" w:noHBand="0" w:noVBand="1"/>
      </w:tblPr>
      <w:tblGrid>
        <w:gridCol w:w="6157"/>
        <w:gridCol w:w="3202"/>
      </w:tblGrid>
      <w:tr>
        <w:trPr>
          <w:tblHeader/>
        </w:trPr>
        <w:tc>
          <w:tcPr>
            <w:tcW w:w="6157" w:type="dxa"/>
            <w:shd w:val="clear" w:color="auto" w:fill="F2F2F2"/>
          </w:tcPr>
          <w:p>
            <w:pPr/>
            <w:r>
              <w:t xml:space="preserve">Check</w:t>
            </w:r>
          </w:p>
        </w:tc>
        <w:tc>
          <w:tcPr>
            <w:tcW w:w="3202" w:type="dxa"/>
            <w:shd w:val="clear" w:color="auto" w:fill="F2F2F2"/>
          </w:tcPr>
          <w:p>
            <w:pPr/>
            <w:r>
              <w:t xml:space="preserve">Result</w:t>
            </w:r>
          </w:p>
        </w:tc>
      </w:tr>
      <w:tr>
        <w:tc>
          <w:tcPr>
            <w:tcW w:w="6157" w:type="dxa"/>
          </w:tcPr>
          <w:p>
            <w:pPr/>
            <w:r>
              <w:t xml:space="preserve">Missing distance values created (simulated)</w:t>
            </w:r>
          </w:p>
        </w:tc>
        <w:tc>
          <w:tcPr>
            <w:tcW w:w="3202" w:type="dxa"/>
          </w:tcPr>
          <w:p>
            <w:pPr/>
            <w:r>
              <w:t xml:space="preserve">1,250 (5% of the data)</w:t>
            </w:r>
          </w:p>
        </w:tc>
      </w:tr>
      <w:tr>
        <w:tc>
          <w:tcPr>
            <w:tcW w:w="6157" w:type="dxa"/>
          </w:tcPr>
          <w:p>
            <w:pPr/>
            <w:r>
              <w:t xml:space="preserve">Missing values after fix</w:t>
            </w:r>
          </w:p>
        </w:tc>
        <w:tc>
          <w:tcPr>
            <w:tcW w:w="3202" w:type="dxa"/>
          </w:tcPr>
          <w:p>
            <w:pPr/>
            <w:r>
              <w:t xml:space="preserve">0</w:t>
            </w:r>
          </w:p>
        </w:tc>
      </w:tr>
      <w:tr>
        <w:tc>
          <w:tcPr>
            <w:tcW w:w="6157" w:type="dxa"/>
          </w:tcPr>
          <w:p>
            <w:pPr/>
            <w:r>
              <w:t xml:space="preserve">Method used</w:t>
            </w:r>
          </w:p>
        </w:tc>
        <w:tc>
          <w:tcPr>
            <w:tcW w:w="3202" w:type="dxa"/>
          </w:tcPr>
          <w:p>
            <w:pPr/>
            <w:r>
              <w:t xml:space="preserve">Fill with the median</w:t>
            </w:r>
          </w:p>
        </w:tc>
      </w:tr>
      <w:tr>
        <w:tc>
          <w:tcPr>
            <w:tcW w:w="6157" w:type="dxa"/>
          </w:tcPr>
          <w:p>
            <w:pPr/>
            <w:r>
              <w:t xml:space="preserve">Median distance used</w:t>
            </w:r>
          </w:p>
        </w:tc>
        <w:tc>
          <w:tcPr>
            <w:tcW w:w="3202" w:type="dxa"/>
          </w:tcPr>
          <w:p>
            <w:pPr/>
            <w:r>
              <w:t xml:space="preserve">151.2 km</w:t>
            </w:r>
          </w:p>
        </w:tc>
      </w:tr>
    </w:tbl>
    <w:p>
      <w:pPr/>
      <w:r>
        <w:rPr>
          <w:b/>
        </w:rPr>
        <w:t xml:space="preserve">Insight:</w:t>
      </w:r>
      <w:r>
        <w:t xml:space="preserve"> The median was chosen because it is not affected by very large or very small values. Filling the gaps keeps all 25,000 rows available for analysis.</w:t>
      </w:r>
    </w:p>
    <w:p>
      <w:pPr>
        <w:pStyle w:val="Heading3"/>
      </w:pPr>
      <w:r>
        <w:t xml:space="preserve">5.4 Detect outliers</w:t>
      </w:r>
    </w:p>
    <w:p>
      <w:pPr>
        <w:pStyle w:val="Code"/>
      </w:pPr>
      <w:bookmarkStart w:id="5" w:name="bongo_lang_python_5"/>
      <w:bookmarkEnd w:id="5"/>
      <w:r>
        <w:t xml:space="preserve">columns = ["distance_km", "package_weight_kg", "delivery_cost"]</w:t>
        <w:br/>
        <w:br/>
        <w:t xml:space="preserve">for col in columns:</w:t>
        <w:br/>
        <w:t xml:space="preserve">    Q1 = df[col].quantile(0.25)</w:t>
        <w:br/>
        <w:t xml:space="preserve">    Q3 = df[col].quantile(0.75)</w:t>
        <w:br/>
        <w:t xml:space="preserve">    IQR = Q3 - Q1</w:t>
        <w:br/>
        <w:br/>
        <w:t xml:space="preserve">    lower = Q1 - 1.5 * IQR</w:t>
        <w:br/>
        <w:t xml:space="preserve">    upper = Q3 + 1.5 * IQR</w:t>
        <w:br/>
        <w:br/>
        <w:t xml:space="preserve">    outliers = df[(df[col] &lt; lower) | (df[col] &gt; upper)]</w:t>
        <w:br/>
        <w:br/>
        <w:t xml:space="preserve">    print(col)</w:t>
        <w:br/>
        <w:t xml:space="preserve">    print("  Normal range:", round(lower, 1), "to", round(upper, 1))</w:t>
        <w:br/>
        <w:t xml:space="preserve">    print("  Outliers found:", len(outliers))</w:t>
        <w:br/>
        <w:t xml:space="preserve">    print()</w:t>
      </w:r>
    </w:p>
    <w:p>
      <w:pPr/>
      <w:r>
        <w:rPr>
          <w:b/>
        </w:rPr>
        <w:t xml:space="preserve">Result:</w:t>
      </w:r>
    </w:p>
    <w:tbl>
      <w:tblPr>
        <w:tblStyle w:val="TableGrid"/>
        <w:tblW w:w="0" w:type="auto"/>
        <w:tblLayout w:type="fixed"/>
        <w:tblLook w:val="04A0" w:firstRow="1" w:lastRow="0" w:firstColumn="0" w:lastColumn="0" w:noHBand="0" w:noVBand="1"/>
      </w:tblPr>
      <w:tblGrid>
        <w:gridCol w:w="2999"/>
        <w:gridCol w:w="4106"/>
        <w:gridCol w:w="2254"/>
      </w:tblGrid>
      <w:tr>
        <w:trPr>
          <w:tblHeader/>
        </w:trPr>
        <w:tc>
          <w:tcPr>
            <w:tcW w:w="2999" w:type="dxa"/>
            <w:shd w:val="clear" w:color="auto" w:fill="F2F2F2"/>
          </w:tcPr>
          <w:p>
            <w:pPr/>
            <w:r>
              <w:t xml:space="preserve">Column</w:t>
            </w:r>
          </w:p>
        </w:tc>
        <w:tc>
          <w:tcPr>
            <w:tcW w:w="4106" w:type="dxa"/>
            <w:shd w:val="clear" w:color="auto" w:fill="F2F2F2"/>
          </w:tcPr>
          <w:p>
            <w:pPr/>
            <w:r>
              <w:t xml:space="preserve">Normal range (IQR method)</w:t>
            </w:r>
          </w:p>
        </w:tc>
        <w:tc>
          <w:tcPr>
            <w:tcW w:w="2254" w:type="dxa"/>
            <w:shd w:val="clear" w:color="auto" w:fill="F2F2F2"/>
          </w:tcPr>
          <w:p>
            <w:pPr/>
            <w:r>
              <w:t xml:space="preserve">Outliers found</w:t>
            </w:r>
          </w:p>
        </w:tc>
      </w:tr>
      <w:tr>
        <w:tc>
          <w:tcPr>
            <w:tcW w:w="2999" w:type="dxa"/>
          </w:tcPr>
          <w:p>
            <w:pPr/>
            <w:r>
              <w:t xml:space="preserve">distance_km</w:t>
            </w:r>
          </w:p>
        </w:tc>
        <w:tc>
          <w:tcPr>
            <w:tcW w:w="4106" w:type="dxa"/>
          </w:tcPr>
          <w:p>
            <w:pPr/>
            <w:r>
              <w:t xml:space="preserve">-147.6 to 448.4</w:t>
            </w:r>
          </w:p>
        </w:tc>
        <w:tc>
          <w:tcPr>
            <w:tcW w:w="2254" w:type="dxa"/>
          </w:tcPr>
          <w:p>
            <w:pPr/>
            <w:r>
              <w:t xml:space="preserve">0</w:t>
            </w:r>
          </w:p>
        </w:tc>
      </w:tr>
      <w:tr>
        <w:tc>
          <w:tcPr>
            <w:tcW w:w="2999" w:type="dxa"/>
          </w:tcPr>
          <w:p>
            <w:pPr/>
            <w:r>
              <w:t xml:space="preserve">package_weight_kg</w:t>
            </w:r>
          </w:p>
        </w:tc>
        <w:tc>
          <w:tcPr>
            <w:tcW w:w="4106" w:type="dxa"/>
          </w:tcPr>
          <w:p>
            <w:pPr/>
            <w:r>
              <w:t xml:space="preserve">-24.8 to 75.1</w:t>
            </w:r>
          </w:p>
        </w:tc>
        <w:tc>
          <w:tcPr>
            <w:tcW w:w="2254" w:type="dxa"/>
          </w:tcPr>
          <w:p>
            <w:pPr/>
            <w:r>
              <w:t xml:space="preserve">0</w:t>
            </w:r>
          </w:p>
        </w:tc>
      </w:tr>
      <w:tr>
        <w:tc>
          <w:tcPr>
            <w:tcW w:w="2999" w:type="dxa"/>
          </w:tcPr>
          <w:p>
            <w:pPr/>
            <w:r>
              <w:t xml:space="preserve">delivery_cost</w:t>
            </w:r>
          </w:p>
        </w:tc>
        <w:tc>
          <w:tcPr>
            <w:tcW w:w="4106" w:type="dxa"/>
          </w:tcPr>
          <w:p>
            <w:pPr/>
            <w:r>
              <w:t xml:space="preserve">-629.9 to 2,358.6</w:t>
            </w:r>
          </w:p>
        </w:tc>
        <w:tc>
          <w:tcPr>
            <w:tcW w:w="2254" w:type="dxa"/>
          </w:tcPr>
          <w:p>
            <w:pPr/>
            <w:r>
              <w:t xml:space="preserve">0</w:t>
            </w:r>
          </w:p>
        </w:tc>
      </w:tr>
    </w:tbl>
    <w:p>
      <w:pPr/>
      <w:r>
        <w:rPr>
          <w:b/>
        </w:rPr>
        <w:t xml:space="preserve">Insight:</w:t>
      </w:r>
      <w:r>
        <w:t xml:space="preserve"> No values fall outside the normal range, so all 25,000 rows were kept. The lower limits are negative only because of how the formula works; real distances, weights and costs cannot be negative, and the data has none. If outliers had been found, they could be checked first and then removed or capped at the limits.</w:t>
      </w:r>
    </w:p>
    <w:p>
      <w:pPr>
        <w:pStyle w:val="Heading3"/>
      </w:pPr>
      <w:r>
        <w:t xml:space="preserve">5.5 Normalize the data</w:t>
      </w:r>
    </w:p>
    <w:p>
      <w:pPr>
        <w:pStyle w:val="Code"/>
      </w:pPr>
      <w:bookmarkStart w:id="6" w:name="bongo_lang_python_6"/>
      <w:bookmarkEnd w:id="6"/>
      <w:r>
        <w:t xml:space="preserve">from sklearn.preprocessing import MinMaxScaler</w:t>
        <w:br/>
        <w:br/>
        <w:t xml:space="preserve">columns = ["distance_km", "package_weight_kg", "delivery_cost"]</w:t>
        <w:br/>
        <w:br/>
        <w:t xml:space="preserve"># Make a copy so the original values stay safe</w:t>
        <w:br/>
        <w:t xml:space="preserve">df_scaled = df.copy()</w:t>
        <w:br/>
        <w:br/>
        <w:t xml:space="preserve"># Scale the three columns to the range 0 to 1</w:t>
        <w:br/>
        <w:t xml:space="preserve">scaler = MinMaxScaler()</w:t>
        <w:br/>
        <w:t xml:space="preserve">df_scaled[columns] = scaler.fit_transform(df[columns])</w:t>
        <w:br/>
        <w:br/>
        <w:t xml:space="preserve">print("Before:")</w:t>
        <w:br/>
        <w:t xml:space="preserve">print(df[columns].describe().loc[["min", "max"]].round(1))</w:t>
        <w:br/>
        <w:t xml:space="preserve">print()</w:t>
        <w:br/>
        <w:t xml:space="preserve">print("After:")</w:t>
        <w:br/>
        <w:t xml:space="preserve">print(df_scaled[columns].describe().loc[["min", "max"]].round(1))</w:t>
      </w:r>
    </w:p>
    <w:p>
      <w:pPr/>
      <w:r>
        <w:rPr>
          <w:b/>
        </w:rPr>
        <w:t xml:space="preserve">Result:</w:t>
      </w:r>
    </w:p>
    <w:tbl>
      <w:tblPr>
        <w:tblStyle w:val="TableGrid"/>
        <w:tblW w:w="0" w:type="auto"/>
        <w:tblLayout w:type="fixed"/>
        <w:tblLook w:val="04A0" w:firstRow="1" w:lastRow="0" w:firstColumn="0" w:lastColumn="0" w:noHBand="0" w:noVBand="1"/>
      </w:tblPr>
      <w:tblGrid>
        <w:gridCol w:w="3115"/>
        <w:gridCol w:w="3231"/>
        <w:gridCol w:w="3013"/>
      </w:tblGrid>
      <w:tr>
        <w:trPr>
          <w:tblHeader/>
        </w:trPr>
        <w:tc>
          <w:tcPr>
            <w:tcW w:w="3115" w:type="dxa"/>
            <w:shd w:val="clear" w:color="auto" w:fill="F2F2F2"/>
          </w:tcPr>
          <w:p>
            <w:pPr/>
            <w:r>
              <w:t xml:space="preserve">Column</w:t>
            </w:r>
          </w:p>
        </w:tc>
        <w:tc>
          <w:tcPr>
            <w:tcW w:w="3231" w:type="dxa"/>
            <w:shd w:val="clear" w:color="auto" w:fill="F2F2F2"/>
          </w:tcPr>
          <w:p>
            <w:pPr/>
            <w:r>
              <w:t xml:space="preserve">Before (min to max)</w:t>
            </w:r>
          </w:p>
        </w:tc>
        <w:tc>
          <w:tcPr>
            <w:tcW w:w="3013" w:type="dxa"/>
            <w:shd w:val="clear" w:color="auto" w:fill="F2F2F2"/>
          </w:tcPr>
          <w:p>
            <w:pPr/>
            <w:r>
              <w:t xml:space="preserve">After (min to max)</w:t>
            </w:r>
          </w:p>
        </w:tc>
      </w:tr>
      <w:tr>
        <w:tc>
          <w:tcPr>
            <w:tcW w:w="3115" w:type="dxa"/>
          </w:tcPr>
          <w:p>
            <w:pPr/>
            <w:r>
              <w:t xml:space="preserve">distance_km</w:t>
            </w:r>
          </w:p>
        </w:tc>
        <w:tc>
          <w:tcPr>
            <w:tcW w:w="3231" w:type="dxa"/>
          </w:tcPr>
          <w:p>
            <w:pPr/>
            <w:r>
              <w:t xml:space="preserve">3.6 to 297.1</w:t>
            </w:r>
          </w:p>
        </w:tc>
        <w:tc>
          <w:tcPr>
            <w:tcW w:w="3013" w:type="dxa"/>
          </w:tcPr>
          <w:p>
            <w:pPr/>
            <w:r>
              <w:t xml:space="preserve">0.0 to 1.0</w:t>
            </w:r>
          </w:p>
        </w:tc>
      </w:tr>
      <w:tr>
        <w:tc>
          <w:tcPr>
            <w:tcW w:w="3115" w:type="dxa"/>
          </w:tcPr>
          <w:p>
            <w:pPr/>
            <w:r>
              <w:t xml:space="preserve">package_weight_kg</w:t>
            </w:r>
          </w:p>
        </w:tc>
        <w:tc>
          <w:tcPr>
            <w:tcW w:w="3231" w:type="dxa"/>
          </w:tcPr>
          <w:p>
            <w:pPr/>
            <w:r>
              <w:t xml:space="preserve">0.7 to 49.5</w:t>
            </w:r>
          </w:p>
        </w:tc>
        <w:tc>
          <w:tcPr>
            <w:tcW w:w="3013" w:type="dxa"/>
          </w:tcPr>
          <w:p>
            <w:pPr/>
            <w:r>
              <w:t xml:space="preserve">0.0 to 1.0</w:t>
            </w:r>
          </w:p>
        </w:tc>
      </w:tr>
      <w:tr>
        <w:tc>
          <w:tcPr>
            <w:tcW w:w="3115" w:type="dxa"/>
          </w:tcPr>
          <w:p>
            <w:pPr/>
            <w:r>
              <w:t xml:space="preserve">delivery_cost</w:t>
            </w:r>
          </w:p>
        </w:tc>
        <w:tc>
          <w:tcPr>
            <w:tcW w:w="3231" w:type="dxa"/>
          </w:tcPr>
          <w:p>
            <w:pPr/>
            <w:r>
              <w:t xml:space="preserve">95.7 to 1,632.7</w:t>
            </w:r>
          </w:p>
        </w:tc>
        <w:tc>
          <w:tcPr>
            <w:tcW w:w="3013" w:type="dxa"/>
          </w:tcPr>
          <w:p>
            <w:pPr/>
            <w:r>
              <w:t xml:space="preserve">0.0 to 1.0</w:t>
            </w:r>
          </w:p>
        </w:tc>
      </w:tr>
    </w:tbl>
    <w:p>
      <w:pPr/>
      <w:r>
        <w:rPr>
          <w:b/>
        </w:rPr>
        <w:t xml:space="preserve">Insight:</w:t>
      </w:r>
      <w:r>
        <w:t xml:space="preserve"> The three columns had very different scales. After Min-Max scaling, all of them lie between 0 and 1, so no column is treated as more important just because its numbers are larger. A copy was used, so the original values are still available for reporting.</w:t>
      </w:r>
    </w:p>
    <w:p>
      <w:pPr>
        <w:pStyle w:val="Heading3"/>
      </w:pPr>
      <w:r>
        <w:t xml:space="preserve">5.6 Check text consistency and save the clean data</w:t>
      </w:r>
    </w:p>
    <w:p>
      <w:pPr>
        <w:pStyle w:val="Code"/>
      </w:pPr>
      <w:bookmarkStart w:id="7" w:name="bongo_lang_python_7"/>
      <w:bookmarkEnd w:id="7"/>
      <w:r>
        <w:t xml:space="preserve">text_columns = ["delivery_partner", "package_type", "vehicle_type",</w:t>
        <w:br/>
        <w:t xml:space="preserve">                "delivery_mode", "region", "weather_condition",</w:t>
        <w:br/>
        <w:t xml:space="preserve">                "delayed", "delivery_status"]</w:t>
        <w:br/>
        <w:br/>
        <w:t xml:space="preserve">for col in text_columns:</w:t>
        <w:br/>
        <w:t xml:space="preserve">    print(col, ":", sorted(df[col].unique()))</w:t>
        <w:br/>
        <w:br/>
        <w:t xml:space="preserve"># Save the cleaned data to a new file</w:t>
        <w:br/>
        <w:t xml:space="preserve">df.to_csv("Delivery_Logistics_Cleaned.csv", index=False)</w:t>
        <w:br/>
        <w:t xml:space="preserve">print()</w:t>
        <w:br/>
        <w:t xml:space="preserve">print("Clean file saved. Rows and columns:", df.shape)</w:t>
      </w:r>
    </w:p>
    <w:p>
      <w:pPr/>
      <w:r>
        <w:rPr>
          <w:b/>
        </w:rPr>
        <w:t xml:space="preserve">Result:</w:t>
      </w:r>
    </w:p>
    <w:tbl>
      <w:tblPr>
        <w:tblStyle w:val="TableGrid"/>
        <w:tblW w:w="0" w:type="auto"/>
        <w:tblLayout w:type="fixed"/>
        <w:tblLook w:val="04A0" w:firstRow="1" w:lastRow="0" w:firstColumn="0" w:lastColumn="0" w:noHBand="0" w:noVBand="1"/>
      </w:tblPr>
      <w:tblGrid>
        <w:gridCol w:w="2840"/>
        <w:gridCol w:w="6519"/>
      </w:tblGrid>
      <w:tr>
        <w:trPr>
          <w:tblHeader/>
        </w:trPr>
        <w:tc>
          <w:tcPr>
            <w:tcW w:w="2840" w:type="dxa"/>
            <w:shd w:val="clear" w:color="auto" w:fill="F2F2F2"/>
          </w:tcPr>
          <w:p>
            <w:pPr/>
            <w:r>
              <w:t xml:space="preserve">Column</w:t>
            </w:r>
          </w:p>
        </w:tc>
        <w:tc>
          <w:tcPr>
            <w:tcW w:w="6519" w:type="dxa"/>
            <w:shd w:val="clear" w:color="auto" w:fill="F2F2F2"/>
          </w:tcPr>
          <w:p>
            <w:pPr/>
            <w:r>
              <w:t xml:space="preserve">Different values found</w:t>
            </w:r>
          </w:p>
        </w:tc>
      </w:tr>
      <w:tr>
        <w:tc>
          <w:tcPr>
            <w:tcW w:w="2840" w:type="dxa"/>
          </w:tcPr>
          <w:p>
            <w:pPr/>
            <w:r>
              <w:t xml:space="preserve">delivery_partner</w:t>
            </w:r>
          </w:p>
        </w:tc>
        <w:tc>
          <w:tcPr>
            <w:tcW w:w="6519" w:type="dxa"/>
          </w:tcPr>
          <w:p>
            <w:pPr/>
            <w:r>
              <w:t xml:space="preserve">9 (for example delhivery, ekart, dhl, fedex)</w:t>
            </w:r>
          </w:p>
        </w:tc>
      </w:tr>
      <w:tr>
        <w:tc>
          <w:tcPr>
            <w:tcW w:w="2840" w:type="dxa"/>
          </w:tcPr>
          <w:p>
            <w:pPr/>
            <w:r>
              <w:t xml:space="preserve">package_type</w:t>
            </w:r>
          </w:p>
        </w:tc>
        <w:tc>
          <w:tcPr>
            <w:tcW w:w="6519" w:type="dxa"/>
          </w:tcPr>
          <w:p>
            <w:pPr/>
            <w:r>
              <w:t xml:space="preserve">9 (for example clothing, electronics, groceries)</w:t>
            </w:r>
          </w:p>
        </w:tc>
      </w:tr>
      <w:tr>
        <w:tc>
          <w:tcPr>
            <w:tcW w:w="2840" w:type="dxa"/>
          </w:tcPr>
          <w:p>
            <w:pPr/>
            <w:r>
              <w:t xml:space="preserve">vehicle_type</w:t>
            </w:r>
          </w:p>
        </w:tc>
        <w:tc>
          <w:tcPr>
            <w:tcW w:w="6519" w:type="dxa"/>
          </w:tcPr>
          <w:p>
            <w:pPr/>
            <w:r>
              <w:t xml:space="preserve">6 (bike, ev bike, ev van, scooter, truck, van)</w:t>
            </w:r>
          </w:p>
        </w:tc>
      </w:tr>
      <w:tr>
        <w:tc>
          <w:tcPr>
            <w:tcW w:w="2840" w:type="dxa"/>
          </w:tcPr>
          <w:p>
            <w:pPr/>
            <w:r>
              <w:t xml:space="preserve">delivery_mode</w:t>
            </w:r>
          </w:p>
        </w:tc>
        <w:tc>
          <w:tcPr>
            <w:tcW w:w="6519" w:type="dxa"/>
          </w:tcPr>
          <w:p>
            <w:pPr/>
            <w:r>
              <w:t xml:space="preserve">4 (express, same day, standard, two day)</w:t>
            </w:r>
          </w:p>
        </w:tc>
      </w:tr>
      <w:tr>
        <w:tc>
          <w:tcPr>
            <w:tcW w:w="2840" w:type="dxa"/>
          </w:tcPr>
          <w:p>
            <w:pPr/>
            <w:r>
              <w:t xml:space="preserve">region</w:t>
            </w:r>
          </w:p>
        </w:tc>
        <w:tc>
          <w:tcPr>
            <w:tcW w:w="6519" w:type="dxa"/>
          </w:tcPr>
          <w:p>
            <w:pPr/>
            <w:r>
              <w:t xml:space="preserve">5 (central, east, north, south, west)</w:t>
            </w:r>
          </w:p>
        </w:tc>
      </w:tr>
      <w:tr>
        <w:tc>
          <w:tcPr>
            <w:tcW w:w="2840" w:type="dxa"/>
          </w:tcPr>
          <w:p>
            <w:pPr/>
            <w:r>
              <w:t xml:space="preserve">weather_condition</w:t>
            </w:r>
          </w:p>
        </w:tc>
        <w:tc>
          <w:tcPr>
            <w:tcW w:w="6519" w:type="dxa"/>
          </w:tcPr>
          <w:p>
            <w:pPr/>
            <w:r>
              <w:t xml:space="preserve">6 (clear, cold, foggy, hot, rainy, stormy)</w:t>
            </w:r>
          </w:p>
        </w:tc>
      </w:tr>
      <w:tr>
        <w:tc>
          <w:tcPr>
            <w:tcW w:w="2840" w:type="dxa"/>
          </w:tcPr>
          <w:p>
            <w:pPr/>
            <w:r>
              <w:t xml:space="preserve">delayed</w:t>
            </w:r>
          </w:p>
        </w:tc>
        <w:tc>
          <w:tcPr>
            <w:tcW w:w="6519" w:type="dxa"/>
          </w:tcPr>
          <w:p>
            <w:pPr/>
            <w:r>
              <w:t xml:space="preserve">2 (yes, no)</w:t>
            </w:r>
          </w:p>
        </w:tc>
      </w:tr>
      <w:tr>
        <w:tc>
          <w:tcPr>
            <w:tcW w:w="2840" w:type="dxa"/>
          </w:tcPr>
          <w:p>
            <w:pPr/>
            <w:r>
              <w:t xml:space="preserve">delivery_status</w:t>
            </w:r>
          </w:p>
        </w:tc>
        <w:tc>
          <w:tcPr>
            <w:tcW w:w="6519" w:type="dxa"/>
          </w:tcPr>
          <w:p>
            <w:pPr/>
            <w:r>
              <w:t xml:space="preserve">3 (delivered, delayed, failed)</w:t>
            </w:r>
          </w:p>
        </w:tc>
      </w:tr>
    </w:tbl>
    <w:p>
      <w:pPr/>
      <w:r>
        <w:rPr>
          <w:b/>
        </w:rPr>
        <w:t xml:space="preserve">Insight:</w:t>
      </w:r>
      <w:r>
        <w:t xml:space="preserve"> All text values are already in lowercase with no spelling differences, so no changes were needed. If "Express" and "express" had both appeared, they would have been counted as two different groups and given wrong results. The cleaned dataset was saved as Delivery_Logistics_Cleaned.csv with 25,000 rows and 14 columns.</w:t>
      </w:r>
    </w:p>
    <w:p>
      <w:pPr>
        <w:pStyle w:val="Heading2"/>
      </w:pPr>
      <w:r>
        <w:t xml:space="preserve">6. Reflection: The Impact of Data Quality on Decisions</w:t>
      </w:r>
    </w:p>
    <w:p>
      <w:pPr/>
      <w:r>
        <w:rPr>
          <w:b/>
        </w:rPr>
        <w:t xml:space="preserve">What this exercise showed.</w:t>
      </w:r>
      <w:r>
        <w:t xml:space="preserve"> Even a dataset that looks clean needed work. The time columns could not be used for any calculation until they were converted, and the delivery_id column could have misled an analysis if it had been used as a real identifier. Checking first and fixing second prevented both problems.</w:t>
      </w:r>
    </w:p>
    <w:p>
      <w:pPr/>
      <w:r>
        <w:rPr>
          <w:b/>
        </w:rPr>
        <w:t xml:space="preserve">Why it matters for analytics.</w:t>
      </w:r>
      <w:r>
        <w:t xml:space="preserve"> Every KPI in Week 1, such as the on-time delivery rate and the average cost, depends on the data being correct. If the time columns had stayed as text, the delay checks could not have been done. If extreme values had gone unchecked, averages could have been pulled up or down. If the columns had not been scaled, distance could have dominated a clustering model only because its numbers are larger.</w:t>
      </w:r>
    </w:p>
    <w:p>
      <w:pPr/>
      <w:r>
        <w:rPr>
          <w:b/>
        </w:rPr>
        <w:t xml:space="preserve">Why it matters for decisions.</w:t>
      </w:r>
      <w:r>
        <w:t xml:space="preserve"> A logistics manager who sets delivery promises, chooses partners or prices deliveries from wrong data can pay for it in late deliveries, higher cost and unhappy customers. Clean data gives the manager numbers that can be trusted.</w:t>
      </w:r>
    </w:p>
    <w:p>
      <w:pPr/>
      <w:r>
        <w:rPr>
          <w:b/>
        </w:rPr>
        <w:t xml:space="preserve">Limitations.</w:t>
      </w:r>
      <w:r>
        <w:t xml:space="preserve"> This dataset had no missing values and no outliers, so those two techniques were shown on a copy or reported as a check, not applied to the real data. Real company data is usually messier. The median is a simple way to fill gaps, and other methods exist, such as filling by group, which may suit other datasets better.</w:t>
      </w:r>
    </w:p>
    <w:p>
      <w:pPr/>
      <w:r>
        <w:rPr>
          <w:b/>
        </w:rPr>
        <w:t xml:space="preserve">Next step.</w:t>
      </w:r>
      <w:r>
        <w:t xml:space="preserve"> The cleaned and scaled data is ready for exploration and modeling in the coming weeks.</w:t>
      </w:r>
    </w:p>
    <w:p>
      <w:pPr>
        <w:pStyle w:val="Heading2"/>
      </w:pPr>
      <w:r>
        <w:t xml:space="preserve">References</w:t>
      </w:r>
    </w:p>
    <w:p>
      <w:pPr>
        <w:pStyle w:val="ListParagraph"/>
        <w:numPr>
          <w:ilvl w:val="0"/>
          <w:numId w:val="2"/>
        </w:numPr>
      </w:pPr>
      <w:r>
        <w:t xml:space="preserve">kundanbedmutha, "Delivery Logistics Dataset (India – Multi-Partner)", Kaggle: </w:t>
      </w:r>
      <w:hyperlink r:id="rId3" w:history="1">
        <w:r>
          <w:rPr>
            <w:rStyle w:val="Hyperlink"/>
          </w:rPr>
          <w:t xml:space="preserve">Kaggle dataset page</w:t>
        </w:r>
      </w:hyperlink>
    </w:p>
    <w:p>
      <w:pPr>
        <w:pStyle w:val="ListParagraph"/>
        <w:numPr>
          <w:ilvl w:val="0"/>
          <w:numId w:val="2"/>
        </w:numPr>
      </w:pPr>
      <w:r>
        <w:t xml:space="preserve">Lehmann, L., "Towards Improved Data Quality Management Tools in Logistics", Logistics Journal, Fraunhofer IML, September 2025: </w:t>
      </w:r>
      <w:hyperlink r:id="rId4" w:history="1">
        <w:r>
          <w:rPr>
            <w:rStyle w:val="Hyperlink"/>
          </w:rPr>
          <w:t xml:space="preserve">Fraunhofer publication page</w:t>
        </w:r>
      </w:hyperlink>
    </w:p>
    <w:p>
      <w:pPr>
        <w:pStyle w:val="ListParagraph"/>
        <w:numPr>
          <w:ilvl w:val="0"/>
          <w:numId w:val="2"/>
        </w:numPr>
      </w:pPr>
      <w:r>
        <w:t xml:space="preserve">Inbound Logistics, "Do You Have Bad Strategies or Bad Data?": </w:t>
      </w:r>
      <w:hyperlink r:id="rId5" w:history="1">
        <w:r>
          <w:rPr>
            <w:rStyle w:val="Hyperlink"/>
          </w:rPr>
          <w:t xml:space="preserve">Inbound Logistics article</w:t>
        </w:r>
      </w:hyperlink>
    </w:p>
    <w:p>
      <w:pPr>
        <w:pStyle w:val="ListParagraph"/>
        <w:numPr>
          <w:ilvl w:val="0"/>
          <w:numId w:val="2"/>
        </w:numPr>
      </w:pPr>
      <w:r>
        <w:t xml:space="preserve">Supply Chain 24/7, "5 Reasons Your Logistics Cost-Savings Initiatives Are Suffering": </w:t>
      </w:r>
      <w:hyperlink r:id="rId6" w:history="1">
        <w:r>
          <w:rPr>
            <w:rStyle w:val="Hyperlink"/>
          </w:rPr>
          <w:t xml:space="preserve">Supply Chain 24/7 article</w:t>
        </w:r>
      </w:hyperlink>
    </w:p>
    <w:p>
      <w:pPr>
        <w:pStyle w:val="ListParagraph"/>
        <w:numPr>
          <w:ilvl w:val="0"/>
          <w:numId w:val="2"/>
        </w:numPr>
      </w:pPr>
      <w:r>
        <w:t xml:space="preserve">QIMA, "How to Make the Most of Your Supply Chain Data to Achieve Quality Excellence": </w:t>
      </w:r>
      <w:hyperlink r:id="rId7" w:history="1">
        <w:r>
          <w:rPr>
            <w:rStyle w:val="Hyperlink"/>
          </w:rPr>
          <w:t xml:space="preserve">QIMA blog</w:t>
        </w:r>
      </w:hyperlink>
    </w:p>
    <w:p>
      <w:pPr>
        <w:pStyle w:val="ListParagraph"/>
        <w:numPr>
          <w:ilvl w:val="0"/>
          <w:numId w:val="2"/>
        </w:numPr>
      </w:pPr>
      <w:r>
        <w:t xml:space="preserve">Cozentus, "Why Every Supply Chain Failure Starts with Bad Data and How to Fix It": </w:t>
      </w:r>
      <w:hyperlink r:id="rId8" w:history="1">
        <w:r>
          <w:rPr>
            <w:rStyle w:val="Hyperlink"/>
          </w:rPr>
          <w:t xml:space="preserve">Cozentus blog</w:t>
        </w:r>
      </w:hyperlink>
    </w:p>
    <w:p>
      <w:pPr>
        <w:pStyle w:val="ListParagraph"/>
        <w:numPr>
          <w:ilvl w:val="0"/>
          <w:numId w:val="2"/>
        </w:numPr>
      </w:pPr>
      <w:r>
        <w:t xml:space="preserve">RateLinx, data quality analysis page (figures attributed to Harvard Business Review): </w:t>
      </w:r>
      <w:hyperlink r:id="rId9" w:history="1">
        <w:r>
          <w:rPr>
            <w:rStyle w:val="Hyperlink"/>
          </w:rPr>
          <w:t xml:space="preserve">RateLinx page</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kaggle.com/datasets/kundanbedmutha/delivery-logistics-dataset-india-multi-partner" TargetMode="External"/><Relationship Id="rId4" Type="http://schemas.openxmlformats.org/officeDocument/2006/relationships/hyperlink" Target="https://publica.fraunhofer.de/handle/publica/503135" TargetMode="External"/><Relationship Id="rId5" Type="http://schemas.openxmlformats.org/officeDocument/2006/relationships/hyperlink" Target="https://www.inboundlogistics.com/articles/do-you-have-bad-strategies-or-bad-data/" TargetMode="External"/><Relationship Id="rId6" Type="http://schemas.openxmlformats.org/officeDocument/2006/relationships/hyperlink" Target="https://www.supplychain247.com/article/5_reasons_your_logistics_cost_savings_initiatives_are_suffering" TargetMode="External"/><Relationship Id="rId7" Type="http://schemas.openxmlformats.org/officeDocument/2006/relationships/hyperlink" Target="https://blog.qima.com/digital/how-to-make-the-most-of-your-supply-chain-data-to-achieve-quality-excellence" TargetMode="External"/><Relationship Id="rId8" Type="http://schemas.openxmlformats.org/officeDocument/2006/relationships/hyperlink" Target="https://www.cozentus.com/blog/why-every-supply-chain-failure-starts-with-bad-data-and-how-to-fix-it" TargetMode="External"/><Relationship Id="rId9" Type="http://schemas.openxmlformats.org/officeDocument/2006/relationships/hyperlink" Target="https://www.ratelinx.com/?p=5428"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Week 2 Report Data Collection, Cleaning and Preprocessing for Logistics Analysis</dc:title>
  <dc:description>Claude Docs node/0f2a8af3-bbb6@1 docx-w7</dc:description>
  <cp:revision>1</cp:revision>
</cp:coreProperties>
</file>