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804D2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Lines="0" w:beforeAutospacing="0" w:after="0" w:afterLines="0" w:afterAutospacing="0"/>
        <w:ind w:left="-202" w:leftChars="-101" w:right="0" w:firstLine="0" w:firstLineChars="0"/>
        <w:jc w:val="center"/>
        <w:rPr>
          <w:rStyle w:val="6"/>
          <w:rFonts w:hint="default" w:ascii="Times New Roman" w:hAnsi="Times New Roman" w:eastAsia="Arial" w:cs="Times New Roman"/>
          <w:b/>
          <w:bCs/>
          <w:kern w:val="0"/>
          <w:sz w:val="36"/>
          <w:szCs w:val="36"/>
          <w:u w:val="single"/>
          <w:lang w:val="en-US" w:eastAsia="zh-CN" w:bidi="ar"/>
        </w:rPr>
      </w:pPr>
      <w:r>
        <w:rPr>
          <w:rStyle w:val="6"/>
          <w:rFonts w:hint="default" w:ascii="Times New Roman" w:hAnsi="Times New Roman" w:eastAsia="Arial" w:cs="Times New Roman"/>
          <w:b/>
          <w:bCs/>
          <w:kern w:val="0"/>
          <w:sz w:val="36"/>
          <w:szCs w:val="36"/>
          <w:u w:val="single"/>
          <w:lang w:val="en-US" w:eastAsia="zh-CN" w:bidi="ar"/>
        </w:rPr>
        <w:t>GD Goenka Public School, Aligarh</w:t>
      </w:r>
    </w:p>
    <w:p w14:paraId="3C1A7907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Lines="0" w:beforeAutospacing="0" w:after="0" w:afterLines="0" w:afterAutospacing="0"/>
        <w:ind w:left="-202" w:leftChars="-101" w:right="0" w:firstLine="0" w:firstLineChars="0"/>
        <w:jc w:val="center"/>
        <w:rPr>
          <w:rStyle w:val="6"/>
          <w:rFonts w:hint="default" w:ascii="Times New Roman" w:hAnsi="Times New Roman" w:eastAsia="Arial" w:cs="Times New Roman"/>
          <w:b/>
          <w:bCs/>
          <w:kern w:val="0"/>
          <w:sz w:val="36"/>
          <w:szCs w:val="36"/>
          <w:u w:val="single"/>
          <w:lang w:val="en-US" w:eastAsia="zh-CN" w:bidi="ar"/>
        </w:rPr>
      </w:pPr>
      <w:bookmarkStart w:id="0" w:name="_GoBack"/>
      <w:bookmarkEnd w:id="0"/>
    </w:p>
    <w:p w14:paraId="68BA474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0" w:beforeLines="0" w:beforeAutospacing="0" w:after="180" w:afterLines="0" w:afterAutospacing="0"/>
        <w:ind w:left="-202" w:leftChars="-101" w:right="0" w:firstLine="560" w:firstLineChars="200"/>
        <w:jc w:val="center"/>
        <w:rPr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en-US" w:eastAsia="zh-CN" w:bidi="ar"/>
        </w:rPr>
        <w:t>CLASSROOM PEDAGOGY &amp; TEACHING STRATEGIES POLICY</w:t>
      </w:r>
    </w:p>
    <w:p w14:paraId="2FE4983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1. Vision &amp; Core Philosophy</w:t>
      </w:r>
    </w:p>
    <w:p w14:paraId="053DA382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The Goenkan pedagogy rejects rote memorisation. Our objective is to transition from </w:t>
      </w:r>
      <w:r>
        <w:rPr>
          <w:rStyle w:val="6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>textbook-centric teaching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 to </w:t>
      </w:r>
      <w:r>
        <w:rPr>
          <w:rStyle w:val="6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>competency-focused, experiential learning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. We aim to develop critical thinkers who possess 21st-century skills: Communication, Collaboration, Creativity, and Critical Thinking.</w:t>
      </w:r>
    </w:p>
    <w:p w14:paraId="3D47208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95F2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2. Core Teaching Methodologies (School-Wide)</w:t>
      </w:r>
    </w:p>
    <w:p w14:paraId="42272CE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Every teacher at GD Goenka, Aligarh must actively incorporate these three foundational pillars into their daily teaching:</w:t>
      </w:r>
    </w:p>
    <w:p w14:paraId="1643172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 xml:space="preserve"> A. Competency-Based Education (CBE)</w:t>
      </w:r>
    </w:p>
    <w:p w14:paraId="389BB429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Definition: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Teaching aimed at helping students master specific life skills and concepts, rather than just scoring marks.</w:t>
      </w:r>
    </w:p>
    <w:p w14:paraId="3394A661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Implementation:</w:t>
      </w:r>
    </w:p>
    <w:p w14:paraId="31D11D75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Align every lesson with specific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NCERT Learning Outcomes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.</w:t>
      </w:r>
    </w:p>
    <w:p w14:paraId="3B478676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Design assessments that test real-life application, not direct book definitions.</w:t>
      </w:r>
    </w:p>
    <w:p w14:paraId="4649C673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Include at least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30%–50% Competency-Based Questions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(case studies, source-based questions, assertion-reasoning) in all school tests.</w:t>
      </w:r>
    </w:p>
    <w:p w14:paraId="6FA86B2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 xml:space="preserve"> B. Experiential &amp; Inquiry-Based Learning</w:t>
      </w:r>
    </w:p>
    <w:p w14:paraId="2475823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Definition: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Learning by doing, exploring, and questioning.</w:t>
      </w:r>
    </w:p>
    <w:p w14:paraId="31C2F45B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Implementation:</w:t>
      </w:r>
    </w:p>
    <w:p w14:paraId="37EBF719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Use the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5E Instructional Model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: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E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ngage,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E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xplore,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E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xplain,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E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ndo/Elaborate, and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E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valuate.</w:t>
      </w:r>
    </w:p>
    <w:p w14:paraId="721CF566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Incorporate regular field trips, virtual lab simulations, and live classroom demonstrations.</w:t>
      </w:r>
    </w:p>
    <w:p w14:paraId="3F7B3780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Begin chapters with an "Essential Question" or a real-world problem instead of a direct title announcement.</w:t>
      </w:r>
    </w:p>
    <w:p w14:paraId="72330CA8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 xml:space="preserve"> C. Cross-Curricular Integration</w:t>
      </w:r>
    </w:p>
    <w:p w14:paraId="3615D10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-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Art-Integrated Learning (AIL):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Mandatory integration of visual or performing arts (e.g., teaching history through role-play, or geometry through mandala art) as mandated by CBSE.</w:t>
      </w:r>
    </w:p>
    <w:p w14:paraId="65A3196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-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Toy-Based Pedagogy: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Using indigenous toys, puzzles, board games, and puppets to explain mathematical concepts and storytelling.</w:t>
      </w:r>
    </w:p>
    <w:p w14:paraId="681BC1A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-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Sports Integration: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Using physical education activities to teach concepts like velocity, angles, or team dynamics.</w:t>
      </w:r>
    </w:p>
    <w:p w14:paraId="01D36C4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E752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3. Stage-Wise Pedagogical Breakdown</w:t>
      </w:r>
    </w:p>
    <w:p w14:paraId="64037CC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1. Foundational Stage (Nursery to Grade II)</w:t>
      </w:r>
    </w:p>
    <w:p w14:paraId="7FB05DC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Pedagogical Approach: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Play-way, activity-based, and highly interactive.</w:t>
      </w:r>
    </w:p>
    <w:p w14:paraId="3EA9D122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Key Strategies:</w:t>
      </w:r>
    </w:p>
    <w:p w14:paraId="4D89F7DA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*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Strictly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no formal examinations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; continuous observation via checklists.</w:t>
      </w:r>
    </w:p>
    <w:p w14:paraId="7BEB7078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*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Heavy focus on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Foundational Literacy and Numeracy (FLN)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.</w:t>
      </w:r>
    </w:p>
    <w:p w14:paraId="6DA09481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*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Use of sensory tables, storytelling, rhymes, and phonics-based reading blocks.</w:t>
      </w:r>
    </w:p>
    <w:p w14:paraId="45107D43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*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Daily circle time to build socio-emotional skills.</w:t>
      </w:r>
    </w:p>
    <w:p w14:paraId="7393539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 xml:space="preserve"> 2. Preparatory Stage (Grades III to V)</w:t>
      </w:r>
    </w:p>
    <w:p w14:paraId="263B9170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Pedagogical Approach: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Transitioning from play to structured, interactive textbook learning.</w:t>
      </w:r>
    </w:p>
    <w:p w14:paraId="3C415FC8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Key Strategies:</w:t>
      </w:r>
    </w:p>
    <w:p w14:paraId="52AA0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Introduction of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Thematic Learning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(linking Science and Social Studies into common themes).</w:t>
      </w:r>
    </w:p>
    <w:p w14:paraId="1EDE42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Use of mathematical manipulatives (Jod-Gyan kits, abacus) to eliminate math anxiety.</w:t>
      </w:r>
    </w:p>
    <w:p w14:paraId="496F3D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Weekly reading logs and creative writing circles to strengthen language.</w:t>
      </w:r>
    </w:p>
    <w:p w14:paraId="1335DD9C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3. Middle Stage (Grades VI to VIII)</w:t>
      </w:r>
    </w:p>
    <w:p w14:paraId="6ED9DBB8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Pedagogical Approach: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Subject-focused, analytical, and collaborative.</w:t>
      </w:r>
    </w:p>
    <w:p w14:paraId="0789068B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Key Strategies:</w:t>
      </w:r>
    </w:p>
    <w:p w14:paraId="6FA59A9B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Project-Based Learning (PBL):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One interdisciplinary project per term.</w:t>
      </w:r>
    </w:p>
    <w:p w14:paraId="166B1AF9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Introduction of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Vocational Subjects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and coding concepts.</w:t>
      </w:r>
    </w:p>
    <w:p w14:paraId="3C72716D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Mandatory lab visits (Physics, Chemistry, Biology, Math) for practical validation of theories.</w:t>
      </w:r>
    </w:p>
    <w:p w14:paraId="3665CF8D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Peer tutoring and group presentations to build confidence.</w:t>
      </w:r>
    </w:p>
    <w:p w14:paraId="4CFDD7F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 xml:space="preserve"> 4. Secondary &amp; Senior Secondary Stage (Grades IX to XII)</w:t>
      </w:r>
    </w:p>
    <w:p w14:paraId="5D67F1F5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Pedagogical Approach: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Rigorous, exam-oriented yet conceptually deep, and data-driven.</w:t>
      </w:r>
    </w:p>
    <w:p w14:paraId="66600D45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Key Strategies:</w:t>
      </w:r>
    </w:p>
    <w:p w14:paraId="7E4599F7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Blended Learning: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Utilising smart boards, digital repositories, and flipped classrooms.</w:t>
      </w:r>
    </w:p>
    <w:p w14:paraId="6F5E88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Strict adherence to the </w:t>
      </w: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CBSE Assessment Framework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and marking schemes.</w:t>
      </w:r>
    </w:p>
    <w:p w14:paraId="6ED9FA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Regular remedial classes for struggling learners and enrichment sessions for high-achievers.</w:t>
      </w:r>
    </w:p>
    <w:p w14:paraId="0C3F92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Weekly test series paired with detailed error-analysis sessions.</w:t>
      </w:r>
    </w:p>
    <w:p w14:paraId="5B143041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4F20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4. Mandatory Digital &amp; Tech Integration</w:t>
      </w:r>
    </w:p>
    <w:p w14:paraId="4139C84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GD Goenka, Aligarh prides itself on modern infrastructure. Teachers must leverage technology effectively:</w:t>
      </w:r>
    </w:p>
    <w:p w14:paraId="590C05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Smart Classroom Utilization: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Every lesson plan must feature at least one digital component (audio-visual clip, 3D model, or interactive quiz).</w:t>
      </w:r>
    </w:p>
    <w:p w14:paraId="18C6B6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AI in Education: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Teachers should utilize educational AI tools for creating differentiated worksheets and quiz platforms (like Kahoot or Quizizz) for formative assessments.</w:t>
      </w:r>
    </w:p>
    <w:p w14:paraId="609DF7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Digital Portfolios: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Maintain student work folders digitally to track year-long creative progress.</w:t>
      </w:r>
    </w:p>
    <w:p w14:paraId="61C46AF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65B5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center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5. Assessment and Evaluation Policy</w:t>
      </w:r>
    </w:p>
    <w:p w14:paraId="755DE0B0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-202" w:leftChars="-101" w:right="0" w:firstLine="0" w:firstLineChars="0"/>
        <w:jc w:val="center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Assessments must be treated as tools </w:t>
      </w:r>
      <w:r>
        <w:rPr>
          <w:rStyle w:val="4"/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for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 learning, not just </w:t>
      </w:r>
      <w:r>
        <w:rPr>
          <w:rStyle w:val="4"/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of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 learning.</w:t>
      </w:r>
    </w:p>
    <w:p w14:paraId="2A4970C9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┌───────────────────────────────┐</w:t>
      </w:r>
    </w:p>
    <w:p w14:paraId="2E520C14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│ GDGOENKA ALIGARH ASSESSMENTS  │</w:t>
      </w:r>
    </w:p>
    <w:p w14:paraId="313F6F62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└───────────────┬───────────────┘</w:t>
      </w:r>
    </w:p>
    <w:p w14:paraId="758EAD08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│</w:t>
      </w:r>
    </w:p>
    <w:p w14:paraId="38F43B8F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┌────────────────────────┴────────────────────────┐</w:t>
      </w:r>
    </w:p>
    <w:p w14:paraId="2A55767E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▼                                                 ▼</w:t>
      </w:r>
    </w:p>
    <w:p w14:paraId="6FA9C595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📝 FORMATIVE (40%)                                 📊 SUMMATIVE (60%)</w:t>
      </w:r>
    </w:p>
    <w:p w14:paraId="7418A9E7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- Portfolios &amp; Notebooks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  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                        - Mid-Term Exams</w:t>
      </w:r>
    </w:p>
    <w:p w14:paraId="305477C1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  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- Quizzes &amp; Debates                      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 - Annual Board-Pattern Finals</w:t>
      </w:r>
    </w:p>
    <w:p w14:paraId="5AE0072D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-202" w:leftChars="-101" w:right="0" w:firstLine="0" w:firstLineChars="0"/>
        <w:jc w:val="center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- Hands-on Lab Practicals                 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  <w:lang w:val="en-US"/>
        </w:rPr>
        <w:t xml:space="preserve">        </w:t>
      </w: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 xml:space="preserve"> - Objective OMR Tests</w:t>
      </w:r>
    </w:p>
    <w:p w14:paraId="493F0D7B">
      <w:pPr>
        <w:pStyle w:val="5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right="0" w:firstLine="1785" w:firstLineChars="850"/>
        <w:jc w:val="both"/>
        <w:rPr>
          <w:rFonts w:hint="default" w:ascii="Times New Roman" w:hAnsi="Times New Roman" w:eastAsia="monospace" w:cs="Times New Roman"/>
          <w:sz w:val="21"/>
          <w:szCs w:val="21"/>
          <w:u w:val="none"/>
        </w:rPr>
      </w:pPr>
      <w:r>
        <w:rPr>
          <w:rFonts w:hint="default" w:ascii="Times New Roman" w:hAnsi="Times New Roman" w:eastAsia="monospace" w:cs="Times New Roman"/>
          <w:sz w:val="21"/>
          <w:szCs w:val="21"/>
          <w:u w:val="none"/>
        </w:rPr>
        <w:t>- Peer &amp; Self-Assessments</w:t>
      </w:r>
    </w:p>
    <w:p w14:paraId="0E081B1B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Chars="-101" w:right="0" w:right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Holistic Progress Card (HPC):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Teachers will evaluate students on a 360-degree scale including self-assessment, peer-assessment, and co-scholastic participation (sports, arts, values).</w:t>
      </w:r>
    </w:p>
    <w:p w14:paraId="7B32CDAC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F809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30"/>
          <w:szCs w:val="30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0"/>
          <w:szCs w:val="30"/>
          <w:u w:val="none"/>
          <w:lang w:val="en-US" w:eastAsia="zh-CN" w:bidi="ar"/>
        </w:rPr>
        <w:t>6. Continuous Professional Development (CPD) for Teachers</w:t>
      </w:r>
    </w:p>
    <w:p w14:paraId="3B2ED49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-202" w:leftChars="-101" w:right="0" w:firstLine="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To ensure teaching standards remain cutting-edge, all faculty members must complete </w:t>
      </w:r>
      <w:r>
        <w:rPr>
          <w:rStyle w:val="6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>50 hours of CPD annually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:</w:t>
      </w:r>
    </w:p>
    <w:p w14:paraId="16CCDB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CBSE Nishtha &amp; Diksha Training: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25 hours of mandatory online/offline courses conducted by CBSE.</w:t>
      </w:r>
    </w:p>
    <w:p w14:paraId="001C60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8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In-House Goenkan Workshops: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25 hours focusing on classroom management, soft skills, neurodiversity, and mental health first aid.</w:t>
      </w:r>
    </w:p>
    <w:p w14:paraId="3FC4654D">
      <w:pPr>
        <w:ind w:left="-202" w:leftChars="-101" w:firstLine="0" w:firstLineChars="0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3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EC0E44"/>
    <w:multiLevelType w:val="singleLevel"/>
    <w:tmpl w:val="4EEC0E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2117F40"/>
    <w:multiLevelType w:val="singleLevel"/>
    <w:tmpl w:val="52117F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335EB"/>
    <w:rsid w:val="2B3866F7"/>
    <w:rsid w:val="4BE14EEF"/>
    <w:rsid w:val="4E6178CC"/>
    <w:rsid w:val="5A7B6781"/>
    <w:rsid w:val="5AD8079A"/>
    <w:rsid w:val="651607D0"/>
    <w:rsid w:val="7D81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2026-08-30T08:21:01Z</dcterms:created>
  <dc:creator>Administrator</dc:creator>
  <cp:lastModifiedBy>Administrator</cp:lastModifiedBy>
  <dcterms:modified xsi:type="dcterms:W3CDTF">2026-08-30T08:34:25Z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eyJoZGlkIjoiYTNhNGI1NzBkODQ1OGFmN2U0YTczZWUxNGYwYzNiZjgiLCJ1c2VySWQiOiI1Njc2MDMxMTI4OTgifQ==</vt:lpwstr>
  </property>
  <property fmtid="{D5CDD505-2E9C-101B-9397-08002B2CF9AE}" pid="4" name="ICV">
    <vt:lpwstr>CCFE1AE471ED40C0B6DEB1B3B8CFC46D_12</vt:lpwstr>
  </property>
</Properties>
</file>