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574D3">
      <w:pPr>
        <w:spacing w:after="40"/>
        <w:jc w:val="center"/>
      </w:pPr>
      <w:r>
        <w:rPr>
          <w:b/>
          <w:color w:val="003366"/>
          <w:sz w:val="36"/>
        </w:rPr>
        <w:t>G D GOENKA PUBLIC SCHOOL, ALIGARH</w:t>
      </w:r>
    </w:p>
    <w:p w14:paraId="6214EFE0">
      <w:pPr>
        <w:spacing w:after="360"/>
        <w:jc w:val="center"/>
      </w:pPr>
      <w:r>
        <w:rPr>
          <w:b/>
          <w:color w:val="708090"/>
          <w:sz w:val="24"/>
        </w:rPr>
        <w:t>INSTITUTIONAL MEDICAL EMERGENCY &amp; CRISIS MANAGEMENT PROTOCOL</w:t>
      </w:r>
    </w:p>
    <w:p w14:paraId="38816F0C">
      <w:pPr>
        <w:keepNext/>
        <w:spacing w:before="240" w:after="120"/>
        <w:jc w:val="both"/>
      </w:pPr>
      <w:r>
        <w:rPr>
          <w:rFonts w:ascii="Arial" w:hAnsi="Arial"/>
          <w:b/>
          <w:color w:val="003366"/>
          <w:sz w:val="32"/>
        </w:rPr>
        <w:t>1. OBJECTIVE &amp; SCOPE</w:t>
      </w:r>
    </w:p>
    <w:p w14:paraId="7BBAAE36">
      <w:pPr>
        <w:spacing w:after="120" w:line="276" w:lineRule="auto"/>
        <w:jc w:val="both"/>
      </w:pPr>
      <w:r>
        <w:t>In alignment with the structural safety benchmarks mandated across premium G D Goenka Group Schools and standard CBSE security guidelines, this document establishes the mandatory Emergency Medical &amp; Crisis Protocol for G D Goenka Public School (GDGPS), Aligarh. This protocol defines clear lines of authority, immediate action trees, and standard operational procedures (SOPs) to handle severe medical events, onsite injuries, and critical student health crises during school hours, transport, and school-hosted events.</w:t>
      </w:r>
    </w:p>
    <w:p w14:paraId="38E3121D">
      <w:pPr>
        <w:keepNext/>
        <w:spacing w:before="240" w:after="120"/>
        <w:jc w:val="both"/>
      </w:pPr>
      <w:r>
        <w:rPr>
          <w:rFonts w:ascii="Arial" w:hAnsi="Arial"/>
          <w:b/>
          <w:color w:val="003366"/>
          <w:sz w:val="32"/>
        </w:rPr>
        <w:t>2. EMERGENCY RESPONSE TEAM (ERT) STRUCTURE</w:t>
      </w:r>
    </w:p>
    <w:p w14:paraId="2823CCB1">
      <w:pPr>
        <w:spacing w:after="80"/>
        <w:jc w:val="both"/>
      </w:pPr>
      <w:r>
        <w:t>A dedicated Emergency Response Team (ERT) is active on campus to oversee all immediate critical responses. The team consists of:</w:t>
      </w:r>
    </w:p>
    <w:p w14:paraId="0708A6BF">
      <w:pPr>
        <w:pStyle w:val="23"/>
        <w:spacing w:after="60"/>
        <w:jc w:val="both"/>
      </w:pPr>
      <w:r>
        <w:rPr>
          <w:b/>
          <w:color w:val="003366"/>
        </w:rPr>
        <w:t>Chief Emergency Commander:</w:t>
      </w:r>
      <w:r>
        <w:t xml:space="preserve"> The Principal. Holds absolute authority for final escalation, campus lockdowns, and systemic external hospital communication.</w:t>
      </w:r>
    </w:p>
    <w:p w14:paraId="2E2E18D9">
      <w:pPr>
        <w:pStyle w:val="23"/>
        <w:spacing w:after="60"/>
        <w:jc w:val="both"/>
      </w:pPr>
      <w:r>
        <w:rPr>
          <w:b/>
          <w:color w:val="003366"/>
        </w:rPr>
        <w:t>Medical Operations Lead:</w:t>
      </w:r>
      <w:r>
        <w:t xml:space="preserve"> The Institutional Campus Nurse. Directs triage, immediate clinical stabilization, first-aid deployment, and emergency vehicle dispatch.</w:t>
      </w:r>
    </w:p>
    <w:p w14:paraId="3DB2C570">
      <w:pPr>
        <w:pStyle w:val="23"/>
        <w:spacing w:after="60"/>
        <w:jc w:val="both"/>
      </w:pPr>
      <w:r>
        <w:rPr>
          <w:b/>
          <w:color w:val="003366"/>
        </w:rPr>
        <w:t>Logistics &amp; Transport Coordinator:</w:t>
      </w:r>
      <w:r>
        <w:t xml:space="preserve"> The Administrative Officer. Mandated to clear exit routes, secure immediate dedicated ambulance movement, and manage local police/traffic synchronization.</w:t>
      </w:r>
    </w:p>
    <w:p w14:paraId="091FEE7D">
      <w:pPr>
        <w:pStyle w:val="23"/>
        <w:spacing w:after="60"/>
        <w:jc w:val="both"/>
      </w:pPr>
      <w:r>
        <w:rPr>
          <w:b/>
          <w:color w:val="003366"/>
        </w:rPr>
        <w:t>Floor Marshals:</w:t>
      </w:r>
      <w:r>
        <w:t xml:space="preserve"> Nominated Senior Teachers / Wing Coordinators. Accountable for immediate floor evacuation, student headcounts, and preventing panic corridors.</w:t>
      </w:r>
    </w:p>
    <w:p w14:paraId="0CFDD1DF">
      <w:pPr>
        <w:keepNext/>
        <w:spacing w:before="240" w:after="120"/>
        <w:jc w:val="both"/>
      </w:pPr>
      <w:r>
        <w:rPr>
          <w:rFonts w:ascii="Arial" w:hAnsi="Arial"/>
          <w:b/>
          <w:color w:val="003366"/>
          <w:sz w:val="32"/>
        </w:rPr>
        <w:t>3. THE 'GOLDEN HOUR' CLINICAL SOP</w:t>
      </w:r>
    </w:p>
    <w:p w14:paraId="3CCC5F87">
      <w:pPr>
        <w:spacing w:after="80"/>
        <w:jc w:val="both"/>
      </w:pPr>
      <w:r>
        <w:t>The first 60 minutes following a severe medical crisis are treated as the clinical 'Golden Hour'. All staff members must execute actions sequentially without deviation:</w:t>
      </w:r>
    </w:p>
    <w:p w14:paraId="55EF3D79">
      <w:pPr>
        <w:spacing w:after="80"/>
        <w:ind w:left="360"/>
        <w:jc w:val="both"/>
      </w:pPr>
      <w:r>
        <w:rPr>
          <w:b/>
          <w:color w:val="708090"/>
        </w:rPr>
        <w:t>Phase 1: Immediate Triage &amp; Identification (Minutes 0 - 5):</w:t>
      </w:r>
      <w:r>
        <w:t xml:space="preserve"> The observing staff member alerts the nearest floor marshal or directly signals the medical room. The student is not left unattended. The nurse arrives with an emergency medical kit.</w:t>
      </w:r>
    </w:p>
    <w:p w14:paraId="6D7E06BB">
      <w:pPr>
        <w:spacing w:after="80"/>
        <w:ind w:left="360"/>
        <w:jc w:val="both"/>
      </w:pPr>
      <w:r>
        <w:rPr>
          <w:b/>
          <w:color w:val="708090"/>
        </w:rPr>
        <w:t>Phase 2: Onsite Stabilization (Minutes 5 - 15):</w:t>
      </w:r>
      <w:r>
        <w:t xml:space="preserve"> The Nurse administers critical care (e.g., CPR, oxygen administration, nebulization, or anaphylaxis management) within the multi-bedded campus infirmary. The Chief Commander is formally notified.</w:t>
      </w:r>
    </w:p>
    <w:p w14:paraId="02CB9D4A">
      <w:pPr>
        <w:spacing w:after="80"/>
        <w:ind w:left="360"/>
        <w:jc w:val="both"/>
      </w:pPr>
      <w:r>
        <w:rPr>
          <w:b/>
          <w:color w:val="708090"/>
        </w:rPr>
        <w:t>Phase 3: Parental Notification &amp; Transit Prep (Minutes 15 - 20):</w:t>
      </w:r>
      <w:r>
        <w:t xml:space="preserve"> The front desk establishes contact with parents/guardians. Concurrently, the Administrative Officer spools up the dedicated on-campus emergency transit vehicle.</w:t>
      </w:r>
    </w:p>
    <w:p w14:paraId="61DE5446">
      <w:pPr>
        <w:spacing w:after="80"/>
        <w:ind w:left="360"/>
        <w:jc w:val="both"/>
      </w:pPr>
      <w:r>
        <w:rPr>
          <w:b/>
          <w:color w:val="708090"/>
        </w:rPr>
        <w:t>Phase 4: Golden Hour Evacuation (Minutes 20 - 45):</w:t>
      </w:r>
      <w:r>
        <w:t xml:space="preserve"> If the nurse deems the case a Level 3 emergency, the student is transferred via the designated emergency vehicle to the closest empanelled tertiary hospital provider in Aligarh, accompanied by the school nurse and a pastoral representative.</w:t>
      </w:r>
    </w:p>
    <w:p w14:paraId="1C7D36A9">
      <w:pPr>
        <w:keepNext/>
        <w:spacing w:before="240" w:after="120"/>
        <w:jc w:val="both"/>
      </w:pPr>
      <w:r>
        <w:rPr>
          <w:rFonts w:ascii="Arial" w:hAnsi="Arial"/>
          <w:b/>
          <w:color w:val="003366"/>
          <w:sz w:val="32"/>
        </w:rPr>
        <w:t>4. CRISIS MATRIX &amp; IMMEDIATE DEPLOYMENT ACTION</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7FF3D002">
        <w:tblPrEx>
          <w:tblCellMar>
            <w:top w:w="0" w:type="dxa"/>
            <w:left w:w="108" w:type="dxa"/>
            <w:bottom w:w="0" w:type="dxa"/>
            <w:right w:w="108" w:type="dxa"/>
          </w:tblCellMar>
        </w:tblPrEx>
        <w:trPr>
          <w:jc w:val="center"/>
        </w:trPr>
        <w:tc>
          <w:tcPr>
            <w:tcW w:w="2592" w:type="dxa"/>
            <w:shd w:val="clear" w:color="auto" w:fill="003366"/>
            <w:tcMar>
              <w:top w:w="120" w:type="dxa"/>
              <w:left w:w="150" w:type="dxa"/>
              <w:bottom w:w="120" w:type="dxa"/>
              <w:right w:w="150" w:type="dxa"/>
            </w:tcMar>
          </w:tcPr>
          <w:p w14:paraId="1DCE5164">
            <w:pPr>
              <w:jc w:val="both"/>
            </w:pPr>
            <w:r>
              <w:rPr>
                <w:b/>
                <w:color w:val="FFFFFF"/>
                <w:sz w:val="20"/>
              </w:rPr>
              <w:t>Crisis Scenario</w:t>
            </w:r>
          </w:p>
        </w:tc>
        <w:tc>
          <w:tcPr>
            <w:tcW w:w="3888" w:type="dxa"/>
            <w:shd w:val="clear" w:color="auto" w:fill="003366"/>
            <w:tcMar>
              <w:top w:w="120" w:type="dxa"/>
              <w:left w:w="150" w:type="dxa"/>
              <w:bottom w:w="120" w:type="dxa"/>
              <w:right w:w="150" w:type="dxa"/>
            </w:tcMar>
          </w:tcPr>
          <w:p w14:paraId="3EF1C529">
            <w:pPr>
              <w:jc w:val="both"/>
            </w:pPr>
            <w:r>
              <w:rPr>
                <w:b/>
                <w:color w:val="FFFFFF"/>
                <w:sz w:val="20"/>
              </w:rPr>
              <w:t>Immediate Onsite Action (First Aid)</w:t>
            </w:r>
          </w:p>
        </w:tc>
        <w:tc>
          <w:tcPr>
            <w:tcW w:w="2880" w:type="dxa"/>
            <w:shd w:val="clear" w:color="auto" w:fill="003366"/>
            <w:tcMar>
              <w:top w:w="120" w:type="dxa"/>
              <w:left w:w="150" w:type="dxa"/>
              <w:bottom w:w="120" w:type="dxa"/>
              <w:right w:w="150" w:type="dxa"/>
            </w:tcMar>
          </w:tcPr>
          <w:p w14:paraId="202F1CBF">
            <w:pPr>
              <w:jc w:val="both"/>
            </w:pPr>
            <w:r>
              <w:rPr>
                <w:b/>
                <w:color w:val="FFFFFF"/>
                <w:sz w:val="20"/>
              </w:rPr>
              <w:t>Escalation &amp; Evacuation Trigger</w:t>
            </w:r>
          </w:p>
        </w:tc>
      </w:tr>
      <w:tr w14:paraId="6D89D5CB">
        <w:tblPrEx>
          <w:tblCellMar>
            <w:top w:w="0" w:type="dxa"/>
            <w:left w:w="108" w:type="dxa"/>
            <w:bottom w:w="0" w:type="dxa"/>
            <w:right w:w="108" w:type="dxa"/>
          </w:tblCellMar>
        </w:tblPrEx>
        <w:trPr>
          <w:jc w:val="center"/>
        </w:trPr>
        <w:tc>
          <w:tcPr>
            <w:tcW w:w="2592" w:type="dxa"/>
            <w:tcMar>
              <w:top w:w="100" w:type="dxa"/>
              <w:left w:w="120" w:type="dxa"/>
              <w:bottom w:w="100" w:type="dxa"/>
              <w:right w:w="120" w:type="dxa"/>
            </w:tcMar>
          </w:tcPr>
          <w:p w14:paraId="3DAE98E0">
            <w:pPr>
              <w:spacing w:after="40" w:line="276" w:lineRule="auto"/>
              <w:jc w:val="both"/>
            </w:pPr>
            <w:r>
              <w:rPr>
                <w:sz w:val="19"/>
              </w:rPr>
              <w:t>Severe Trauma / Fractures</w:t>
            </w:r>
          </w:p>
        </w:tc>
        <w:tc>
          <w:tcPr>
            <w:tcW w:w="3888" w:type="dxa"/>
            <w:tcMar>
              <w:top w:w="100" w:type="dxa"/>
              <w:left w:w="120" w:type="dxa"/>
              <w:bottom w:w="100" w:type="dxa"/>
              <w:right w:w="120" w:type="dxa"/>
            </w:tcMar>
          </w:tcPr>
          <w:p w14:paraId="1BD4E57A">
            <w:pPr>
              <w:spacing w:after="40" w:line="276" w:lineRule="auto"/>
              <w:jc w:val="both"/>
            </w:pPr>
            <w:r>
              <w:rPr>
                <w:sz w:val="19"/>
              </w:rPr>
              <w:t>Do not move the patient if spinal injury is suspected. Immobilize limbs using emergency splints. Control bleeding with sterile pressure dressings.</w:t>
            </w:r>
          </w:p>
        </w:tc>
        <w:tc>
          <w:tcPr>
            <w:tcW w:w="2880" w:type="dxa"/>
            <w:tcMar>
              <w:top w:w="100" w:type="dxa"/>
              <w:left w:w="120" w:type="dxa"/>
              <w:bottom w:w="100" w:type="dxa"/>
              <w:right w:w="120" w:type="dxa"/>
            </w:tcMar>
          </w:tcPr>
          <w:p w14:paraId="300753CC">
            <w:pPr>
              <w:spacing w:after="40" w:line="276" w:lineRule="auto"/>
              <w:jc w:val="both"/>
            </w:pPr>
            <w:r>
              <w:rPr>
                <w:sz w:val="19"/>
              </w:rPr>
              <w:t>Uncontrolled hemorrhaging or structural compound fractures trigger immediate ambulance transit within 15 mins.</w:t>
            </w:r>
          </w:p>
        </w:tc>
      </w:tr>
      <w:tr w14:paraId="1525ECC1">
        <w:tblPrEx>
          <w:tblCellMar>
            <w:top w:w="0" w:type="dxa"/>
            <w:left w:w="108" w:type="dxa"/>
            <w:bottom w:w="0" w:type="dxa"/>
            <w:right w:w="108" w:type="dxa"/>
          </w:tblCellMar>
        </w:tblPrEx>
        <w:trPr>
          <w:jc w:val="center"/>
        </w:trPr>
        <w:tc>
          <w:tcPr>
            <w:tcW w:w="2592" w:type="dxa"/>
            <w:tcMar>
              <w:top w:w="100" w:type="dxa"/>
              <w:left w:w="120" w:type="dxa"/>
              <w:bottom w:w="100" w:type="dxa"/>
              <w:right w:w="120" w:type="dxa"/>
            </w:tcMar>
          </w:tcPr>
          <w:p w14:paraId="6ECC8F7D">
            <w:pPr>
              <w:spacing w:after="40" w:line="276" w:lineRule="auto"/>
              <w:jc w:val="both"/>
            </w:pPr>
            <w:r>
              <w:rPr>
                <w:sz w:val="19"/>
              </w:rPr>
              <w:t>Asthmatic Attack / Respiratory Distress</w:t>
            </w:r>
          </w:p>
        </w:tc>
        <w:tc>
          <w:tcPr>
            <w:tcW w:w="3888" w:type="dxa"/>
            <w:tcMar>
              <w:top w:w="100" w:type="dxa"/>
              <w:left w:w="120" w:type="dxa"/>
              <w:bottom w:w="100" w:type="dxa"/>
              <w:right w:w="120" w:type="dxa"/>
            </w:tcMar>
          </w:tcPr>
          <w:p w14:paraId="0AAFA32A">
            <w:pPr>
              <w:spacing w:after="40" w:line="276" w:lineRule="auto"/>
              <w:jc w:val="both"/>
            </w:pPr>
            <w:r>
              <w:rPr>
                <w:sz w:val="19"/>
              </w:rPr>
              <w:t>Seat student upright. Administer immediate prescribed bronchodilator puff or auxiliary oxygen flow via the infirmary nebulizer setup.</w:t>
            </w:r>
          </w:p>
        </w:tc>
        <w:tc>
          <w:tcPr>
            <w:tcW w:w="2880" w:type="dxa"/>
            <w:tcMar>
              <w:top w:w="100" w:type="dxa"/>
              <w:left w:w="120" w:type="dxa"/>
              <w:bottom w:w="100" w:type="dxa"/>
              <w:right w:w="120" w:type="dxa"/>
            </w:tcMar>
          </w:tcPr>
          <w:p w14:paraId="0CB150D4">
            <w:pPr>
              <w:spacing w:after="40" w:line="276" w:lineRule="auto"/>
              <w:jc w:val="both"/>
            </w:pPr>
            <w:r>
              <w:rPr>
                <w:sz w:val="19"/>
              </w:rPr>
              <w:t>If oxygen saturation (SpO2) drops below 92% or remains unresponsive after two nebulizer cycles.</w:t>
            </w:r>
          </w:p>
        </w:tc>
      </w:tr>
      <w:tr w14:paraId="4FDEF43C">
        <w:tblPrEx>
          <w:tblCellMar>
            <w:top w:w="0" w:type="dxa"/>
            <w:left w:w="108" w:type="dxa"/>
            <w:bottom w:w="0" w:type="dxa"/>
            <w:right w:w="108" w:type="dxa"/>
          </w:tblCellMar>
        </w:tblPrEx>
        <w:trPr>
          <w:jc w:val="center"/>
        </w:trPr>
        <w:tc>
          <w:tcPr>
            <w:tcW w:w="2592" w:type="dxa"/>
            <w:tcMar>
              <w:top w:w="100" w:type="dxa"/>
              <w:left w:w="120" w:type="dxa"/>
              <w:bottom w:w="100" w:type="dxa"/>
              <w:right w:w="120" w:type="dxa"/>
            </w:tcMar>
          </w:tcPr>
          <w:p w14:paraId="7E2C4A2D">
            <w:pPr>
              <w:spacing w:after="40" w:line="276" w:lineRule="auto"/>
              <w:jc w:val="both"/>
            </w:pPr>
            <w:r>
              <w:rPr>
                <w:sz w:val="19"/>
              </w:rPr>
              <w:t>Seizures / Epilepsy</w:t>
            </w:r>
          </w:p>
        </w:tc>
        <w:tc>
          <w:tcPr>
            <w:tcW w:w="3888" w:type="dxa"/>
            <w:tcMar>
              <w:top w:w="100" w:type="dxa"/>
              <w:left w:w="120" w:type="dxa"/>
              <w:bottom w:w="100" w:type="dxa"/>
              <w:right w:w="120" w:type="dxa"/>
            </w:tcMar>
          </w:tcPr>
          <w:p w14:paraId="7A403971">
            <w:pPr>
              <w:spacing w:after="40" w:line="276" w:lineRule="auto"/>
              <w:jc w:val="both"/>
            </w:pPr>
            <w:r>
              <w:rPr>
                <w:sz w:val="19"/>
              </w:rPr>
              <w:t>Clear surroundings of sharp objects. Turn student to the side to preserve airways. Time the seizure duration. Never insert items into the mouth.</w:t>
            </w:r>
          </w:p>
        </w:tc>
        <w:tc>
          <w:tcPr>
            <w:tcW w:w="2880" w:type="dxa"/>
            <w:tcMar>
              <w:top w:w="100" w:type="dxa"/>
              <w:left w:w="120" w:type="dxa"/>
              <w:bottom w:w="100" w:type="dxa"/>
              <w:right w:w="120" w:type="dxa"/>
            </w:tcMar>
          </w:tcPr>
          <w:p w14:paraId="56E5E58F">
            <w:pPr>
              <w:spacing w:after="40" w:line="276" w:lineRule="auto"/>
              <w:jc w:val="both"/>
            </w:pPr>
            <w:r>
              <w:rPr>
                <w:sz w:val="19"/>
              </w:rPr>
              <w:t>Any seizure lasting longer than 3 minutes, or secondary consecutive seizures occurring without a recovery phase.</w:t>
            </w:r>
          </w:p>
        </w:tc>
      </w:tr>
      <w:tr w14:paraId="6ECDBDE2">
        <w:tblPrEx>
          <w:tblCellMar>
            <w:top w:w="0" w:type="dxa"/>
            <w:left w:w="108" w:type="dxa"/>
            <w:bottom w:w="0" w:type="dxa"/>
            <w:right w:w="108" w:type="dxa"/>
          </w:tblCellMar>
        </w:tblPrEx>
        <w:trPr>
          <w:jc w:val="center"/>
        </w:trPr>
        <w:tc>
          <w:tcPr>
            <w:tcW w:w="2592" w:type="dxa"/>
            <w:tcMar>
              <w:top w:w="100" w:type="dxa"/>
              <w:left w:w="120" w:type="dxa"/>
              <w:bottom w:w="100" w:type="dxa"/>
              <w:right w:w="120" w:type="dxa"/>
            </w:tcMar>
          </w:tcPr>
          <w:p w14:paraId="18CAD0AA">
            <w:pPr>
              <w:spacing w:after="40" w:line="276" w:lineRule="auto"/>
              <w:jc w:val="both"/>
            </w:pPr>
            <w:r>
              <w:rPr>
                <w:sz w:val="19"/>
              </w:rPr>
              <w:t>Anaphylaxis / Severe Allergy</w:t>
            </w:r>
          </w:p>
        </w:tc>
        <w:tc>
          <w:tcPr>
            <w:tcW w:w="3888" w:type="dxa"/>
            <w:tcMar>
              <w:top w:w="100" w:type="dxa"/>
              <w:left w:w="120" w:type="dxa"/>
              <w:bottom w:w="100" w:type="dxa"/>
              <w:right w:w="120" w:type="dxa"/>
            </w:tcMar>
          </w:tcPr>
          <w:p w14:paraId="469CDD24">
            <w:pPr>
              <w:spacing w:after="40" w:line="276" w:lineRule="auto"/>
              <w:jc w:val="both"/>
            </w:pPr>
            <w:r>
              <w:rPr>
                <w:sz w:val="19"/>
              </w:rPr>
              <w:t>Identify allergen. Administer immediate auto-injectable Epinephrine (EpiPen) if authorized on student's medical card. Monitor vitals closely.</w:t>
            </w:r>
          </w:p>
        </w:tc>
        <w:tc>
          <w:tcPr>
            <w:tcW w:w="2880" w:type="dxa"/>
            <w:tcMar>
              <w:top w:w="100" w:type="dxa"/>
              <w:left w:w="120" w:type="dxa"/>
              <w:bottom w:w="100" w:type="dxa"/>
              <w:right w:w="120" w:type="dxa"/>
            </w:tcMar>
          </w:tcPr>
          <w:p w14:paraId="1B533A22">
            <w:pPr>
              <w:spacing w:after="40" w:line="276" w:lineRule="auto"/>
              <w:jc w:val="both"/>
            </w:pPr>
            <w:r>
              <w:rPr>
                <w:sz w:val="19"/>
              </w:rPr>
              <w:t>All cases of suspected anaphylaxis trigger an automatic Level 3 evacuation regardless of early symptom resolution.</w:t>
            </w:r>
          </w:p>
        </w:tc>
      </w:tr>
      <w:tr w14:paraId="66E0A2A1">
        <w:tblPrEx>
          <w:tblCellMar>
            <w:top w:w="0" w:type="dxa"/>
            <w:left w:w="108" w:type="dxa"/>
            <w:bottom w:w="0" w:type="dxa"/>
            <w:right w:w="108" w:type="dxa"/>
          </w:tblCellMar>
        </w:tblPrEx>
        <w:trPr>
          <w:jc w:val="center"/>
        </w:trPr>
        <w:tc>
          <w:tcPr>
            <w:tcW w:w="2592" w:type="dxa"/>
            <w:tcMar>
              <w:top w:w="100" w:type="dxa"/>
              <w:left w:w="120" w:type="dxa"/>
              <w:bottom w:w="100" w:type="dxa"/>
              <w:right w:w="120" w:type="dxa"/>
            </w:tcMar>
          </w:tcPr>
          <w:p w14:paraId="1FEDB900">
            <w:pPr>
              <w:spacing w:after="40" w:line="276" w:lineRule="auto"/>
              <w:jc w:val="both"/>
            </w:pPr>
            <w:r>
              <w:rPr>
                <w:sz w:val="19"/>
              </w:rPr>
              <w:t>Heat Stroke / Severe Exhaustion</w:t>
            </w:r>
          </w:p>
        </w:tc>
        <w:tc>
          <w:tcPr>
            <w:tcW w:w="3888" w:type="dxa"/>
            <w:tcMar>
              <w:top w:w="100" w:type="dxa"/>
              <w:left w:w="120" w:type="dxa"/>
              <w:bottom w:w="100" w:type="dxa"/>
              <w:right w:w="120" w:type="dxa"/>
            </w:tcMar>
          </w:tcPr>
          <w:p w14:paraId="67013B4A">
            <w:pPr>
              <w:spacing w:after="40" w:line="276" w:lineRule="auto"/>
              <w:jc w:val="both"/>
            </w:pPr>
            <w:r>
              <w:rPr>
                <w:sz w:val="19"/>
              </w:rPr>
              <w:t>Relocate immediately to an air-conditioned medical room. Loosen clothing, apply cold compresses to the neck and axillae, and provide electrolyte hydration.</w:t>
            </w:r>
          </w:p>
        </w:tc>
        <w:tc>
          <w:tcPr>
            <w:tcW w:w="2880" w:type="dxa"/>
            <w:tcMar>
              <w:top w:w="100" w:type="dxa"/>
              <w:left w:w="120" w:type="dxa"/>
              <w:bottom w:w="100" w:type="dxa"/>
              <w:right w:w="120" w:type="dxa"/>
            </w:tcMar>
          </w:tcPr>
          <w:p w14:paraId="268BC3B3">
            <w:pPr>
              <w:spacing w:after="40" w:line="276" w:lineRule="auto"/>
              <w:jc w:val="both"/>
            </w:pPr>
            <w:r>
              <w:rPr>
                <w:sz w:val="19"/>
              </w:rPr>
              <w:t>Altered mental status, delirium, dry hot skin, or a core body temperature reading exceeding 103°F (39.4°C).</w:t>
            </w:r>
          </w:p>
        </w:tc>
      </w:tr>
    </w:tbl>
    <w:p w14:paraId="31ABC757">
      <w:pPr>
        <w:spacing w:before="120"/>
        <w:jc w:val="both"/>
      </w:pPr>
    </w:p>
    <w:p w14:paraId="08F8BDC4">
      <w:pPr>
        <w:keepNext/>
        <w:spacing w:before="240" w:after="120"/>
        <w:jc w:val="both"/>
      </w:pPr>
      <w:r>
        <w:rPr>
          <w:rFonts w:ascii="Arial" w:hAnsi="Arial"/>
          <w:b/>
          <w:color w:val="003366"/>
          <w:sz w:val="32"/>
        </w:rPr>
        <w:t>5. EMERGENCY VEHICLE &amp; AMBULANCE DISPATCH RULES</w:t>
      </w:r>
    </w:p>
    <w:p w14:paraId="6BDF281F">
      <w:pPr>
        <w:spacing w:after="80"/>
        <w:jc w:val="both"/>
      </w:pPr>
      <w:r>
        <w:t>To eliminate transit delays typical during medical crises, GDGPS Aligarh strictly maintains the following operational rules:</w:t>
      </w:r>
    </w:p>
    <w:p w14:paraId="3565899A">
      <w:pPr>
        <w:pStyle w:val="23"/>
        <w:spacing w:after="60"/>
        <w:jc w:val="both"/>
      </w:pPr>
      <w:r>
        <w:t>Dedicated Medical Vehicle: One air-conditioned vehicle is permanently stationed at the main administrative block, strictly clear of any other operational deployments.</w:t>
      </w:r>
    </w:p>
    <w:p w14:paraId="675DE8F4">
      <w:pPr>
        <w:pStyle w:val="23"/>
        <w:spacing w:after="60"/>
        <w:jc w:val="both"/>
      </w:pPr>
      <w:r>
        <w:t>Green Corridor Protocol: Security guards at the main gates are trained to execute 'Lock-Open' protocols, clearing all internal vehicular congestion when the emergency alarm sounds.</w:t>
      </w:r>
    </w:p>
    <w:p w14:paraId="639D7188">
      <w:pPr>
        <w:pStyle w:val="23"/>
        <w:spacing w:after="60"/>
        <w:jc w:val="both"/>
      </w:pPr>
      <w:r>
        <w:t>Hospital Mapping: Pre-mapped, low-traffic transit corridors are mapped to the primary emergency care providers in Aligarh, bypassing standard arterial bottlenecks.</w:t>
      </w:r>
    </w:p>
    <w:p w14:paraId="7C4FC8D1">
      <w:pPr>
        <w:pStyle w:val="23"/>
        <w:spacing w:after="60"/>
        <w:jc w:val="both"/>
      </w:pPr>
      <w:r>
        <w:t>Medical Escort: No student is ever sent in an emergency vehicle alone; the school nurse or a designated member of the teaching faculty must remain physically present inside the transit cabin.</w:t>
      </w:r>
    </w:p>
    <w:p w14:paraId="07D0FA3A">
      <w:pPr>
        <w:keepNext/>
        <w:spacing w:before="240" w:after="120"/>
        <w:jc w:val="both"/>
      </w:pPr>
      <w:r>
        <w:rPr>
          <w:rFonts w:ascii="Arial" w:hAnsi="Arial"/>
          <w:b/>
          <w:color w:val="003366"/>
          <w:sz w:val="32"/>
        </w:rPr>
        <w:t>6. MANDATORY COMPLIANCE, DOCUMENTATION &amp; DRILLS</w:t>
      </w:r>
    </w:p>
    <w:p w14:paraId="040D0A85">
      <w:pPr>
        <w:spacing w:after="480" w:line="276" w:lineRule="auto"/>
        <w:jc w:val="left"/>
      </w:pPr>
      <w:r>
        <w:t>Following any medical emergency, a mandatory Mandatory Incident Report (MIR) must be filed by the attending nurse within 24 hours. This documentation maps out the timeline of actions, first aid rendered, parental notifications, and final clinical handovers. Furthermore, full-scale medical evacuation drills are conducted once every school term for all teaching, non-teaching, and transport staff.</w:t>
      </w:r>
    </w:p>
    <w:p w14:paraId="3E1F4789">
      <w:pPr>
        <w:keepNext/>
        <w:jc w:val="left"/>
      </w:pPr>
      <w:r>
        <w:rPr>
          <w:b/>
        </w:rPr>
        <w:t>Drafted By:</w:t>
      </w:r>
      <w:r>
        <w:rPr>
          <w:b/>
        </w:rPr>
        <w:br w:type="textWrapping"/>
      </w:r>
      <w:r>
        <w:t>Medical Operations Committee</w:t>
      </w:r>
      <w:r>
        <w:br w:type="textWrapping"/>
      </w:r>
      <w:r>
        <w:t>G D Goenka Public School, Aligarh</w:t>
      </w:r>
      <w:r>
        <w:br w:type="textWrapping"/>
      </w:r>
      <w:r>
        <w:br w:type="textWrapping"/>
      </w:r>
      <w:r>
        <w:rPr>
          <w:b/>
        </w:rPr>
        <w:t>Approved &amp; Ratified By:</w:t>
      </w:r>
      <w:r>
        <w:rPr>
          <w:b/>
        </w:rPr>
        <w:br w:type="textWrapping"/>
      </w:r>
      <w:r>
        <w:t>Office of the Principal</w:t>
      </w:r>
      <w:bookmarkStart w:id="0" w:name="_GoBack"/>
      <w:bookmarkEnd w:id="0"/>
      <w:r>
        <w:br w:type="textWrapping"/>
      </w:r>
      <w:r>
        <w:t>G D Goenka Public School, Aligarh</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D92B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788</Words>
  <Characters>4916</Characters>
  <Lines>0</Lines>
  <Paragraphs>0</Paragraphs>
  <TotalTime>1</TotalTime>
  <ScaleCrop>false</ScaleCrop>
  <LinksUpToDate>false</LinksUpToDate>
  <CharactersWithSpaces>5655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Anubhav lodhi</cp:lastModifiedBy>
  <dcterms:modified xsi:type="dcterms:W3CDTF">2026-08-30T10:12:34Z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eyJoZGlkIjoiYTNhNGI1NzBkODQ1OGFmN2U0YTczZWUxNGYwYzNiZjgiLCJ1c2VySWQiOiI1Njc2MDMxMTI4OTgifQ==</vt:lpwstr>
  </property>
  <property fmtid="{D5CDD505-2E9C-101B-9397-08002B2CF9AE}" pid="3" name="KSOProductBuildVer">
    <vt:lpwstr>1033-12.1.0.28032</vt:lpwstr>
  </property>
  <property fmtid="{D5CDD505-2E9C-101B-9397-08002B2CF9AE}" pid="4" name="ICV">
    <vt:lpwstr>45139C2C5BD64C16967B3AB6A11B8E97_12</vt:lpwstr>
  </property>
</Properties>
</file>