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61B550">
      <w:pPr>
        <w:spacing w:before="100" w:beforeAutospacing="1" w:after="100" w:afterAutospacing="1" w:line="240" w:lineRule="auto"/>
        <w:jc w:val="center"/>
        <w:outlineLvl w:val="2"/>
        <w:rPr>
          <w:rFonts w:hint="default" w:ascii="Times New Roman" w:hAnsi="Times New Roman" w:eastAsia="Times New Roman" w:cs="Times New Roman"/>
          <w:b/>
          <w:bCs/>
          <w:sz w:val="27"/>
          <w:szCs w:val="27"/>
          <w:u w:val="single"/>
          <w:lang w:val="en-US" w:eastAsia="en-GB" w:bidi="hi-IN"/>
        </w:rPr>
      </w:pPr>
      <w:r>
        <w:rPr>
          <w:rFonts w:hint="default" w:ascii="Times New Roman" w:hAnsi="Times New Roman" w:eastAsia="Times New Roman" w:cs="Times New Roman"/>
          <w:b/>
          <w:bCs/>
          <w:sz w:val="27"/>
          <w:szCs w:val="27"/>
          <w:u w:val="single"/>
          <w:lang w:val="en-US" w:eastAsia="en-GB" w:bidi="hi-IN"/>
        </w:rPr>
        <w:t>G.D. Goenka Public School, Aligarh</w:t>
      </w:r>
    </w:p>
    <w:p w14:paraId="05B7550E">
      <w:pPr>
        <w:spacing w:before="100" w:beforeAutospacing="1" w:after="100" w:afterAutospacing="1" w:line="240" w:lineRule="auto"/>
        <w:jc w:val="center"/>
        <w:outlineLvl w:val="2"/>
        <w:rPr>
          <w:rFonts w:ascii="Times New Roman" w:hAnsi="Times New Roman" w:eastAsia="Times New Roman" w:cs="Times New Roman"/>
          <w:b/>
          <w:bCs/>
          <w:sz w:val="27"/>
          <w:szCs w:val="27"/>
          <w:u w:val="single"/>
          <w:lang w:eastAsia="en-GB" w:bidi="hi-IN"/>
        </w:rPr>
      </w:pPr>
      <w:r>
        <w:rPr>
          <w:rFonts w:ascii="Times New Roman" w:hAnsi="Times New Roman" w:eastAsia="Times New Roman" w:cs="Times New Roman"/>
          <w:b/>
          <w:bCs/>
          <w:sz w:val="27"/>
          <w:szCs w:val="27"/>
          <w:u w:val="single"/>
          <w:lang w:eastAsia="en-GB" w:bidi="hi-IN"/>
        </w:rPr>
        <w:t>Policy on Continuous School Improvement</w:t>
      </w:r>
    </w:p>
    <w:p w14:paraId="6546A219">
      <w:pPr>
        <w:spacing w:before="100" w:beforeAutospacing="1" w:after="100" w:afterAutospacing="1" w:line="240" w:lineRule="auto"/>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1. Introduction &amp; Philosophy</w:t>
      </w:r>
    </w:p>
    <w:p w14:paraId="61C589C3">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This policy formalizes G.D. Goenka Public School, Aligarh 's commitment to continuous improvement as an integral part of our educational philosophy. Rooted in our motto, "Higher, Stronger, Brighter," we believe that every aspect of the school—from academics and infrastructure to faculty development and student well-being—must be in a constant state of evolution. This policy provides a framework for regular evaluation, strategic planning, and collaborative action to ensure we provide an unparalleled learning environment that nurtures lifelong learners, critical thinkers, and global citizens.</w:t>
      </w:r>
    </w:p>
    <w:p w14:paraId="7242F5F2">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2. Key Pillars of School Improvement</w:t>
      </w:r>
    </w:p>
    <w:p w14:paraId="0DE24BA3">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Our commitment to continuous improvement is guided by the following key pillars:</w:t>
      </w:r>
    </w:p>
    <w:p w14:paraId="3D7C7678">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2.1. Dynamic Curriculum &amp; Innovative Pedagogy</w:t>
      </w:r>
    </w:p>
    <w:p w14:paraId="6AD9B3A8">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We will foster a student-centric approach that goes beyond rote learning to embrace discovery and creativity.</w:t>
      </w:r>
    </w:p>
    <w:p w14:paraId="3CCE1A9C">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Learning by Doing:</w:t>
      </w:r>
      <w:r>
        <w:rPr>
          <w:rFonts w:ascii="Times New Roman" w:hAnsi="Times New Roman" w:eastAsia="Times New Roman" w:cs="Times New Roman"/>
          <w:sz w:val="24"/>
          <w:szCs w:val="24"/>
          <w:lang w:eastAsia="en-GB" w:bidi="hi-IN"/>
        </w:rPr>
        <w:t xml:space="preserve"> The curriculum will be enriched with hands-on, project-based activities and experiential learning opportunities. This ensures students actively construct their knowledge, build problem-solving skills, and apply theoretical concepts in practical scenarios.</w:t>
      </w:r>
    </w:p>
    <w:p w14:paraId="49DF9FC6">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Outdoor and Experiential Learning:</w:t>
      </w:r>
      <w:r>
        <w:rPr>
          <w:rFonts w:ascii="Times New Roman" w:hAnsi="Times New Roman" w:eastAsia="Times New Roman" w:cs="Times New Roman"/>
          <w:sz w:val="24"/>
          <w:szCs w:val="24"/>
          <w:lang w:eastAsia="en-GB" w:bidi="hi-IN"/>
        </w:rPr>
        <w:t xml:space="preserve"> Learning will extend beyond the classroom walls. Regular field trips, outdoor sessions, and nature studies will be integrated into the academic calendar to provide students with a fresh perspective, stimulate curiosity, and reinforce classroom learning with real-world context.</w:t>
      </w:r>
    </w:p>
    <w:p w14:paraId="23014540">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Technology Integration:</w:t>
      </w:r>
      <w:r>
        <w:rPr>
          <w:rFonts w:ascii="Times New Roman" w:hAnsi="Times New Roman" w:eastAsia="Times New Roman" w:cs="Times New Roman"/>
          <w:sz w:val="24"/>
          <w:szCs w:val="24"/>
          <w:lang w:eastAsia="en-GB" w:bidi="hi-IN"/>
        </w:rPr>
        <w:t xml:space="preserve"> We will leverage technology as a tool for teaching and learning, ensuring students are equipped with the digital literacy skills necessary for the future. This includes using smart boards, a digital curriculum, and online resources.</w:t>
      </w:r>
    </w:p>
    <w:p w14:paraId="02CA6552">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2.2. Student-Centric Growth &amp; Development</w:t>
      </w:r>
    </w:p>
    <w:p w14:paraId="299DAFB1">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We are dedicated to providing personalized attention that supports the holistic development of every student.</w:t>
      </w:r>
    </w:p>
    <w:p w14:paraId="2169D5EC">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Individualized Assessment:</w:t>
      </w:r>
      <w:r>
        <w:rPr>
          <w:rFonts w:ascii="Times New Roman" w:hAnsi="Times New Roman" w:eastAsia="Times New Roman" w:cs="Times New Roman"/>
          <w:sz w:val="24"/>
          <w:szCs w:val="24"/>
          <w:lang w:eastAsia="en-GB" w:bidi="hi-IN"/>
        </w:rPr>
        <w:t xml:space="preserve"> The strengths, weaknesses, and unique learning styles of each student will be assessed through a combination of formative and summative evaluations, as well as regular instructor observation.</w:t>
      </w:r>
    </w:p>
    <w:p w14:paraId="74408730">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Targeted Intervention &amp; Support:</w:t>
      </w:r>
      <w:r>
        <w:rPr>
          <w:rFonts w:ascii="Times New Roman" w:hAnsi="Times New Roman" w:eastAsia="Times New Roman" w:cs="Times New Roman"/>
          <w:sz w:val="24"/>
          <w:szCs w:val="24"/>
          <w:lang w:eastAsia="en-GB" w:bidi="hi-IN"/>
        </w:rPr>
        <w:t xml:space="preserve"> The gaps identified in a student's learning will be addressed through tailored guidance and support. This may include personalized action plans, remedial classes, or enrichment programs to help every child reach their full potential.</w:t>
      </w:r>
    </w:p>
    <w:p w14:paraId="6A8F2F13">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Talent Nurturing:</w:t>
      </w:r>
      <w:r>
        <w:rPr>
          <w:rFonts w:ascii="Times New Roman" w:hAnsi="Times New Roman" w:eastAsia="Times New Roman" w:cs="Times New Roman"/>
          <w:sz w:val="24"/>
          <w:szCs w:val="24"/>
          <w:lang w:eastAsia="en-GB" w:bidi="hi-IN"/>
        </w:rPr>
        <w:t xml:space="preserve"> We will identify and cultivate the diverse talents and interests of our students through robust co-curricular and extracurricular programs in sports, arts, music, and various clubs.</w:t>
      </w:r>
    </w:p>
    <w:p w14:paraId="1CA1EC7B">
      <w:pPr>
        <w:spacing w:before="100" w:beforeAutospacing="1" w:after="100" w:afterAutospacing="1" w:line="240" w:lineRule="auto"/>
        <w:ind w:left="720"/>
        <w:jc w:val="both"/>
        <w:rPr>
          <w:rFonts w:ascii="Times New Roman" w:hAnsi="Times New Roman" w:eastAsia="Times New Roman" w:cs="Times New Roman"/>
          <w:sz w:val="24"/>
          <w:szCs w:val="24"/>
          <w:lang w:eastAsia="en-GB" w:bidi="hi-IN"/>
        </w:rPr>
      </w:pPr>
    </w:p>
    <w:p w14:paraId="120DE8D0">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2.3. Data-Driven Monitoring &amp; Evaluation</w:t>
      </w:r>
    </w:p>
    <w:p w14:paraId="3AA91F2C">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Continuous monitoring of student and institutional progress is essential for effective improvement.</w:t>
      </w:r>
    </w:p>
    <w:p w14:paraId="051DA9E3">
      <w:pPr>
        <w:numPr>
          <w:ilvl w:val="0"/>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Holistic Monitoring:</w:t>
      </w:r>
      <w:r>
        <w:rPr>
          <w:rFonts w:ascii="Times New Roman" w:hAnsi="Times New Roman" w:eastAsia="Times New Roman" w:cs="Times New Roman"/>
          <w:sz w:val="24"/>
          <w:szCs w:val="24"/>
          <w:lang w:eastAsia="en-GB" w:bidi="hi-IN"/>
        </w:rPr>
        <w:t xml:space="preserve"> Instructors will continuously monitor and document each student’s academic progress, project work, and collaborative participation. This data will be used to create better action plans for individual students and for classroom instruction.</w:t>
      </w:r>
    </w:p>
    <w:p w14:paraId="5E0B2734">
      <w:pPr>
        <w:numPr>
          <w:ilvl w:val="0"/>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Regular Review Meetings:</w:t>
      </w:r>
      <w:r>
        <w:rPr>
          <w:rFonts w:ascii="Times New Roman" w:hAnsi="Times New Roman" w:eastAsia="Times New Roman" w:cs="Times New Roman"/>
          <w:sz w:val="24"/>
          <w:szCs w:val="24"/>
          <w:lang w:eastAsia="en-GB" w:bidi="hi-IN"/>
        </w:rPr>
        <w:t xml:space="preserve"> The school administration and faculty will hold regular review meetings to analyze assessment data, evaluate the effectiveness of teaching methodologies, and identify areas for policy refinement.</w:t>
      </w:r>
    </w:p>
    <w:p w14:paraId="6CEBE981">
      <w:pPr>
        <w:numPr>
          <w:ilvl w:val="0"/>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Feedback Mechanisms:</w:t>
      </w:r>
      <w:r>
        <w:rPr>
          <w:rFonts w:ascii="Times New Roman" w:hAnsi="Times New Roman" w:eastAsia="Times New Roman" w:cs="Times New Roman"/>
          <w:sz w:val="24"/>
          <w:szCs w:val="24"/>
          <w:lang w:eastAsia="en-GB" w:bidi="hi-IN"/>
        </w:rPr>
        <w:t xml:space="preserve"> We will establish formal channels for feedback from students, parents, and teachers to inform our improvement plans. This feedback will be collected through surveys, parent-teacher conferences, and suggestion boxes.</w:t>
      </w:r>
    </w:p>
    <w:p w14:paraId="3169DE1E">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2.4. Professional Development for Faculty</w:t>
      </w:r>
    </w:p>
    <w:p w14:paraId="457B003C">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Our teachers are the cornerstone of our school's success. We are committed to their continuous professional growth.</w:t>
      </w:r>
    </w:p>
    <w:p w14:paraId="1AC4E7C0">
      <w:pPr>
        <w:numPr>
          <w:ilvl w:val="0"/>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Ongoing Training:</w:t>
      </w:r>
      <w:r>
        <w:rPr>
          <w:rFonts w:ascii="Times New Roman" w:hAnsi="Times New Roman" w:eastAsia="Times New Roman" w:cs="Times New Roman"/>
          <w:sz w:val="24"/>
          <w:szCs w:val="24"/>
          <w:lang w:eastAsia="en-GB" w:bidi="hi-IN"/>
        </w:rPr>
        <w:t xml:space="preserve"> The school will provide regular workshops and training sessions to keep faculty members updated on the latest pedagogical techniques, curriculum changes, and educational technologies.</w:t>
      </w:r>
    </w:p>
    <w:p w14:paraId="0EFB5E16">
      <w:pPr>
        <w:numPr>
          <w:ilvl w:val="0"/>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Mentorship Programs:</w:t>
      </w:r>
      <w:r>
        <w:rPr>
          <w:rFonts w:ascii="Times New Roman" w:hAnsi="Times New Roman" w:eastAsia="Times New Roman" w:cs="Times New Roman"/>
          <w:sz w:val="24"/>
          <w:szCs w:val="24"/>
          <w:lang w:eastAsia="en-GB" w:bidi="hi-IN"/>
        </w:rPr>
        <w:t xml:space="preserve"> Experienced educators will mentor new or junior faculty members to share best practices and ensure consistent quality across all subjects and grade levels.</w:t>
      </w:r>
    </w:p>
    <w:p w14:paraId="5C552158">
      <w:pPr>
        <w:numPr>
          <w:ilvl w:val="0"/>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Peer-to-Peer Learning:</w:t>
      </w:r>
      <w:r>
        <w:rPr>
          <w:rFonts w:ascii="Times New Roman" w:hAnsi="Times New Roman" w:eastAsia="Times New Roman" w:cs="Times New Roman"/>
          <w:sz w:val="24"/>
          <w:szCs w:val="24"/>
          <w:lang w:eastAsia="en-GB" w:bidi="hi-IN"/>
        </w:rPr>
        <w:t xml:space="preserve"> Teachers will be encouraged to observe and provide constructive feedback to their peers, fostering a culture of collaboration and shared learning.</w:t>
      </w:r>
    </w:p>
    <w:p w14:paraId="48ED2561">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3. Implementation &amp; Accountability</w:t>
      </w:r>
    </w:p>
    <w:p w14:paraId="4CBFD01B">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This policy will be implemented by all members of the school community under the direct oversight of the Principal and a designated School Improvement Committee. All stakeholders, including students, faculty, and parents, are expected to contribute to and be accountable for the school's continuous improvement. This policy will be reviewed annually to ensure its continued relevance and effectiveness.</w:t>
      </w:r>
    </w:p>
    <w:p w14:paraId="13FA48BD">
      <w:pPr>
        <w:spacing w:before="100" w:beforeAutospacing="1" w:after="100" w:afterAutospacing="1" w:line="240" w:lineRule="auto"/>
        <w:jc w:val="both"/>
        <w:rPr>
          <w:rFonts w:ascii="Times New Roman" w:hAnsi="Times New Roman" w:eastAsia="Times New Roman" w:cs="Times New Roman"/>
          <w:sz w:val="24"/>
          <w:szCs w:val="24"/>
          <w:lang w:eastAsia="en-GB" w:bidi="hi-IN"/>
        </w:rPr>
      </w:pPr>
    </w:p>
    <w:p w14:paraId="3BFBCE50">
      <w:pPr>
        <w:spacing w:before="100" w:beforeAutospacing="1" w:after="0" w:afterAutospacing="0" w:line="240" w:lineRule="auto"/>
        <w:ind w:left="5760" w:leftChars="0" w:firstLine="720" w:firstLineChars="0"/>
        <w:jc w:val="both"/>
        <w:rPr>
          <w:rFonts w:hint="default" w:ascii="Times New Roman" w:hAnsi="Times New Roman" w:eastAsia="Times New Roman" w:cs="Times New Roman"/>
          <w:sz w:val="24"/>
          <w:szCs w:val="24"/>
          <w:lang w:val="en-US" w:eastAsia="en-GB" w:bidi="hi-IN"/>
        </w:rPr>
      </w:pPr>
      <w:r>
        <w:rPr>
          <w:rFonts w:hint="default" w:ascii="Times New Roman" w:hAnsi="Times New Roman" w:eastAsia="Times New Roman" w:cs="Times New Roman"/>
          <w:sz w:val="24"/>
          <w:szCs w:val="24"/>
          <w:lang w:val="en-US" w:eastAsia="en-GB" w:bidi="hi-IN"/>
        </w:rPr>
        <w:t>(Dr. Anubhav Lodhi)</w:t>
      </w:r>
    </w:p>
    <w:p w14:paraId="1F8A76BA">
      <w:pPr>
        <w:spacing w:beforeAutospacing="0" w:after="100" w:afterAutospacing="1" w:line="240" w:lineRule="auto"/>
        <w:ind w:left="5760" w:leftChars="0" w:firstLine="720" w:firstLineChars="0"/>
        <w:jc w:val="both"/>
        <w:rPr>
          <w:rFonts w:hint="default" w:ascii="Times New Roman" w:hAnsi="Times New Roman" w:eastAsia="Times New Roman" w:cs="Times New Roman"/>
          <w:sz w:val="24"/>
          <w:szCs w:val="24"/>
          <w:lang w:val="en-US" w:eastAsia="en-GB" w:bidi="hi-IN"/>
        </w:rPr>
      </w:pPr>
      <w:r>
        <w:rPr>
          <w:rFonts w:hint="default" w:ascii="Times New Roman" w:hAnsi="Times New Roman" w:eastAsia="Times New Roman" w:cs="Times New Roman"/>
          <w:sz w:val="24"/>
          <w:szCs w:val="24"/>
          <w:lang w:val="en-US" w:eastAsia="en-GB" w:bidi="hi-IN"/>
        </w:rPr>
        <w:t>Principal</w:t>
      </w:r>
      <w:bookmarkStart w:id="0" w:name="_GoBack"/>
      <w:bookmarkEnd w:id="0"/>
    </w:p>
    <w:p w14:paraId="66BCB542">
      <w:pPr>
        <w:jc w:val="both"/>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533701"/>
    <w:multiLevelType w:val="multilevel"/>
    <w:tmpl w:val="425337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9D80653"/>
    <w:multiLevelType w:val="multilevel"/>
    <w:tmpl w:val="59D806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8682616"/>
    <w:multiLevelType w:val="multilevel"/>
    <w:tmpl w:val="686826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55B674F"/>
    <w:multiLevelType w:val="multilevel"/>
    <w:tmpl w:val="755B67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E3A"/>
    <w:rsid w:val="001023E7"/>
    <w:rsid w:val="00257C88"/>
    <w:rsid w:val="00815E3A"/>
    <w:rsid w:val="2E29075F"/>
    <w:rsid w:val="52214FDB"/>
    <w:rsid w:val="678C35A7"/>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636</Words>
  <Characters>4058</Characters>
  <Lines>32</Lines>
  <Paragraphs>9</Paragraphs>
  <TotalTime>4</TotalTime>
  <ScaleCrop>false</ScaleCrop>
  <LinksUpToDate>false</LinksUpToDate>
  <CharactersWithSpaces>4664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2025-08-24T13:10:00Z</dcterms:created>
  <dc:creator>Gunjan Singh</dc:creator>
  <cp:lastModifiedBy>Anubhav lodhi</cp:lastModifiedBy>
  <cp:lastPrinted>2025-08-29T12:40:00Z</cp:lastPrinted>
  <dcterms:modified xsi:type="dcterms:W3CDTF">2026-08-30T07:04:42Z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AE0F810471B049DB80B4E57BA695BB13_12</vt:lpwstr>
  </property>
  <property fmtid="{D5CDD505-2E9C-101B-9397-08002B2CF9AE}" pid="4" name="KSOTemplateDocerSaveRecord">
    <vt:lpwstr>eyJoZGlkIjoiYTNhNGI1NzBkODQ1OGFmN2U0YTczZWUxNGYwYzNiZjgiLCJ1c2VySWQiOiI1Njc2MDMxMTI4OTgifQ==</vt:lpwstr>
  </property>
</Properties>
</file>