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A6A8B">
      <w:pPr>
        <w:jc w:val="center"/>
        <w:rPr>
          <w:sz w:val="28"/>
          <w:szCs w:val="28"/>
        </w:rPr>
      </w:pPr>
      <w:r>
        <w:rPr>
          <w:rFonts w:ascii="Arial" w:hAnsi="Arial"/>
          <w:b/>
          <w:color w:val="800000"/>
          <w:sz w:val="28"/>
        </w:rPr>
        <w:t>G D GOENKA PUBLIC SCHOOL, ALIGARH</w:t>
      </w:r>
      <w:r>
        <w:rPr>
          <w:rFonts w:ascii="Arial" w:hAnsi="Arial"/>
          <w:b/>
          <w:color w:val="800000"/>
          <w:sz w:val="28"/>
        </w:rPr>
        <w:br w:type="textWrapping"/>
      </w:r>
      <w:bookmarkStart w:id="0" w:name="_GoBack"/>
      <w:bookmarkEnd w:id="0"/>
      <w:r>
        <w:rPr>
          <w:rFonts w:ascii="Arial" w:hAnsi="Arial"/>
          <w:b/>
          <w:color w:val="003366"/>
          <w:sz w:val="28"/>
          <w:szCs w:val="28"/>
        </w:rPr>
        <w:t>COMPREHENSIVE SCHOOL HEALTH &amp; PROMOTION POLICY</w:t>
      </w:r>
    </w:p>
    <w:p w14:paraId="5F700FE7">
      <w:pPr>
        <w:jc w:val="center"/>
      </w:pPr>
    </w:p>
    <w:p w14:paraId="6FA58FB7">
      <w:pPr>
        <w:jc w:val="center"/>
      </w:pPr>
      <w:r>
        <w:rPr>
          <w:rFonts w:ascii="Arial" w:hAnsi="Arial"/>
          <w:i/>
          <w:sz w:val="21"/>
        </w:rPr>
        <w:t>Framed in Alignment with CBSE Comprehensive School Health Manual &amp; Ayushman Bharat School Health &amp; Wellness Framework</w:t>
      </w:r>
    </w:p>
    <w:p w14:paraId="5B222F29">
      <w:r>
        <w:rPr>
          <w:color w:val="808080"/>
        </w:rPr>
        <w:t>------------------------------------------------------------------------</w:t>
      </w:r>
      <w:r>
        <w:rPr>
          <w:rFonts w:hint="default"/>
          <w:color w:val="808080"/>
          <w:lang w:val="en-US"/>
        </w:rPr>
        <w:t>-----------------------------------------------------</w:t>
      </w:r>
      <w:r>
        <w:rPr>
          <w:color w:val="808080"/>
        </w:rPr>
        <w:t>---</w:t>
      </w:r>
    </w:p>
    <w:p w14:paraId="0625C60C">
      <w:pPr>
        <w:pStyle w:val="2"/>
        <w:jc w:val="both"/>
      </w:pPr>
      <w:r>
        <w:rPr>
          <w:rFonts w:ascii="Arial" w:hAnsi="Arial"/>
          <w:color w:val="003366"/>
        </w:rPr>
        <w:t>1. Vision Statement &amp; Core Objective</w:t>
      </w:r>
    </w:p>
    <w:p w14:paraId="60F6601D">
      <w:pPr>
        <w:jc w:val="both"/>
      </w:pPr>
      <w:r>
        <w:t>G D Goenka Public School, Aligarh, recognizes that a healthy mind resides within a healthy body. This policy provides a robust, institutionalized roadmap to ensure a holistic, safe, and nurturing environment. Moving beyond reactive medical treatment, our objective centers around proactive health promotion, psychological resilience, nutritional security, and physical literacy for all students, educators, and support staff.</w:t>
      </w:r>
    </w:p>
    <w:p w14:paraId="20733315">
      <w:pPr>
        <w:pStyle w:val="2"/>
        <w:jc w:val="both"/>
      </w:pPr>
      <w:r>
        <w:rPr>
          <w:rFonts w:ascii="Arial" w:hAnsi="Arial"/>
          <w:color w:val="003366"/>
        </w:rPr>
        <w:t>2. Administrative Framework &amp; Advisory Committee</w:t>
      </w:r>
    </w:p>
    <w:p w14:paraId="32D80FB8">
      <w:pPr>
        <w:jc w:val="both"/>
      </w:pPr>
      <w:r>
        <w:t>To ensure continuous monitoring and effective implementation, a School Health Advisory Committee (SHAC) is officially instituted. This committee meets quarterly to evaluate health indices, medical audit sheets, and wellness schedules.</w:t>
      </w:r>
    </w:p>
    <w:p w14:paraId="29946F31">
      <w:pPr>
        <w:jc w:val="both"/>
      </w:pPr>
      <w:r>
        <w:t>The School Health Advisory Committee (SHAC) consists of:</w:t>
      </w:r>
    </w:p>
    <w:p w14:paraId="61DB7E8A">
      <w:pPr>
        <w:pStyle w:val="23"/>
        <w:jc w:val="both"/>
      </w:pPr>
      <w:r>
        <w:rPr>
          <w:rFonts w:ascii="Arial" w:hAnsi="Arial"/>
        </w:rPr>
        <w:t>Chairperson: School Principal</w:t>
      </w:r>
    </w:p>
    <w:p w14:paraId="2689971A">
      <w:pPr>
        <w:pStyle w:val="23"/>
        <w:jc w:val="both"/>
      </w:pPr>
      <w:r>
        <w:rPr>
          <w:rFonts w:ascii="Arial" w:hAnsi="Arial"/>
        </w:rPr>
        <w:t>Convener: Headmistress / Vice-Principal</w:t>
      </w:r>
    </w:p>
    <w:p w14:paraId="7B80F881">
      <w:pPr>
        <w:pStyle w:val="23"/>
        <w:jc w:val="both"/>
      </w:pPr>
      <w:r>
        <w:rPr>
          <w:rFonts w:ascii="Arial" w:hAnsi="Arial"/>
        </w:rPr>
        <w:t>Executive Coordinator: Full-time Institutional Nurse</w:t>
      </w:r>
    </w:p>
    <w:p w14:paraId="2B6BBAF8">
      <w:pPr>
        <w:pStyle w:val="23"/>
        <w:jc w:val="both"/>
      </w:pPr>
      <w:r>
        <w:rPr>
          <w:rFonts w:ascii="Arial" w:hAnsi="Arial"/>
        </w:rPr>
        <w:t>Medical Consultants: Appointed School Doctor &amp; Panel Pediatrician</w:t>
      </w:r>
    </w:p>
    <w:p w14:paraId="5C7CA7A0">
      <w:pPr>
        <w:pStyle w:val="23"/>
        <w:jc w:val="both"/>
      </w:pPr>
      <w:r>
        <w:rPr>
          <w:rFonts w:ascii="Arial" w:hAnsi="Arial"/>
        </w:rPr>
        <w:t>Health &amp; Wellness Ambassadors: Appointed Senior Teachers (Trained under CBSE-Ayushman Bharat Framework)</w:t>
      </w:r>
    </w:p>
    <w:p w14:paraId="0589CC2D">
      <w:pPr>
        <w:pStyle w:val="23"/>
        <w:jc w:val="both"/>
      </w:pPr>
      <w:r>
        <w:rPr>
          <w:rFonts w:ascii="Arial" w:hAnsi="Arial"/>
        </w:rPr>
        <w:t>External Members: Nominated PTA Representatives &amp; Local Health Officers</w:t>
      </w:r>
    </w:p>
    <w:p w14:paraId="1F368B80">
      <w:pPr>
        <w:pStyle w:val="2"/>
        <w:jc w:val="both"/>
      </w:pPr>
      <w:r>
        <w:rPr>
          <w:rFonts w:ascii="Arial" w:hAnsi="Arial"/>
          <w:color w:val="003366"/>
        </w:rPr>
        <w:t>3. Core Health Promotion Themes (CBSE Mandated)</w:t>
      </w:r>
    </w:p>
    <w:p w14:paraId="654DD8E5">
      <w:pPr>
        <w:jc w:val="both"/>
      </w:pPr>
      <w:r>
        <w:rPr>
          <w:rFonts w:ascii="Arial" w:hAnsi="Arial"/>
          <w:b/>
        </w:rPr>
        <w:t xml:space="preserve">• A. Emotional Well-being &amp; Mental Health: </w:t>
      </w:r>
      <w:r>
        <w:rPr>
          <w:rFonts w:ascii="Arial" w:hAnsi="Arial"/>
        </w:rPr>
        <w:t>Routine sessions by full-time school counselors. Establishing an anonymous 'Drop Box for Concerns' to identify anxiety, peer-pressure, or exam stress early. Strict anti-bullying implementation.</w:t>
      </w:r>
    </w:p>
    <w:p w14:paraId="385BDBD5">
      <w:pPr>
        <w:jc w:val="both"/>
      </w:pPr>
      <w:r>
        <w:rPr>
          <w:rFonts w:ascii="Arial" w:hAnsi="Arial"/>
          <w:b/>
        </w:rPr>
        <w:t xml:space="preserve">• B. Interpersonal Relationships &amp; Peer Dynamics: </w:t>
      </w:r>
      <w:r>
        <w:rPr>
          <w:rFonts w:ascii="Arial" w:hAnsi="Arial"/>
        </w:rPr>
        <w:t>Peer-educator training modules where senior students lead workshops on healthy boundaries, effective communication, and mutual respect.</w:t>
      </w:r>
    </w:p>
    <w:p w14:paraId="687FE6F5">
      <w:pPr>
        <w:jc w:val="both"/>
      </w:pPr>
      <w:r>
        <w:rPr>
          <w:rFonts w:ascii="Arial" w:hAnsi="Arial"/>
          <w:b/>
        </w:rPr>
        <w:t xml:space="preserve">• C. Nutrition, Hygiene, and Physical Growth: </w:t>
      </w:r>
      <w:r>
        <w:rPr>
          <w:rFonts w:ascii="Arial" w:hAnsi="Arial"/>
        </w:rPr>
        <w:t>Classroom-based visual 'Oil &amp; Sugar' trackers. Mandated personal hygiene checkups during morning assemblies.</w:t>
      </w:r>
    </w:p>
    <w:p w14:paraId="443CF7DC">
      <w:pPr>
        <w:jc w:val="both"/>
      </w:pPr>
      <w:r>
        <w:rPr>
          <w:rFonts w:ascii="Arial" w:hAnsi="Arial"/>
          <w:b/>
        </w:rPr>
        <w:t xml:space="preserve">• D. Prevention of Substance Misuse: </w:t>
      </w:r>
      <w:r>
        <w:rPr>
          <w:rFonts w:ascii="Arial" w:hAnsi="Arial"/>
        </w:rPr>
        <w:t>Zero-tolerance operational environment. Periodic expert lectures, sensory screenings, and collaborative neighborhood check-ins on tobacco/vape vendors within a 100-yard perimeter.</w:t>
      </w:r>
    </w:p>
    <w:p w14:paraId="3E6A4EB4">
      <w:pPr>
        <w:jc w:val="both"/>
      </w:pPr>
      <w:r>
        <w:rPr>
          <w:rFonts w:ascii="Arial" w:hAnsi="Arial"/>
          <w:b/>
        </w:rPr>
        <w:t xml:space="preserve">• E. Safe Use of Digital Spaces &amp; Internet Safety: </w:t>
      </w:r>
      <w:r>
        <w:rPr>
          <w:rFonts w:ascii="Arial" w:hAnsi="Arial"/>
        </w:rPr>
        <w:t>Enforced curriculum blocks detailing cyber-bullying laws, digital eye strain mitigation, and age-appropriate screen hygiene.</w:t>
      </w:r>
    </w:p>
    <w:p w14:paraId="6DF7A55B">
      <w:pPr>
        <w:jc w:val="both"/>
      </w:pPr>
      <w:r>
        <w:rPr>
          <w:rFonts w:ascii="Arial" w:hAnsi="Arial"/>
          <w:b/>
        </w:rPr>
        <w:t xml:space="preserve">• F. Gender Equality and Reproductive Health: </w:t>
      </w:r>
      <w:r>
        <w:rPr>
          <w:rFonts w:ascii="Arial" w:hAnsi="Arial"/>
        </w:rPr>
        <w:t>Age-appropriate gender sensitization modules. Sanitary napkin dispensers installed across all female washrooms, accompanied by regular menstrual hygiene awareness seminars.</w:t>
      </w:r>
    </w:p>
    <w:p w14:paraId="75796164">
      <w:pPr>
        <w:pStyle w:val="2"/>
        <w:jc w:val="both"/>
      </w:pPr>
      <w:r>
        <w:rPr>
          <w:rFonts w:ascii="Arial" w:hAnsi="Arial"/>
          <w:color w:val="003366"/>
        </w:rPr>
        <w:t>4. Medical Infrastructure &amp; Critical Safeguards</w:t>
      </w:r>
    </w:p>
    <w:p w14:paraId="32F7EC2D">
      <w:pPr>
        <w:jc w:val="both"/>
      </w:pPr>
      <w:r>
        <w:t>Benchmarked alongside elite G D Goenka Group Schools nationwide, the Aligarh campus operates with advanced safety metrics:</w:t>
      </w:r>
    </w:p>
    <w:p w14:paraId="274F8A0C">
      <w:pPr>
        <w:pStyle w:val="23"/>
        <w:jc w:val="both"/>
      </w:pPr>
      <w:r>
        <w:rPr>
          <w:rFonts w:ascii="Arial" w:hAnsi="Arial"/>
          <w:b/>
        </w:rPr>
        <w:t xml:space="preserve">Institutional Infirmary: </w:t>
      </w:r>
      <w:r>
        <w:rPr>
          <w:rFonts w:ascii="Arial" w:hAnsi="Arial"/>
        </w:rPr>
        <w:t>Fully-equipped, multi-bedded clinic featuring continuous oxygen support, nebulizers, automated digital sphygmomanometers, and diagnostic kits.</w:t>
      </w:r>
    </w:p>
    <w:p w14:paraId="19039DAC">
      <w:pPr>
        <w:pStyle w:val="23"/>
        <w:jc w:val="both"/>
      </w:pPr>
      <w:r>
        <w:rPr>
          <w:rFonts w:ascii="Arial" w:hAnsi="Arial"/>
          <w:b/>
        </w:rPr>
        <w:t xml:space="preserve">The Golden Hour Protocol: </w:t>
      </w:r>
      <w:r>
        <w:rPr>
          <w:rFonts w:ascii="Arial" w:hAnsi="Arial"/>
        </w:rPr>
        <w:t>A structured emergency SOP providing rapid containment, immediate parental alert systems, and zero-delay transit templates.</w:t>
      </w:r>
    </w:p>
    <w:p w14:paraId="23199E14">
      <w:pPr>
        <w:pStyle w:val="23"/>
        <w:jc w:val="both"/>
      </w:pPr>
      <w:r>
        <w:rPr>
          <w:rFonts w:ascii="Arial" w:hAnsi="Arial"/>
          <w:b/>
        </w:rPr>
        <w:t xml:space="preserve">Emergency Transit Tie-up: </w:t>
      </w:r>
      <w:r>
        <w:rPr>
          <w:rFonts w:ascii="Arial" w:hAnsi="Arial"/>
        </w:rPr>
        <w:t>A dedicated school ambulance on active standby for transit to leading localized hospital partners in Aligarh.</w:t>
      </w:r>
    </w:p>
    <w:p w14:paraId="51F7E90B">
      <w:pPr>
        <w:pStyle w:val="23"/>
        <w:jc w:val="both"/>
      </w:pPr>
      <w:r>
        <w:rPr>
          <w:rFonts w:ascii="Arial" w:hAnsi="Arial"/>
          <w:b/>
        </w:rPr>
        <w:t xml:space="preserve">Water and Sanitation (WASH): </w:t>
      </w:r>
      <w:r>
        <w:rPr>
          <w:rFonts w:ascii="Arial" w:hAnsi="Arial"/>
        </w:rPr>
        <w:t>Periodic physical and chemical testing of RO water plants with public verification boards displaying the latest purity logs.</w:t>
      </w:r>
    </w:p>
    <w:p w14:paraId="073A3204">
      <w:pPr>
        <w:pStyle w:val="2"/>
        <w:jc w:val="both"/>
      </w:pPr>
      <w:r>
        <w:rPr>
          <w:rFonts w:ascii="Arial" w:hAnsi="Arial"/>
          <w:color w:val="003366"/>
        </w:rPr>
        <w:t>5. Annual Screenings &amp; Digitized Health Cards</w:t>
      </w:r>
    </w:p>
    <w:p w14:paraId="56A01CAB">
      <w:pPr>
        <w:jc w:val="both"/>
      </w:pPr>
      <w:r>
        <w:t>The school mandates comprehensive annual checks, mapping results to an individual Student Health Card. This record tracks physical growth trends and alerts parents to early deficits.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100DFBA">
        <w:trPr>
          <w:jc w:val="center"/>
        </w:trPr>
        <w:tc>
          <w:tcPr>
            <w:tcW w:w="4680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5DE8E7F">
            <w:pPr>
              <w:jc w:val="both"/>
            </w:pPr>
            <w:r>
              <w:rPr>
                <w:rFonts w:ascii="Arial" w:hAnsi="Arial"/>
                <w:b/>
                <w:color w:val="FFFFFF"/>
              </w:rPr>
              <w:t>Screening Sector</w:t>
            </w:r>
          </w:p>
        </w:tc>
        <w:tc>
          <w:tcPr>
            <w:tcW w:w="4680" w:type="dxa"/>
            <w:shd w:val="clear" w:color="auto" w:fill="00336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83A3788">
            <w:pPr>
              <w:jc w:val="both"/>
            </w:pPr>
            <w:r>
              <w:rPr>
                <w:rFonts w:ascii="Arial" w:hAnsi="Arial"/>
                <w:b/>
                <w:color w:val="FFFFFF"/>
              </w:rPr>
              <w:t>Operational Parameter &amp; Frequency</w:t>
            </w:r>
          </w:p>
        </w:tc>
      </w:tr>
      <w:tr w14:paraId="1FF92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CF7E6">
            <w:pPr>
              <w:jc w:val="both"/>
            </w:pPr>
            <w:r>
              <w:rPr>
                <w:rFonts w:ascii="Arial" w:hAnsi="Arial"/>
                <w:sz w:val="20"/>
              </w:rPr>
              <w:t>General Health &amp; Anthropometry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E6E94">
            <w:pPr>
              <w:jc w:val="both"/>
            </w:pPr>
            <w:r>
              <w:rPr>
                <w:rFonts w:ascii="Arial" w:hAnsi="Arial"/>
                <w:sz w:val="20"/>
              </w:rPr>
              <w:t>Height, Weight, Body Mass Index (BMI) tracking twice a year to detect malnutrition or early childhood obesity.</w:t>
            </w:r>
          </w:p>
        </w:tc>
      </w:tr>
      <w:tr w14:paraId="6AC8A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0AE7D">
            <w:pPr>
              <w:jc w:val="both"/>
            </w:pPr>
            <w:r>
              <w:rPr>
                <w:rFonts w:ascii="Arial" w:hAnsi="Arial"/>
                <w:sz w:val="20"/>
              </w:rPr>
              <w:t>Ophthalmic Checkup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B96A7">
            <w:pPr>
              <w:jc w:val="both"/>
            </w:pPr>
            <w:r>
              <w:rPr>
                <w:rFonts w:ascii="Arial" w:hAnsi="Arial"/>
                <w:sz w:val="20"/>
              </w:rPr>
              <w:t>Annual Visual Acuity screening using Snellen Charts to identify undiagnosed refractive errors early.</w:t>
            </w:r>
          </w:p>
        </w:tc>
      </w:tr>
      <w:tr w14:paraId="40D05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09624">
            <w:pPr>
              <w:jc w:val="both"/>
            </w:pPr>
            <w:r>
              <w:rPr>
                <w:rFonts w:ascii="Arial" w:hAnsi="Arial"/>
                <w:sz w:val="20"/>
              </w:rPr>
              <w:t>Dental &amp; Oral Hygiene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5C3BB">
            <w:pPr>
              <w:jc w:val="both"/>
            </w:pPr>
            <w:r>
              <w:rPr>
                <w:rFonts w:ascii="Arial" w:hAnsi="Arial"/>
                <w:sz w:val="20"/>
              </w:rPr>
              <w:t>Annual checkups mapping cavities, periodontal hygiene, and corrective alignment feedback.</w:t>
            </w:r>
          </w:p>
        </w:tc>
      </w:tr>
      <w:tr w14:paraId="22863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29530">
            <w:pPr>
              <w:jc w:val="both"/>
            </w:pPr>
            <w:r>
              <w:rPr>
                <w:rFonts w:ascii="Arial" w:hAnsi="Arial"/>
                <w:sz w:val="20"/>
              </w:rPr>
              <w:t>Auditory &amp; ENT Checkup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9C610">
            <w:pPr>
              <w:jc w:val="both"/>
            </w:pPr>
            <w:r>
              <w:rPr>
                <w:rFonts w:ascii="Arial" w:hAnsi="Arial"/>
                <w:sz w:val="20"/>
              </w:rPr>
              <w:t>Basic hearing acuity and throat checks to ensure physical learning barriers are proactively managed.</w:t>
            </w:r>
          </w:p>
        </w:tc>
      </w:tr>
    </w:tbl>
    <w:p w14:paraId="374F25E5">
      <w:pPr>
        <w:jc w:val="both"/>
      </w:pPr>
    </w:p>
    <w:p w14:paraId="281CEAA3">
      <w:pPr>
        <w:pStyle w:val="2"/>
        <w:jc w:val="both"/>
      </w:pPr>
      <w:r>
        <w:rPr>
          <w:rFonts w:ascii="Arial" w:hAnsi="Arial"/>
          <w:color w:val="003366"/>
        </w:rPr>
        <w:t>6. Nutritional Standards &amp; Canteen Policy</w:t>
      </w:r>
    </w:p>
    <w:p w14:paraId="13621EB5">
      <w:pPr>
        <w:pStyle w:val="23"/>
        <w:jc w:val="both"/>
      </w:pPr>
      <w:r>
        <w:rPr>
          <w:rFonts w:ascii="Arial" w:hAnsi="Arial"/>
          <w:b/>
        </w:rPr>
        <w:t xml:space="preserve">HFSS Foods Ban: </w:t>
      </w:r>
      <w:r>
        <w:rPr>
          <w:rFonts w:ascii="Arial" w:hAnsi="Arial"/>
        </w:rPr>
        <w:t>Complete operational ban on foods High in Fat, Sugar, and Salt (HFSS) inside the canteen and within a 50-meter radius of the campus.</w:t>
      </w:r>
    </w:p>
    <w:p w14:paraId="0402540F">
      <w:pPr>
        <w:pStyle w:val="23"/>
        <w:jc w:val="both"/>
      </w:pPr>
      <w:r>
        <w:rPr>
          <w:rFonts w:ascii="Arial" w:hAnsi="Arial"/>
          <w:b/>
        </w:rPr>
        <w:t xml:space="preserve">Menu Licensing: </w:t>
      </w:r>
      <w:r>
        <w:rPr>
          <w:rFonts w:ascii="Arial" w:hAnsi="Arial"/>
        </w:rPr>
        <w:t>The school canteen strictly follows FSSAI guidelines, prioritizing seasonal fruits, whole grains, dairy products, and nutrient-dense options.</w:t>
      </w:r>
    </w:p>
    <w:p w14:paraId="1C960787">
      <w:pPr>
        <w:pStyle w:val="23"/>
        <w:jc w:val="both"/>
      </w:pPr>
      <w:r>
        <w:rPr>
          <w:rFonts w:ascii="Arial" w:hAnsi="Arial"/>
          <w:b/>
        </w:rPr>
        <w:t xml:space="preserve">Parent Lunchbox Advisory: </w:t>
      </w:r>
      <w:r>
        <w:rPr>
          <w:rFonts w:ascii="Arial" w:hAnsi="Arial"/>
        </w:rPr>
        <w:t>Collaborative circulars sent to parents discouraging processed meals, reinforced by classroom-level appreciation clubs.</w:t>
      </w:r>
    </w:p>
    <w:p w14:paraId="63DFE8D6">
      <w:pPr>
        <w:pStyle w:val="2"/>
        <w:jc w:val="both"/>
      </w:pPr>
      <w:r>
        <w:rPr>
          <w:rFonts w:ascii="Arial" w:hAnsi="Arial"/>
          <w:color w:val="003366"/>
        </w:rPr>
        <w:t>7. Physical Literacy &amp; HPE Curriculum Integration</w:t>
      </w:r>
    </w:p>
    <w:p w14:paraId="73DB98CF">
      <w:pPr>
        <w:jc w:val="both"/>
      </w:pPr>
      <w:r>
        <w:t>As mandated by CBSE, the Health and Physical Education (HPE) strand is a core non-scholastic criteria for promotional clearance:</w:t>
      </w:r>
    </w:p>
    <w:p w14:paraId="188DEC25">
      <w:pPr>
        <w:pStyle w:val="23"/>
        <w:jc w:val="both"/>
      </w:pPr>
      <w:r>
        <w:rPr>
          <w:rFonts w:ascii="Arial" w:hAnsi="Arial"/>
          <w:b/>
        </w:rPr>
        <w:t xml:space="preserve">Daily Sports Block: </w:t>
      </w:r>
      <w:r>
        <w:rPr>
          <w:rFonts w:ascii="Arial" w:hAnsi="Arial"/>
        </w:rPr>
        <w:t>Allocation of daily structured physical activity or sports blocks for all grade levels.</w:t>
      </w:r>
    </w:p>
    <w:p w14:paraId="5BE81B03">
      <w:pPr>
        <w:pStyle w:val="23"/>
        <w:jc w:val="both"/>
      </w:pPr>
      <w:r>
        <w:rPr>
          <w:rFonts w:ascii="Arial" w:hAnsi="Arial"/>
          <w:b/>
        </w:rPr>
        <w:t xml:space="preserve">The 11-Theme Club Class: </w:t>
      </w:r>
      <w:r>
        <w:rPr>
          <w:rFonts w:ascii="Arial" w:hAnsi="Arial"/>
        </w:rPr>
        <w:t>Execution of weekly club-based interactions explicitly tackling the CBSE wellness cards.</w:t>
      </w:r>
    </w:p>
    <w:p w14:paraId="06721E65">
      <w:pPr>
        <w:pStyle w:val="23"/>
        <w:jc w:val="both"/>
      </w:pPr>
      <w:r>
        <w:rPr>
          <w:rFonts w:ascii="Arial" w:hAnsi="Arial"/>
          <w:b/>
        </w:rPr>
        <w:t xml:space="preserve">Inclusive Physical Literacy: </w:t>
      </w:r>
      <w:r>
        <w:rPr>
          <w:rFonts w:ascii="Arial" w:hAnsi="Arial"/>
        </w:rPr>
        <w:t>Special customized adaptive sports matrices tailored carefully for children with special needs (CwSN).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A3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710</Words>
  <Characters>4878</Characters>
  <Lines>0</Lines>
  <Paragraphs>0</Paragraphs>
  <TotalTime>2</TotalTime>
  <ScaleCrop>false</ScaleCrop>
  <LinksUpToDate>false</LinksUpToDate>
  <CharactersWithSpaces>5537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Anubhav lodhi</cp:lastModifiedBy>
  <dcterms:modified xsi:type="dcterms:W3CDTF">2026-08-30T10:05:14Z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eyJoZGlkIjoiYTNhNGI1NzBkODQ1OGFmN2U0YTczZWUxNGYwYzNiZjgiLCJ1c2VySWQiOiI1Njc2MDMxMTI4OTgifQ==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8FCBD7F382F545BE93E730A3F000779C_12</vt:lpwstr>
  </property>
</Properties>
</file>