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78209">
      <w:pPr>
        <w:spacing w:before="480" w:after="40"/>
        <w:jc w:val="center"/>
      </w:pPr>
      <w:r>
        <w:rPr>
          <w:b/>
          <w:color w:val="1E3A8A"/>
          <w:sz w:val="44"/>
        </w:rPr>
        <w:t>G D GOENKA PUBLIC SCHOOL, ALIGARH</w:t>
      </w:r>
      <w:r>
        <w:rPr>
          <w:b/>
          <w:color w:val="1E3A8A"/>
          <w:sz w:val="44"/>
        </w:rPr>
        <w:br w:type="textWrapping"/>
      </w:r>
    </w:p>
    <w:p w14:paraId="01D40860">
      <w:pPr>
        <w:spacing w:after="480"/>
        <w:jc w:val="center"/>
      </w:pPr>
      <w:bookmarkStart w:id="0" w:name="_GoBack"/>
      <w:r>
        <w:rPr>
          <w:b/>
          <w:color w:val="475569"/>
          <w:sz w:val="28"/>
        </w:rPr>
        <w:t>OPERATIONAL MANUAL &amp; ANNUAL PLAN</w:t>
      </w:r>
      <w:r>
        <w:rPr>
          <w:b/>
          <w:color w:val="475569"/>
          <w:sz w:val="28"/>
        </w:rPr>
        <w:br w:type="textWrapping"/>
      </w:r>
      <w:r>
        <w:rPr>
          <w:b/>
          <w:color w:val="475569"/>
          <w:sz w:val="28"/>
        </w:rPr>
        <w:t>SCHOOL HEALTH AND WELLNESS CLUB</w:t>
      </w:r>
    </w:p>
    <w:bookmarkEnd w:id="0"/>
    <w:p w14:paraId="7D23E498">
      <w:pPr>
        <w:jc w:val="both"/>
      </w:pPr>
      <w:r>
        <w:t>In strict compliance with the directives of the Central Board of Secondary Education (CBSE) and the national guidelines of the Ayushman Bharat School Health and Wellness Programme, G D Goenka Public School, Aligarh establishes its institutional School Health and Wellness Club. This operational manual outlines the club's administrative framework, committee structure, implementation methodologies, and an explicit module-wise calendar designed to foster holistic physical, mental, and social literacy across all grade tiers.</w:t>
      </w:r>
    </w:p>
    <w:p w14:paraId="44B818AC">
      <w:pPr>
        <w:pStyle w:val="2"/>
        <w:keepNext/>
        <w:pBdr>
          <w:bottom w:val="single" w:color="1E3A8A" w:sz="6" w:space="4"/>
        </w:pBdr>
        <w:spacing w:before="240" w:after="80"/>
        <w:jc w:val="both"/>
      </w:pPr>
      <w:r>
        <w:rPr>
          <w:rFonts w:ascii="Arial" w:hAnsi="Arial"/>
          <w:b/>
          <w:color w:val="1E3A8A"/>
          <w:sz w:val="32"/>
        </w:rPr>
        <w:t>1. Vision and Core Objectives</w:t>
      </w:r>
    </w:p>
    <w:p w14:paraId="2EC646E9">
      <w:pPr>
        <w:pStyle w:val="23"/>
        <w:spacing w:after="80"/>
        <w:jc w:val="both"/>
      </w:pPr>
      <w:r>
        <w:rPr>
          <w:b/>
          <w:color w:val="1E3A8A"/>
        </w:rPr>
        <w:t xml:space="preserve">Institutional Culture of Well-being: </w:t>
      </w:r>
      <w:r>
        <w:t>To transition health education from an isolated academic curriculum into a lived, experiential daily practice across the entire school ecosystem.</w:t>
      </w:r>
    </w:p>
    <w:p w14:paraId="7F060BED">
      <w:pPr>
        <w:pStyle w:val="23"/>
        <w:spacing w:after="80"/>
        <w:jc w:val="both"/>
      </w:pPr>
      <w:r>
        <w:rPr>
          <w:b/>
          <w:color w:val="1E3A8A"/>
        </w:rPr>
        <w:t xml:space="preserve">Empowerment via Peer Advocacy: </w:t>
      </w:r>
      <w:r>
        <w:t>To train dedicated student Health Champions and teacher Health &amp; Wellness Ambassadors as certified facilitators for continuous behavioral tracking and mental health safety rings.</w:t>
      </w:r>
    </w:p>
    <w:p w14:paraId="086F7F65">
      <w:pPr>
        <w:pStyle w:val="23"/>
        <w:spacing w:after="80"/>
        <w:jc w:val="both"/>
      </w:pPr>
      <w:r>
        <w:rPr>
          <w:b/>
          <w:color w:val="1E3A8A"/>
        </w:rPr>
        <w:t xml:space="preserve">Early Identification &amp; Structural Intervention: </w:t>
      </w:r>
      <w:r>
        <w:t>To run structural age-appropriate protocols for recognizing emotional distress, nutritional deficiencies, and physical growth markers, ensuring timely clinical referral.</w:t>
      </w:r>
    </w:p>
    <w:p w14:paraId="21A279A5">
      <w:pPr>
        <w:pStyle w:val="23"/>
        <w:spacing w:after="80"/>
        <w:jc w:val="both"/>
      </w:pPr>
      <w:r>
        <w:rPr>
          <w:b/>
          <w:color w:val="1E3A8A"/>
        </w:rPr>
        <w:t xml:space="preserve">Absolute Safeguard Compliance: </w:t>
      </w:r>
      <w:r>
        <w:t>To enforce zero-tolerance adherence to CBSE guidelines concerning anti-substance misuse, digital toxicity prevention, gender equality, and safe reproductive health awareness.</w:t>
      </w:r>
    </w:p>
    <w:p w14:paraId="38B1A9B5">
      <w:pPr>
        <w:pStyle w:val="2"/>
        <w:keepNext/>
        <w:pBdr>
          <w:bottom w:val="single" w:color="1E3A8A" w:sz="6" w:space="4"/>
        </w:pBdr>
        <w:spacing w:before="240" w:after="80"/>
        <w:jc w:val="both"/>
      </w:pPr>
      <w:r>
        <w:rPr>
          <w:rFonts w:ascii="Arial" w:hAnsi="Arial"/>
          <w:b/>
          <w:color w:val="1E3A8A"/>
          <w:sz w:val="32"/>
        </w:rPr>
        <w:t>2. Institutional Committee Structure</w:t>
      </w:r>
    </w:p>
    <w:p w14:paraId="27CACF1A">
      <w:pPr>
        <w:jc w:val="both"/>
      </w:pPr>
      <w:r>
        <w:t>To ensure robust operational execution and systemic accountability, the School Health and Wellness Club functions under a multi-tiered executive committee:</w:t>
      </w:r>
    </w:p>
    <w:p w14:paraId="7E9F3FEC">
      <w:pPr>
        <w:pStyle w:val="23"/>
        <w:spacing w:after="80"/>
        <w:jc w:val="both"/>
      </w:pPr>
      <w:r>
        <w:rPr>
          <w:b/>
          <w:color w:val="0F172A"/>
        </w:rPr>
        <w:t xml:space="preserve">Patron / Chief Advisory Head: </w:t>
      </w:r>
      <w:r>
        <w:rPr>
          <w:rFonts w:hint="default"/>
          <w:b/>
          <w:color w:val="0F172A"/>
          <w:lang w:val="en-US"/>
        </w:rPr>
        <w:t xml:space="preserve"> Dr. Anubhav Lodhi , </w:t>
      </w:r>
      <w:r>
        <w:t>Principal, G D Goenka Public School, Aligarh. Holds absolute administrative veto, signs annual compliance declarations for CBSE, and reviews monthly activity logs.</w:t>
      </w:r>
    </w:p>
    <w:p w14:paraId="00ABDD20">
      <w:pPr>
        <w:pStyle w:val="23"/>
        <w:spacing w:after="80"/>
        <w:jc w:val="both"/>
      </w:pPr>
      <w:r>
        <w:rPr>
          <w:b/>
          <w:color w:val="0F172A"/>
        </w:rPr>
        <w:t xml:space="preserve">Club Executive Coordinators: </w:t>
      </w:r>
      <w:r>
        <w:t>Two designated Health &amp; Wellness Ambassadors (</w:t>
      </w:r>
      <w:r>
        <w:rPr>
          <w:rFonts w:hint="default"/>
          <w:lang w:val="en-US"/>
        </w:rPr>
        <w:t xml:space="preserve">Mrs. Bhuvnesh Pauchari ( </w:t>
      </w:r>
      <w:r>
        <w:t xml:space="preserve">School </w:t>
      </w:r>
      <w:r>
        <w:rPr>
          <w:rFonts w:hint="default"/>
          <w:lang w:val="en-US"/>
        </w:rPr>
        <w:t xml:space="preserve"> Wellness</w:t>
      </w:r>
      <w:r>
        <w:t>Counselor</w:t>
      </w:r>
      <w:r>
        <w:rPr>
          <w:rFonts w:hint="default"/>
          <w:lang w:val="en-US"/>
        </w:rPr>
        <w:t>and) Ms. Rubi Kumari (</w:t>
      </w:r>
      <w:r>
        <w:t xml:space="preserve"> PGT ). Formally certified under the Ayushman Bharat pedagogical module to drive operations.</w:t>
      </w:r>
    </w:p>
    <w:p w14:paraId="13805701">
      <w:pPr>
        <w:pStyle w:val="23"/>
        <w:spacing w:after="80"/>
        <w:jc w:val="both"/>
      </w:pPr>
      <w:r>
        <w:rPr>
          <w:b/>
          <w:color w:val="0F172A"/>
        </w:rPr>
        <w:t xml:space="preserve">Clinical Support Anchor: </w:t>
      </w:r>
      <w:r>
        <w:t>Resident Medical Officer / Institution Nurse. Manages the campus infirmary, anchors triage logs during physical activities, and leads health metric auditing.</w:t>
      </w:r>
    </w:p>
    <w:p w14:paraId="1294B4FC">
      <w:pPr>
        <w:pStyle w:val="23"/>
        <w:spacing w:after="80"/>
        <w:jc w:val="both"/>
      </w:pPr>
      <w:r>
        <w:rPr>
          <w:b/>
          <w:color w:val="0F172A"/>
        </w:rPr>
        <w:t xml:space="preserve">Student Leadership Wing (Peer Educators): </w:t>
      </w:r>
      <w:r>
        <w:t>Health &amp; Wellness Captains (selected from Grade XI/XII) and Health Champions (two representatives per section starting from Grade VI). Act as primary peer-eyes for identifying behavioral abnormalities and anchoring club events.</w:t>
      </w:r>
    </w:p>
    <w:p w14:paraId="58BAC955">
      <w:pPr>
        <w:pStyle w:val="2"/>
        <w:keepNext/>
        <w:pBdr>
          <w:bottom w:val="single" w:color="1E3A8A" w:sz="6" w:space="4"/>
        </w:pBdr>
        <w:spacing w:before="240" w:after="80"/>
        <w:jc w:val="both"/>
      </w:pPr>
      <w:r>
        <w:rPr>
          <w:rFonts w:ascii="Arial" w:hAnsi="Arial"/>
          <w:b/>
          <w:color w:val="1E3A8A"/>
          <w:sz w:val="32"/>
        </w:rPr>
        <w:t>3. Implementation Methodology</w:t>
      </w:r>
    </w:p>
    <w:p w14:paraId="255ACADC">
      <w:pPr>
        <w:jc w:val="both"/>
      </w:pPr>
      <w:r>
        <w:t>Club objectives are institutionalized via three concrete, mandatory execution channels:</w:t>
      </w:r>
    </w:p>
    <w:p w14:paraId="5AB8D8D0">
      <w:pPr>
        <w:pStyle w:val="23"/>
        <w:spacing w:after="80"/>
        <w:jc w:val="both"/>
      </w:pPr>
      <w:r>
        <w:rPr>
          <w:b/>
          <w:color w:val="1E3A8A"/>
        </w:rPr>
        <w:t xml:space="preserve">The Curricular 'Wellness Block': </w:t>
      </w:r>
      <w:r>
        <w:t>A strictly non-negotiable 45-minute activity block allocated every week in the central timetable across Grades I to XII. This time is exclusively reserved for interactive club modules, discarding traditional lecture methods in favor of role-plays, case-studies, and group activities.</w:t>
      </w:r>
    </w:p>
    <w:p w14:paraId="22C0C994">
      <w:pPr>
        <w:pStyle w:val="23"/>
        <w:spacing w:after="80"/>
        <w:jc w:val="both"/>
      </w:pPr>
      <w:r>
        <w:rPr>
          <w:b/>
          <w:color w:val="1E3A8A"/>
        </w:rPr>
        <w:t xml:space="preserve">Continuous Health Metric Auditing: </w:t>
      </w:r>
      <w:r>
        <w:t>Maintenance of an individual, digitized 'Student Health and Wellness Card' containing biannual tracks for BMI, visual acuity, dental condition, and behavioral adjustments. Data points are securely shared with parents during structural Parent-Teacher Interactions (PTIs).</w:t>
      </w:r>
    </w:p>
    <w:p w14:paraId="02A2B0ED">
      <w:pPr>
        <w:pStyle w:val="23"/>
        <w:spacing w:after="80"/>
        <w:jc w:val="both"/>
      </w:pPr>
      <w:r>
        <w:rPr>
          <w:b/>
          <w:color w:val="1E3A8A"/>
        </w:rPr>
        <w:t xml:space="preserve">Integrative Inter-House Competitions: </w:t>
      </w:r>
      <w:r>
        <w:t>Mandatory quarterly health-centric creative milestones (e.g., street plays on anti-substance abuse, thematic digital arts for safe internet usage, and cooking-without-fire nutritional showcases) aligned with the school's existing House system.</w:t>
      </w:r>
    </w:p>
    <w:p w14:paraId="6F18E5C6">
      <w:pPr>
        <w:pStyle w:val="2"/>
        <w:keepNext/>
        <w:pBdr>
          <w:bottom w:val="single" w:color="1E3A8A" w:sz="6" w:space="4"/>
        </w:pBdr>
        <w:spacing w:before="240" w:after="80"/>
        <w:jc w:val="both"/>
      </w:pPr>
      <w:r>
        <w:rPr>
          <w:rFonts w:ascii="Arial" w:hAnsi="Arial"/>
          <w:b/>
          <w:color w:val="1E3A8A"/>
          <w:sz w:val="32"/>
        </w:rPr>
        <w:t>4. Mandated 11 CBSE Modules - Annual Calendar</w:t>
      </w:r>
    </w:p>
    <w:p w14:paraId="1244508E">
      <w:pPr>
        <w:jc w:val="both"/>
      </w:pPr>
      <w:r>
        <w:t>The club execution framework translates directly into the following structured, monthly distribution of the 11 central themes mandated by the CBSE Comprehensive School Health Manual:</w:t>
      </w:r>
    </w:p>
    <w:tbl>
      <w:tblPr>
        <w:tblStyle w:val="12"/>
        <w:tblW w:w="0" w:type="auto"/>
        <w:jc w:val="center"/>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Layout w:type="fixed"/>
        <w:tblCellMar>
          <w:top w:w="0" w:type="dxa"/>
          <w:left w:w="108" w:type="dxa"/>
          <w:bottom w:w="0" w:type="dxa"/>
          <w:right w:w="108" w:type="dxa"/>
        </w:tblCellMar>
      </w:tblPr>
      <w:tblGrid>
        <w:gridCol w:w="2340"/>
        <w:gridCol w:w="2340"/>
        <w:gridCol w:w="2340"/>
        <w:gridCol w:w="2340"/>
      </w:tblGrid>
      <w:tr w14:paraId="6684E980">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tblHeader/>
          <w:jc w:val="center"/>
        </w:trPr>
        <w:tc>
          <w:tcPr>
            <w:tcW w:w="1440" w:type="dxa"/>
            <w:shd w:val="clear" w:color="auto" w:fill="1E3A8A"/>
            <w:tcMar>
              <w:top w:w="120" w:type="dxa"/>
              <w:left w:w="100" w:type="dxa"/>
              <w:bottom w:w="120" w:type="dxa"/>
              <w:right w:w="100" w:type="dxa"/>
            </w:tcMar>
          </w:tcPr>
          <w:p w14:paraId="2358D950">
            <w:pPr>
              <w:jc w:val="both"/>
            </w:pPr>
            <w:r>
              <w:rPr>
                <w:b/>
                <w:color w:val="FFFFFF"/>
                <w:sz w:val="20"/>
              </w:rPr>
              <w:t>Month / Term</w:t>
            </w:r>
          </w:p>
        </w:tc>
        <w:tc>
          <w:tcPr>
            <w:tcW w:w="2592" w:type="dxa"/>
            <w:shd w:val="clear" w:color="auto" w:fill="1E3A8A"/>
            <w:tcMar>
              <w:top w:w="120" w:type="dxa"/>
              <w:left w:w="100" w:type="dxa"/>
              <w:bottom w:w="120" w:type="dxa"/>
              <w:right w:w="100" w:type="dxa"/>
            </w:tcMar>
          </w:tcPr>
          <w:p w14:paraId="1DC6DD3C">
            <w:pPr>
              <w:jc w:val="both"/>
            </w:pPr>
            <w:r>
              <w:rPr>
                <w:b/>
                <w:color w:val="FFFFFF"/>
                <w:sz w:val="20"/>
              </w:rPr>
              <w:t>Mandated CBSE Theme</w:t>
            </w:r>
          </w:p>
        </w:tc>
        <w:tc>
          <w:tcPr>
            <w:tcW w:w="2592" w:type="dxa"/>
            <w:shd w:val="clear" w:color="auto" w:fill="1E3A8A"/>
            <w:tcMar>
              <w:top w:w="120" w:type="dxa"/>
              <w:left w:w="100" w:type="dxa"/>
              <w:bottom w:w="120" w:type="dxa"/>
              <w:right w:w="100" w:type="dxa"/>
            </w:tcMar>
          </w:tcPr>
          <w:p w14:paraId="1FEF3045">
            <w:pPr>
              <w:jc w:val="both"/>
            </w:pPr>
            <w:r>
              <w:rPr>
                <w:b/>
                <w:color w:val="FFFFFF"/>
                <w:sz w:val="20"/>
              </w:rPr>
              <w:t>Key Focus Areas &amp; Core Content</w:t>
            </w:r>
          </w:p>
        </w:tc>
        <w:tc>
          <w:tcPr>
            <w:tcW w:w="2736" w:type="dxa"/>
            <w:shd w:val="clear" w:color="auto" w:fill="1E3A8A"/>
            <w:tcMar>
              <w:top w:w="120" w:type="dxa"/>
              <w:left w:w="100" w:type="dxa"/>
              <w:bottom w:w="120" w:type="dxa"/>
              <w:right w:w="100" w:type="dxa"/>
            </w:tcMar>
          </w:tcPr>
          <w:p w14:paraId="6F6CB282">
            <w:pPr>
              <w:jc w:val="both"/>
            </w:pPr>
            <w:r>
              <w:rPr>
                <w:b/>
                <w:color w:val="FFFFFF"/>
                <w:sz w:val="20"/>
              </w:rPr>
              <w:t>Club Execution Activity SOP</w:t>
            </w:r>
          </w:p>
        </w:tc>
      </w:tr>
      <w:tr w14:paraId="398DD35A">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100" w:type="dxa"/>
              <w:left w:w="100" w:type="dxa"/>
              <w:bottom w:w="100" w:type="dxa"/>
              <w:right w:w="100" w:type="dxa"/>
            </w:tcMar>
          </w:tcPr>
          <w:p w14:paraId="3DFA5B1D">
            <w:pPr>
              <w:jc w:val="both"/>
            </w:pPr>
            <w:r>
              <w:rPr>
                <w:b/>
                <w:color w:val="1E3A8A"/>
                <w:sz w:val="19"/>
              </w:rPr>
              <w:t>April</w:t>
            </w:r>
          </w:p>
        </w:tc>
        <w:tc>
          <w:tcPr>
            <w:tcW w:w="2592" w:type="dxa"/>
            <w:shd w:val="clear" w:color="auto" w:fill="FFFFFF"/>
            <w:tcMar>
              <w:top w:w="100" w:type="dxa"/>
              <w:left w:w="100" w:type="dxa"/>
              <w:bottom w:w="100" w:type="dxa"/>
              <w:right w:w="100" w:type="dxa"/>
            </w:tcMar>
          </w:tcPr>
          <w:p w14:paraId="4A8CF9F1">
            <w:pPr>
              <w:jc w:val="both"/>
            </w:pPr>
            <w:r>
              <w:rPr>
                <w:b/>
                <w:color w:val="0F172A"/>
                <w:sz w:val="19"/>
              </w:rPr>
              <w:t>Module 1: Growing Up Healthy</w:t>
            </w:r>
          </w:p>
        </w:tc>
        <w:tc>
          <w:tcPr>
            <w:tcW w:w="2592" w:type="dxa"/>
            <w:shd w:val="clear" w:color="auto" w:fill="FFFFFF"/>
            <w:tcMar>
              <w:top w:w="100" w:type="dxa"/>
              <w:left w:w="100" w:type="dxa"/>
              <w:bottom w:w="100" w:type="dxa"/>
              <w:right w:w="100" w:type="dxa"/>
            </w:tcMar>
          </w:tcPr>
          <w:p w14:paraId="0DC0FE33">
            <w:pPr>
              <w:jc w:val="both"/>
            </w:pPr>
            <w:r>
              <w:rPr>
                <w:sz w:val="19"/>
              </w:rPr>
              <w:t>Understanding biological growth, basic sanitation, body positivity, identity formation.</w:t>
            </w:r>
          </w:p>
        </w:tc>
        <w:tc>
          <w:tcPr>
            <w:tcW w:w="2736" w:type="dxa"/>
            <w:shd w:val="clear" w:color="auto" w:fill="FFFFFF"/>
            <w:tcMar>
              <w:top w:w="100" w:type="dxa"/>
              <w:left w:w="100" w:type="dxa"/>
              <w:bottom w:w="100" w:type="dxa"/>
              <w:right w:w="100" w:type="dxa"/>
            </w:tcMar>
          </w:tcPr>
          <w:p w14:paraId="43B752E5">
            <w:pPr>
              <w:jc w:val="both"/>
            </w:pPr>
            <w:r>
              <w:rPr>
                <w:sz w:val="19"/>
              </w:rPr>
              <w:t>Interactive body-mapping workshops, creation of classroom 'Personal Hygiene Check-Charts'.</w:t>
            </w:r>
          </w:p>
        </w:tc>
      </w:tr>
      <w:tr w14:paraId="6CBD6219">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1F5F9"/>
            <w:tcMar>
              <w:top w:w="100" w:type="dxa"/>
              <w:left w:w="100" w:type="dxa"/>
              <w:bottom w:w="100" w:type="dxa"/>
              <w:right w:w="100" w:type="dxa"/>
            </w:tcMar>
          </w:tcPr>
          <w:p w14:paraId="1C94DF8C">
            <w:pPr>
              <w:jc w:val="both"/>
            </w:pPr>
            <w:r>
              <w:rPr>
                <w:b/>
                <w:color w:val="1E3A8A"/>
                <w:sz w:val="19"/>
              </w:rPr>
              <w:t>May</w:t>
            </w:r>
          </w:p>
        </w:tc>
        <w:tc>
          <w:tcPr>
            <w:tcW w:w="2592" w:type="dxa"/>
            <w:shd w:val="clear" w:color="auto" w:fill="F1F5F9"/>
            <w:tcMar>
              <w:top w:w="100" w:type="dxa"/>
              <w:left w:w="100" w:type="dxa"/>
              <w:bottom w:w="100" w:type="dxa"/>
              <w:right w:w="100" w:type="dxa"/>
            </w:tcMar>
          </w:tcPr>
          <w:p w14:paraId="0F85FF08">
            <w:pPr>
              <w:jc w:val="both"/>
            </w:pPr>
            <w:r>
              <w:rPr>
                <w:b/>
                <w:color w:val="0F172A"/>
                <w:sz w:val="19"/>
              </w:rPr>
              <w:t>Module 2: Emotional Well-being</w:t>
            </w:r>
          </w:p>
        </w:tc>
        <w:tc>
          <w:tcPr>
            <w:tcW w:w="2592" w:type="dxa"/>
            <w:shd w:val="clear" w:color="auto" w:fill="F1F5F9"/>
            <w:tcMar>
              <w:top w:w="100" w:type="dxa"/>
              <w:left w:w="100" w:type="dxa"/>
              <w:bottom w:w="100" w:type="dxa"/>
              <w:right w:w="100" w:type="dxa"/>
            </w:tcMar>
          </w:tcPr>
          <w:p w14:paraId="3162D8D7">
            <w:pPr>
              <w:jc w:val="both"/>
            </w:pPr>
            <w:r>
              <w:rPr>
                <w:sz w:val="19"/>
              </w:rPr>
              <w:t>Stress identification, emotional regulation, coping with exam anxiety, building resilience.</w:t>
            </w:r>
          </w:p>
        </w:tc>
        <w:tc>
          <w:tcPr>
            <w:tcW w:w="2736" w:type="dxa"/>
            <w:shd w:val="clear" w:color="auto" w:fill="F1F5F9"/>
            <w:tcMar>
              <w:top w:w="100" w:type="dxa"/>
              <w:left w:w="100" w:type="dxa"/>
              <w:bottom w:w="100" w:type="dxa"/>
              <w:right w:w="100" w:type="dxa"/>
            </w:tcMar>
          </w:tcPr>
          <w:p w14:paraId="5AFCF466">
            <w:pPr>
              <w:jc w:val="both"/>
            </w:pPr>
            <w:r>
              <w:rPr>
                <w:sz w:val="19"/>
              </w:rPr>
              <w:t>Anonymous 'Worry Box' installation; guided mindfulness and breathing drill simulation blocks.</w:t>
            </w:r>
          </w:p>
        </w:tc>
      </w:tr>
      <w:tr w14:paraId="07996A33">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100" w:type="dxa"/>
              <w:left w:w="100" w:type="dxa"/>
              <w:bottom w:w="100" w:type="dxa"/>
              <w:right w:w="100" w:type="dxa"/>
            </w:tcMar>
          </w:tcPr>
          <w:p w14:paraId="56218B4C">
            <w:pPr>
              <w:jc w:val="both"/>
            </w:pPr>
            <w:r>
              <w:rPr>
                <w:b/>
                <w:color w:val="1E3A8A"/>
                <w:sz w:val="19"/>
              </w:rPr>
              <w:t>July</w:t>
            </w:r>
          </w:p>
        </w:tc>
        <w:tc>
          <w:tcPr>
            <w:tcW w:w="2592" w:type="dxa"/>
            <w:shd w:val="clear" w:color="auto" w:fill="FFFFFF"/>
            <w:tcMar>
              <w:top w:w="100" w:type="dxa"/>
              <w:left w:w="100" w:type="dxa"/>
              <w:bottom w:w="100" w:type="dxa"/>
              <w:right w:w="100" w:type="dxa"/>
            </w:tcMar>
          </w:tcPr>
          <w:p w14:paraId="4AAFE952">
            <w:pPr>
              <w:jc w:val="both"/>
            </w:pPr>
            <w:r>
              <w:rPr>
                <w:b/>
                <w:color w:val="0F172A"/>
                <w:sz w:val="19"/>
              </w:rPr>
              <w:t>Module 3: Adolescence &amp; Reproductive Health</w:t>
            </w:r>
          </w:p>
        </w:tc>
        <w:tc>
          <w:tcPr>
            <w:tcW w:w="2592" w:type="dxa"/>
            <w:shd w:val="clear" w:color="auto" w:fill="FFFFFF"/>
            <w:tcMar>
              <w:top w:w="100" w:type="dxa"/>
              <w:left w:w="100" w:type="dxa"/>
              <w:bottom w:w="100" w:type="dxa"/>
              <w:right w:w="100" w:type="dxa"/>
            </w:tcMar>
          </w:tcPr>
          <w:p w14:paraId="205453E8">
            <w:pPr>
              <w:jc w:val="both"/>
            </w:pPr>
            <w:r>
              <w:rPr>
                <w:sz w:val="19"/>
              </w:rPr>
              <w:t>Puberty management, breaking menstrual taboos, personal safety boundaries (POSCO alignment).</w:t>
            </w:r>
          </w:p>
        </w:tc>
        <w:tc>
          <w:tcPr>
            <w:tcW w:w="2736" w:type="dxa"/>
            <w:shd w:val="clear" w:color="auto" w:fill="FFFFFF"/>
            <w:tcMar>
              <w:top w:w="100" w:type="dxa"/>
              <w:left w:w="100" w:type="dxa"/>
              <w:bottom w:w="100" w:type="dxa"/>
              <w:right w:w="100" w:type="dxa"/>
            </w:tcMar>
          </w:tcPr>
          <w:p w14:paraId="3E76CA74">
            <w:pPr>
              <w:jc w:val="both"/>
            </w:pPr>
            <w:r>
              <w:rPr>
                <w:sz w:val="19"/>
              </w:rPr>
              <w:t>Gender-segregated expert clinical roundtables led by senior pediatricians and counselors.</w:t>
            </w:r>
          </w:p>
        </w:tc>
      </w:tr>
      <w:tr w14:paraId="7F1F1E38">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1F5F9"/>
            <w:tcMar>
              <w:top w:w="100" w:type="dxa"/>
              <w:left w:w="100" w:type="dxa"/>
              <w:bottom w:w="100" w:type="dxa"/>
              <w:right w:w="100" w:type="dxa"/>
            </w:tcMar>
          </w:tcPr>
          <w:p w14:paraId="21B21DB6">
            <w:pPr>
              <w:jc w:val="both"/>
            </w:pPr>
            <w:r>
              <w:rPr>
                <w:b/>
                <w:color w:val="1E3A8A"/>
                <w:sz w:val="19"/>
              </w:rPr>
              <w:t>August</w:t>
            </w:r>
          </w:p>
        </w:tc>
        <w:tc>
          <w:tcPr>
            <w:tcW w:w="2592" w:type="dxa"/>
            <w:shd w:val="clear" w:color="auto" w:fill="F1F5F9"/>
            <w:tcMar>
              <w:top w:w="100" w:type="dxa"/>
              <w:left w:w="100" w:type="dxa"/>
              <w:bottom w:w="100" w:type="dxa"/>
              <w:right w:w="100" w:type="dxa"/>
            </w:tcMar>
          </w:tcPr>
          <w:p w14:paraId="1F56CDF5">
            <w:pPr>
              <w:jc w:val="both"/>
            </w:pPr>
            <w:r>
              <w:rPr>
                <w:b/>
                <w:color w:val="0F172A"/>
                <w:sz w:val="19"/>
              </w:rPr>
              <w:t>Module 4: Values, Rights &amp; Citizenship</w:t>
            </w:r>
          </w:p>
        </w:tc>
        <w:tc>
          <w:tcPr>
            <w:tcW w:w="2592" w:type="dxa"/>
            <w:shd w:val="clear" w:color="auto" w:fill="F1F5F9"/>
            <w:tcMar>
              <w:top w:w="100" w:type="dxa"/>
              <w:left w:w="100" w:type="dxa"/>
              <w:bottom w:w="100" w:type="dxa"/>
              <w:right w:w="100" w:type="dxa"/>
            </w:tcMar>
          </w:tcPr>
          <w:p w14:paraId="69BBF3CE">
            <w:pPr>
              <w:jc w:val="both"/>
            </w:pPr>
            <w:r>
              <w:rPr>
                <w:sz w:val="19"/>
              </w:rPr>
              <w:t>Empathy, child rights, constitutional moral values, respecting community diversity.</w:t>
            </w:r>
          </w:p>
        </w:tc>
        <w:tc>
          <w:tcPr>
            <w:tcW w:w="2736" w:type="dxa"/>
            <w:shd w:val="clear" w:color="auto" w:fill="F1F5F9"/>
            <w:tcMar>
              <w:top w:w="100" w:type="dxa"/>
              <w:left w:w="100" w:type="dxa"/>
              <w:bottom w:w="100" w:type="dxa"/>
              <w:right w:w="100" w:type="dxa"/>
            </w:tcMar>
          </w:tcPr>
          <w:p w14:paraId="57CBACA4">
            <w:pPr>
              <w:jc w:val="both"/>
            </w:pPr>
            <w:r>
              <w:rPr>
                <w:sz w:val="19"/>
              </w:rPr>
              <w:t>Peer-led mock youth parliaments on inclusion, social equity, and fighting school bullying.</w:t>
            </w:r>
          </w:p>
        </w:tc>
      </w:tr>
      <w:tr w14:paraId="5619F205">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100" w:type="dxa"/>
              <w:left w:w="100" w:type="dxa"/>
              <w:bottom w:w="100" w:type="dxa"/>
              <w:right w:w="100" w:type="dxa"/>
            </w:tcMar>
          </w:tcPr>
          <w:p w14:paraId="5A092039">
            <w:pPr>
              <w:jc w:val="both"/>
            </w:pPr>
            <w:r>
              <w:rPr>
                <w:b/>
                <w:color w:val="1E3A8A"/>
                <w:sz w:val="19"/>
              </w:rPr>
              <w:t>September</w:t>
            </w:r>
          </w:p>
        </w:tc>
        <w:tc>
          <w:tcPr>
            <w:tcW w:w="2592" w:type="dxa"/>
            <w:shd w:val="clear" w:color="auto" w:fill="FFFFFF"/>
            <w:tcMar>
              <w:top w:w="100" w:type="dxa"/>
              <w:left w:w="100" w:type="dxa"/>
              <w:bottom w:w="100" w:type="dxa"/>
              <w:right w:w="100" w:type="dxa"/>
            </w:tcMar>
          </w:tcPr>
          <w:p w14:paraId="28FF1997">
            <w:pPr>
              <w:jc w:val="both"/>
            </w:pPr>
            <w:r>
              <w:rPr>
                <w:b/>
                <w:color w:val="0F172A"/>
                <w:sz w:val="19"/>
              </w:rPr>
              <w:t>Module 5: Gender Equality &amp; Sensitization</w:t>
            </w:r>
          </w:p>
        </w:tc>
        <w:tc>
          <w:tcPr>
            <w:tcW w:w="2592" w:type="dxa"/>
            <w:shd w:val="clear" w:color="auto" w:fill="FFFFFF"/>
            <w:tcMar>
              <w:top w:w="100" w:type="dxa"/>
              <w:left w:w="100" w:type="dxa"/>
              <w:bottom w:w="100" w:type="dxa"/>
              <w:right w:w="100" w:type="dxa"/>
            </w:tcMar>
          </w:tcPr>
          <w:p w14:paraId="4BD30A36">
            <w:pPr>
              <w:jc w:val="both"/>
            </w:pPr>
            <w:r>
              <w:rPr>
                <w:sz w:val="19"/>
              </w:rPr>
              <w:t>Deconstructing traditional stereotypes, respect across genders, zero-tolerance peer harassment.</w:t>
            </w:r>
          </w:p>
        </w:tc>
        <w:tc>
          <w:tcPr>
            <w:tcW w:w="2736" w:type="dxa"/>
            <w:shd w:val="clear" w:color="auto" w:fill="FFFFFF"/>
            <w:tcMar>
              <w:top w:w="100" w:type="dxa"/>
              <w:left w:w="100" w:type="dxa"/>
              <w:bottom w:w="100" w:type="dxa"/>
              <w:right w:w="100" w:type="dxa"/>
            </w:tcMar>
          </w:tcPr>
          <w:p w14:paraId="24A4514B">
            <w:pPr>
              <w:jc w:val="both"/>
            </w:pPr>
            <w:r>
              <w:rPr>
                <w:sz w:val="19"/>
              </w:rPr>
              <w:t>Mixed-gender role-reversal theater skits and collaborative co-ed sports festivals.</w:t>
            </w:r>
          </w:p>
        </w:tc>
      </w:tr>
      <w:tr w14:paraId="376EDE3E">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1F5F9"/>
            <w:tcMar>
              <w:top w:w="100" w:type="dxa"/>
              <w:left w:w="100" w:type="dxa"/>
              <w:bottom w:w="100" w:type="dxa"/>
              <w:right w:w="100" w:type="dxa"/>
            </w:tcMar>
          </w:tcPr>
          <w:p w14:paraId="5F162FC4">
            <w:pPr>
              <w:jc w:val="both"/>
            </w:pPr>
            <w:r>
              <w:rPr>
                <w:b/>
                <w:color w:val="1E3A8A"/>
                <w:sz w:val="19"/>
              </w:rPr>
              <w:t>October</w:t>
            </w:r>
          </w:p>
        </w:tc>
        <w:tc>
          <w:tcPr>
            <w:tcW w:w="2592" w:type="dxa"/>
            <w:shd w:val="clear" w:color="auto" w:fill="F1F5F9"/>
            <w:tcMar>
              <w:top w:w="100" w:type="dxa"/>
              <w:left w:w="100" w:type="dxa"/>
              <w:bottom w:w="100" w:type="dxa"/>
              <w:right w:w="100" w:type="dxa"/>
            </w:tcMar>
          </w:tcPr>
          <w:p w14:paraId="0E7443EB">
            <w:pPr>
              <w:jc w:val="both"/>
            </w:pPr>
            <w:r>
              <w:rPr>
                <w:b/>
                <w:color w:val="0F172A"/>
                <w:sz w:val="19"/>
              </w:rPr>
              <w:t>Module 6: Nutrition, Health &amp; Hygiene</w:t>
            </w:r>
          </w:p>
        </w:tc>
        <w:tc>
          <w:tcPr>
            <w:tcW w:w="2592" w:type="dxa"/>
            <w:shd w:val="clear" w:color="auto" w:fill="F1F5F9"/>
            <w:tcMar>
              <w:top w:w="100" w:type="dxa"/>
              <w:left w:w="100" w:type="dxa"/>
              <w:bottom w:w="100" w:type="dxa"/>
              <w:right w:w="100" w:type="dxa"/>
            </w:tcMar>
          </w:tcPr>
          <w:p w14:paraId="2F21B8ED">
            <w:pPr>
              <w:jc w:val="both"/>
            </w:pPr>
            <w:r>
              <w:rPr>
                <w:sz w:val="19"/>
              </w:rPr>
              <w:t>Combating childhood obesity, parsing food label toxicity, balanced diet charting.</w:t>
            </w:r>
          </w:p>
        </w:tc>
        <w:tc>
          <w:tcPr>
            <w:tcW w:w="2736" w:type="dxa"/>
            <w:shd w:val="clear" w:color="auto" w:fill="F1F5F9"/>
            <w:tcMar>
              <w:top w:w="100" w:type="dxa"/>
              <w:left w:w="100" w:type="dxa"/>
              <w:bottom w:w="100" w:type="dxa"/>
              <w:right w:w="100" w:type="dxa"/>
            </w:tcMar>
          </w:tcPr>
          <w:p w14:paraId="4284C4D1">
            <w:pPr>
              <w:jc w:val="both"/>
            </w:pPr>
            <w:r>
              <w:rPr>
                <w:sz w:val="19"/>
              </w:rPr>
              <w:t>Installation of 'Oil &amp; Sugar Metric Boards' outside the canteen; 'Healthy Tiffin' peer awards.</w:t>
            </w:r>
          </w:p>
        </w:tc>
      </w:tr>
      <w:tr w14:paraId="3ED65591">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100" w:type="dxa"/>
              <w:left w:w="100" w:type="dxa"/>
              <w:bottom w:w="100" w:type="dxa"/>
              <w:right w:w="100" w:type="dxa"/>
            </w:tcMar>
          </w:tcPr>
          <w:p w14:paraId="60537934">
            <w:pPr>
              <w:jc w:val="both"/>
            </w:pPr>
            <w:r>
              <w:rPr>
                <w:b/>
                <w:color w:val="1E3A8A"/>
                <w:sz w:val="19"/>
              </w:rPr>
              <w:t>November</w:t>
            </w:r>
          </w:p>
        </w:tc>
        <w:tc>
          <w:tcPr>
            <w:tcW w:w="2592" w:type="dxa"/>
            <w:shd w:val="clear" w:color="auto" w:fill="FFFFFF"/>
            <w:tcMar>
              <w:top w:w="100" w:type="dxa"/>
              <w:left w:w="100" w:type="dxa"/>
              <w:bottom w:w="100" w:type="dxa"/>
              <w:right w:w="100" w:type="dxa"/>
            </w:tcMar>
          </w:tcPr>
          <w:p w14:paraId="5A85A7F0">
            <w:pPr>
              <w:jc w:val="both"/>
            </w:pPr>
            <w:r>
              <w:rPr>
                <w:b/>
                <w:color w:val="0F172A"/>
                <w:sz w:val="19"/>
              </w:rPr>
              <w:t>Module 7: Safe Digital Spaces</w:t>
            </w:r>
          </w:p>
        </w:tc>
        <w:tc>
          <w:tcPr>
            <w:tcW w:w="2592" w:type="dxa"/>
            <w:shd w:val="clear" w:color="auto" w:fill="FFFFFF"/>
            <w:tcMar>
              <w:top w:w="100" w:type="dxa"/>
              <w:left w:w="100" w:type="dxa"/>
              <w:bottom w:w="100" w:type="dxa"/>
              <w:right w:w="100" w:type="dxa"/>
            </w:tcMar>
          </w:tcPr>
          <w:p w14:paraId="4966B97E">
            <w:pPr>
              <w:jc w:val="both"/>
            </w:pPr>
            <w:r>
              <w:rPr>
                <w:sz w:val="19"/>
              </w:rPr>
              <w:t>Preventing cyber-bullying, screen addiction counters, digital footprint safety, privacy locks.</w:t>
            </w:r>
          </w:p>
        </w:tc>
        <w:tc>
          <w:tcPr>
            <w:tcW w:w="2736" w:type="dxa"/>
            <w:shd w:val="clear" w:color="auto" w:fill="FFFFFF"/>
            <w:tcMar>
              <w:top w:w="100" w:type="dxa"/>
              <w:left w:w="100" w:type="dxa"/>
              <w:bottom w:w="100" w:type="dxa"/>
              <w:right w:w="100" w:type="dxa"/>
            </w:tcMar>
          </w:tcPr>
          <w:p w14:paraId="67DF505A">
            <w:pPr>
              <w:jc w:val="both"/>
            </w:pPr>
            <w:r>
              <w:rPr>
                <w:sz w:val="19"/>
              </w:rPr>
              <w:t>Interactive 'Digital Detox' workshops; setting strict personal daily screen-limit declarations.</w:t>
            </w:r>
          </w:p>
        </w:tc>
      </w:tr>
      <w:tr w14:paraId="4A995E27">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1F5F9"/>
            <w:tcMar>
              <w:top w:w="100" w:type="dxa"/>
              <w:left w:w="100" w:type="dxa"/>
              <w:bottom w:w="100" w:type="dxa"/>
              <w:right w:w="100" w:type="dxa"/>
            </w:tcMar>
          </w:tcPr>
          <w:p w14:paraId="0E4D3E08">
            <w:pPr>
              <w:jc w:val="both"/>
            </w:pPr>
            <w:r>
              <w:rPr>
                <w:b/>
                <w:color w:val="1E3A8A"/>
                <w:sz w:val="19"/>
              </w:rPr>
              <w:t>December</w:t>
            </w:r>
          </w:p>
        </w:tc>
        <w:tc>
          <w:tcPr>
            <w:tcW w:w="2592" w:type="dxa"/>
            <w:shd w:val="clear" w:color="auto" w:fill="F1F5F9"/>
            <w:tcMar>
              <w:top w:w="100" w:type="dxa"/>
              <w:left w:w="100" w:type="dxa"/>
              <w:bottom w:w="100" w:type="dxa"/>
              <w:right w:w="100" w:type="dxa"/>
            </w:tcMar>
          </w:tcPr>
          <w:p w14:paraId="0EFA4204">
            <w:pPr>
              <w:jc w:val="both"/>
            </w:pPr>
            <w:r>
              <w:rPr>
                <w:b/>
                <w:color w:val="0F172A"/>
                <w:sz w:val="19"/>
              </w:rPr>
              <w:t>Module 8: Substance Misuse Prevention</w:t>
            </w:r>
          </w:p>
        </w:tc>
        <w:tc>
          <w:tcPr>
            <w:tcW w:w="2592" w:type="dxa"/>
            <w:shd w:val="clear" w:color="auto" w:fill="F1F5F9"/>
            <w:tcMar>
              <w:top w:w="100" w:type="dxa"/>
              <w:left w:w="100" w:type="dxa"/>
              <w:bottom w:w="100" w:type="dxa"/>
              <w:right w:w="100" w:type="dxa"/>
            </w:tcMar>
          </w:tcPr>
          <w:p w14:paraId="22CFD95B">
            <w:pPr>
              <w:jc w:val="both"/>
            </w:pPr>
            <w:r>
              <w:rPr>
                <w:sz w:val="19"/>
              </w:rPr>
              <w:t>Identifying addictive patterns, peer-pressure refusal mechanics, vaping dangers.</w:t>
            </w:r>
          </w:p>
        </w:tc>
        <w:tc>
          <w:tcPr>
            <w:tcW w:w="2736" w:type="dxa"/>
            <w:shd w:val="clear" w:color="auto" w:fill="F1F5F9"/>
            <w:tcMar>
              <w:top w:w="100" w:type="dxa"/>
              <w:left w:w="100" w:type="dxa"/>
              <w:bottom w:w="100" w:type="dxa"/>
              <w:right w:w="100" w:type="dxa"/>
            </w:tcMar>
          </w:tcPr>
          <w:p w14:paraId="56760337">
            <w:pPr>
              <w:jc w:val="both"/>
            </w:pPr>
            <w:r>
              <w:rPr>
                <w:sz w:val="19"/>
              </w:rPr>
              <w:t>Student-driven poster campaigns; drafting a binding school-wide 'Anti-Substance Pledge'.</w:t>
            </w:r>
          </w:p>
        </w:tc>
      </w:tr>
      <w:tr w14:paraId="19EB4557">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100" w:type="dxa"/>
              <w:left w:w="100" w:type="dxa"/>
              <w:bottom w:w="100" w:type="dxa"/>
              <w:right w:w="100" w:type="dxa"/>
            </w:tcMar>
          </w:tcPr>
          <w:p w14:paraId="0DBCD630">
            <w:pPr>
              <w:jc w:val="both"/>
            </w:pPr>
            <w:r>
              <w:rPr>
                <w:b/>
                <w:color w:val="1E3A8A"/>
                <w:sz w:val="19"/>
              </w:rPr>
              <w:t>January</w:t>
            </w:r>
          </w:p>
        </w:tc>
        <w:tc>
          <w:tcPr>
            <w:tcW w:w="2592" w:type="dxa"/>
            <w:shd w:val="clear" w:color="auto" w:fill="FFFFFF"/>
            <w:tcMar>
              <w:top w:w="100" w:type="dxa"/>
              <w:left w:w="100" w:type="dxa"/>
              <w:bottom w:w="100" w:type="dxa"/>
              <w:right w:w="100" w:type="dxa"/>
            </w:tcMar>
          </w:tcPr>
          <w:p w14:paraId="28369432">
            <w:pPr>
              <w:jc w:val="both"/>
            </w:pPr>
            <w:r>
              <w:rPr>
                <w:b/>
                <w:color w:val="0F172A"/>
                <w:sz w:val="19"/>
              </w:rPr>
              <w:t>Module 9: Safety &amp; Security Protocols</w:t>
            </w:r>
          </w:p>
        </w:tc>
        <w:tc>
          <w:tcPr>
            <w:tcW w:w="2592" w:type="dxa"/>
            <w:shd w:val="clear" w:color="auto" w:fill="FFFFFF"/>
            <w:tcMar>
              <w:top w:w="100" w:type="dxa"/>
              <w:left w:w="100" w:type="dxa"/>
              <w:bottom w:w="100" w:type="dxa"/>
              <w:right w:w="100" w:type="dxa"/>
            </w:tcMar>
          </w:tcPr>
          <w:p w14:paraId="2CDEB434">
            <w:pPr>
              <w:jc w:val="both"/>
            </w:pPr>
            <w:r>
              <w:rPr>
                <w:sz w:val="19"/>
              </w:rPr>
              <w:t>First-aid mastery, basic life support (CPR), earthquake and fire evacuation response matrix.</w:t>
            </w:r>
          </w:p>
        </w:tc>
        <w:tc>
          <w:tcPr>
            <w:tcW w:w="2736" w:type="dxa"/>
            <w:shd w:val="clear" w:color="auto" w:fill="FFFFFF"/>
            <w:tcMar>
              <w:top w:w="100" w:type="dxa"/>
              <w:left w:w="100" w:type="dxa"/>
              <w:bottom w:w="100" w:type="dxa"/>
              <w:right w:w="100" w:type="dxa"/>
            </w:tcMar>
          </w:tcPr>
          <w:p w14:paraId="02B2FC7E">
            <w:pPr>
              <w:jc w:val="both"/>
            </w:pPr>
            <w:r>
              <w:rPr>
                <w:sz w:val="19"/>
              </w:rPr>
              <w:t>Hands-on emergency drills conducted in real-time coordination with Aligarh Disaster Management.</w:t>
            </w:r>
          </w:p>
        </w:tc>
      </w:tr>
      <w:tr w14:paraId="4882566A">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1F5F9"/>
            <w:tcMar>
              <w:top w:w="100" w:type="dxa"/>
              <w:left w:w="100" w:type="dxa"/>
              <w:bottom w:w="100" w:type="dxa"/>
              <w:right w:w="100" w:type="dxa"/>
            </w:tcMar>
          </w:tcPr>
          <w:p w14:paraId="69471D65">
            <w:pPr>
              <w:jc w:val="both"/>
            </w:pPr>
            <w:r>
              <w:rPr>
                <w:b/>
                <w:color w:val="1E3A8A"/>
                <w:sz w:val="19"/>
              </w:rPr>
              <w:t>February</w:t>
            </w:r>
          </w:p>
        </w:tc>
        <w:tc>
          <w:tcPr>
            <w:tcW w:w="2592" w:type="dxa"/>
            <w:shd w:val="clear" w:color="auto" w:fill="F1F5F9"/>
            <w:tcMar>
              <w:top w:w="100" w:type="dxa"/>
              <w:left w:w="100" w:type="dxa"/>
              <w:bottom w:w="100" w:type="dxa"/>
              <w:right w:w="100" w:type="dxa"/>
            </w:tcMar>
          </w:tcPr>
          <w:p w14:paraId="432714CD">
            <w:pPr>
              <w:jc w:val="both"/>
            </w:pPr>
            <w:r>
              <w:rPr>
                <w:b/>
                <w:color w:val="0F172A"/>
                <w:sz w:val="19"/>
              </w:rPr>
              <w:t>Module 10: Promotion of Healthy Lifestyles</w:t>
            </w:r>
          </w:p>
        </w:tc>
        <w:tc>
          <w:tcPr>
            <w:tcW w:w="2592" w:type="dxa"/>
            <w:shd w:val="clear" w:color="auto" w:fill="F1F5F9"/>
            <w:tcMar>
              <w:top w:w="100" w:type="dxa"/>
              <w:left w:w="100" w:type="dxa"/>
              <w:bottom w:w="100" w:type="dxa"/>
              <w:right w:w="100" w:type="dxa"/>
            </w:tcMar>
          </w:tcPr>
          <w:p w14:paraId="74E9D17E">
            <w:pPr>
              <w:jc w:val="both"/>
            </w:pPr>
            <w:r>
              <w:rPr>
                <w:sz w:val="19"/>
              </w:rPr>
              <w:t>Integrating physical fitness, yoga postures, ergonomic seating habits, sleep hygiene tracks.</w:t>
            </w:r>
          </w:p>
        </w:tc>
        <w:tc>
          <w:tcPr>
            <w:tcW w:w="2736" w:type="dxa"/>
            <w:shd w:val="clear" w:color="auto" w:fill="F1F5F9"/>
            <w:tcMar>
              <w:top w:w="100" w:type="dxa"/>
              <w:left w:w="100" w:type="dxa"/>
              <w:bottom w:w="100" w:type="dxa"/>
              <w:right w:w="100" w:type="dxa"/>
            </w:tcMar>
          </w:tcPr>
          <w:p w14:paraId="425D4E3C">
            <w:pPr>
              <w:jc w:val="both"/>
            </w:pPr>
            <w:r>
              <w:rPr>
                <w:sz w:val="19"/>
              </w:rPr>
              <w:t>Inter-house mass calisthenics displays, structural morning assembly yoga sessions.</w:t>
            </w:r>
          </w:p>
        </w:tc>
      </w:tr>
      <w:tr w14:paraId="5286DD2B">
        <w:tblPrEx>
          <w:tblBorders>
            <w:top w:val="single" w:color="CBD5E1" w:sz="4" w:space="0"/>
            <w:left w:val="none" w:color="auto" w:sz="0" w:space="0"/>
            <w:bottom w:val="single" w:color="CBD5E1"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100" w:type="dxa"/>
              <w:left w:w="100" w:type="dxa"/>
              <w:bottom w:w="100" w:type="dxa"/>
              <w:right w:w="100" w:type="dxa"/>
            </w:tcMar>
          </w:tcPr>
          <w:p w14:paraId="0D616BC3">
            <w:pPr>
              <w:jc w:val="both"/>
            </w:pPr>
            <w:r>
              <w:rPr>
                <w:b/>
                <w:color w:val="1E3A8A"/>
                <w:sz w:val="19"/>
              </w:rPr>
              <w:t>March</w:t>
            </w:r>
          </w:p>
        </w:tc>
        <w:tc>
          <w:tcPr>
            <w:tcW w:w="2592" w:type="dxa"/>
            <w:shd w:val="clear" w:color="auto" w:fill="FFFFFF"/>
            <w:tcMar>
              <w:top w:w="100" w:type="dxa"/>
              <w:left w:w="100" w:type="dxa"/>
              <w:bottom w:w="100" w:type="dxa"/>
              <w:right w:w="100" w:type="dxa"/>
            </w:tcMar>
          </w:tcPr>
          <w:p w14:paraId="75F87610">
            <w:pPr>
              <w:jc w:val="both"/>
            </w:pPr>
            <w:r>
              <w:rPr>
                <w:b/>
                <w:color w:val="0F172A"/>
                <w:sz w:val="19"/>
              </w:rPr>
              <w:t>Module 11: Eco-Health &amp; Co-existence</w:t>
            </w:r>
          </w:p>
        </w:tc>
        <w:tc>
          <w:tcPr>
            <w:tcW w:w="2592" w:type="dxa"/>
            <w:shd w:val="clear" w:color="auto" w:fill="FFFFFF"/>
            <w:tcMar>
              <w:top w:w="100" w:type="dxa"/>
              <w:left w:w="100" w:type="dxa"/>
              <w:bottom w:w="100" w:type="dxa"/>
              <w:right w:w="100" w:type="dxa"/>
            </w:tcMar>
          </w:tcPr>
          <w:p w14:paraId="41D45DFF">
            <w:pPr>
              <w:jc w:val="both"/>
            </w:pPr>
            <w:r>
              <w:rPr>
                <w:sz w:val="19"/>
              </w:rPr>
              <w:t>Waste segregation links to sanitation, vector-borne disease blocks, environment-health nexus.</w:t>
            </w:r>
          </w:p>
        </w:tc>
        <w:tc>
          <w:tcPr>
            <w:tcW w:w="2736" w:type="dxa"/>
            <w:shd w:val="clear" w:color="auto" w:fill="FFFFFF"/>
            <w:tcMar>
              <w:top w:w="100" w:type="dxa"/>
              <w:left w:w="100" w:type="dxa"/>
              <w:bottom w:w="100" w:type="dxa"/>
              <w:right w:w="100" w:type="dxa"/>
            </w:tcMar>
          </w:tcPr>
          <w:p w14:paraId="3CB02FE9">
            <w:pPr>
              <w:jc w:val="both"/>
            </w:pPr>
            <w:r>
              <w:rPr>
                <w:sz w:val="19"/>
              </w:rPr>
              <w:t>Student clean-campus audits, herb gardening in the school nursery, community health drives.</w:t>
            </w:r>
          </w:p>
        </w:tc>
      </w:tr>
    </w:tbl>
    <w:p w14:paraId="579E541C">
      <w:pPr>
        <w:spacing w:before="240"/>
        <w:jc w:val="both"/>
      </w:pPr>
    </w:p>
    <w:p w14:paraId="0BF6AB66">
      <w:pPr>
        <w:pStyle w:val="2"/>
        <w:keepNext/>
        <w:pBdr>
          <w:bottom w:val="single" w:color="1E3A8A" w:sz="6" w:space="4"/>
        </w:pBdr>
        <w:spacing w:before="240" w:after="80"/>
        <w:jc w:val="both"/>
      </w:pPr>
      <w:r>
        <w:rPr>
          <w:rFonts w:ascii="Arial" w:hAnsi="Arial"/>
          <w:b/>
          <w:color w:val="1E3A8A"/>
          <w:sz w:val="32"/>
        </w:rPr>
        <w:t>5. Performance Monitoring, Audit, and CBSE Compliance</w:t>
      </w:r>
    </w:p>
    <w:p w14:paraId="42483DF6">
      <w:pPr>
        <w:jc w:val="both"/>
      </w:pPr>
      <w:r>
        <w:t>The operational efficacy of the School Health and Wellness Club is continuously cross-examined using specific compliance checkpoints:</w:t>
      </w:r>
    </w:p>
    <w:p w14:paraId="7F82FD31">
      <w:pPr>
        <w:pStyle w:val="23"/>
        <w:spacing w:after="80"/>
        <w:jc w:val="both"/>
      </w:pPr>
      <w:r>
        <w:rPr>
          <w:b/>
          <w:color w:val="0F172A"/>
        </w:rPr>
        <w:t xml:space="preserve">The Mandatory Activity Register: </w:t>
      </w:r>
      <w:r>
        <w:t>Maintained carefully by the Teacher Ambassadors. Contains timestamped geo-tagged photographic evidence, attendance grids of student participants, and brief summary analysis logs for every weekly wellness block.</w:t>
      </w:r>
    </w:p>
    <w:p w14:paraId="65D2D49C">
      <w:pPr>
        <w:pStyle w:val="23"/>
        <w:spacing w:after="80"/>
        <w:jc w:val="both"/>
      </w:pPr>
      <w:r>
        <w:rPr>
          <w:b/>
          <w:color w:val="0F172A"/>
        </w:rPr>
        <w:t xml:space="preserve">The Biannual External Health Audit: </w:t>
      </w:r>
      <w:r>
        <w:t>An integrated assessment conducted by empanelled local medical experts from Aligarh to verify infirmary inventory readiness, structural sanitation standards, water purity certifications, and student screening completion rates.</w:t>
      </w:r>
    </w:p>
    <w:p w14:paraId="18949757">
      <w:pPr>
        <w:pStyle w:val="23"/>
        <w:spacing w:after="80"/>
        <w:jc w:val="both"/>
      </w:pPr>
      <w:r>
        <w:rPr>
          <w:b/>
          <w:color w:val="0F172A"/>
        </w:rPr>
        <w:t xml:space="preserve">Annual Comprehensive Progress Reports: </w:t>
      </w:r>
      <w:r>
        <w:t>A consolidated school wellness metric report compiled by the Principal at the conclusion of the academic cycle. This is explicitly uploaded onto the CBSE OASIS portal and presented during the annual school governing board meetings.</w:t>
      </w:r>
    </w:p>
    <w:p w14:paraId="2A04607E">
      <w:pPr>
        <w:spacing w:before="240"/>
        <w:jc w:val="both"/>
      </w:pPr>
    </w:p>
    <w:sectPr>
      <w:pgSz w:w="12240" w:h="15840"/>
      <w:pgMar w:top="100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AD7018"/>
    <w:rsid w:val="2EA34B30"/>
    <w:rsid w:val="36572D75"/>
    <w:rsid w:val="5DBB299C"/>
    <w:rsid w:val="5F461D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334155"/>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974</Words>
  <Characters>6670</Characters>
  <Lines>0</Lines>
  <Paragraphs>0</Paragraphs>
  <TotalTime>7</TotalTime>
  <ScaleCrop>false</ScaleCrop>
  <LinksUpToDate>false</LinksUpToDate>
  <CharactersWithSpaces>7568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Anubhav lodhi</cp:lastModifiedBy>
  <cp:lastPrinted>2026-08-30T10:29:22Z</cp:lastPrinted>
  <dcterms:modified xsi:type="dcterms:W3CDTF">2026-08-30T10:34:45Z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eyJoZGlkIjoiYTNhNGI1NzBkODQ1OGFmN2U0YTczZWUxNGYwYzNiZjgiLCJ1c2VySWQiOiI1Njc2MDMxMTI4OTgifQ==</vt:lpwstr>
  </property>
  <property fmtid="{D5CDD505-2E9C-101B-9397-08002B2CF9AE}" pid="3" name="KSOProductBuildVer">
    <vt:lpwstr>1033-12.1.0.28032</vt:lpwstr>
  </property>
  <property fmtid="{D5CDD505-2E9C-101B-9397-08002B2CF9AE}" pid="4" name="ICV">
    <vt:lpwstr>94CDB5B7A8924BBE92D9606DA2EF18CA_12</vt:lpwstr>
  </property>
</Properties>
</file>