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mbria" w:cs="Cambria" w:eastAsia="Cambria" w:hAnsi="Cambria"/>
          <w:b/>
          <w:bCs/>
          <w:color w:val="0F6E56"/>
          <w:sz w:val="56"/>
          <w:szCs w:val="56"/>
        </w:rPr>
        <w:t xml:space="preserve">AI Agile Delivery Governance</w:t>
      </w:r>
    </w:p>
    <w:p>
      <w:pPr>
        <w:spacing w:after="80" w:before="120"/>
      </w:pPr>
      <w:r>
        <w:rPr>
          <w:rFonts w:ascii="Cambria" w:cs="Cambria" w:eastAsia="Cambria" w:hAnsi="Cambria"/>
          <w:color w:val="1E293B"/>
          <w:sz w:val="30"/>
          <w:szCs w:val="30"/>
        </w:rPr>
        <w:t xml:space="preserve">A governed two-agent system built on Microsoft Foundry</w:t>
      </w:r>
    </w:p>
    <w:p>
      <w:pPr>
        <w:spacing w:before="240"/>
      </w:pPr>
      <w:r>
        <w:rPr>
          <w:i/>
          <w:iCs/>
          <w:color w:val="475569"/>
          <w:sz w:val="24"/>
          <w:szCs w:val="24"/>
        </w:rPr>
        <w:t xml:space="preserve">Project overview</w:t>
      </w:r>
    </w:p>
    <w:p>
      <w:pPr>
        <w:spacing w:before="1200"/>
      </w:pPr>
      <w:r>
        <w:rPr>
          <w:b/>
          <w:bCs/>
          <w:color w:val="1E293B"/>
          <w:sz w:val="24"/>
          <w:szCs w:val="24"/>
        </w:rPr>
        <w:t xml:space="preserve">Rosario Barbagallo</w:t>
      </w:r>
    </w:p>
    <w:p>
      <w:r>
        <w:rPr>
          <w:color w:val="475569"/>
          <w:sz w:val="22"/>
          <w:szCs w:val="22"/>
        </w:rPr>
        <w:t xml:space="preserve">Software Architect</w:t>
      </w:r>
    </w:p>
    <w:p>
      <w:r>
        <w:rPr>
          <w:color w:val="475569"/>
          <w:sz w:val="22"/>
          <w:szCs w:val="22"/>
        </w:rPr>
        <w:t xml:space="preserve">Microsoft Cloud &amp; AI Frontier Week — Build &amp; Scale AI Agents Hackathon</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Executive summary</w:t>
      </w:r>
    </w:p>
    <w:p>
      <w:pPr>
        <w:spacing w:after="140" w:line="288"/>
      </w:pPr>
      <w:r>
        <w:rPr>
          <w:color w:val="1E293B"/>
          <w:sz w:val="22"/>
          <w:szCs w:val="22"/>
        </w:rPr>
        <w:t xml:space="preserve">AI Agile Delivery Governance is a governed, two-agent system built on Microsoft Foundry. It takes a raw user story and decides — automatically and consistently — whether it is ready to be planned. A story that meets the bar is turned into ready-to-build work; a story that doesn't is returned to its author with explicit, actionable feedback.</w:t>
      </w:r>
    </w:p>
    <w:p>
      <w:pPr>
        <w:spacing w:after="140" w:line="288"/>
      </w:pPr>
      <w:r>
        <w:rPr>
          <w:color w:val="1E293B"/>
          <w:sz w:val="22"/>
          <w:szCs w:val="22"/>
        </w:rPr>
        <w:t xml:space="preserve">The system is built from two agents with deliberately opposite jobs: one evaluates, the other plans. Between them sits a quality gate that branches, so weak stories never reach planning. Every agent decision is traced into Application Insights and measured against a labelled dataset, so the output can be trusted because it is measured — not because it sounds confident.</w:t>
      </w:r>
    </w:p>
    <w:p>
      <w:pPr>
        <w:spacing w:after="140" w:line="288"/>
      </w:pPr>
      <w:r>
        <w:rPr>
          <w:color w:val="1E293B"/>
          <w:sz w:val="22"/>
          <w:szCs w:val="22"/>
        </w:rPr>
        <w:t xml:space="preserve">The result is a working multi-agent system — agents you can </w:t>
      </w:r>
      <w:r>
        <w:rPr>
          <w:b/>
          <w:bCs/>
          <w:color w:val="1E293B"/>
          <w:sz w:val="22"/>
          <w:szCs w:val="22"/>
        </w:rPr>
        <w:t xml:space="preserve">trace, evaluate, and deploy</w:t>
      </w:r>
      <w:r>
        <w:rPr>
          <w:color w:val="1E293B"/>
          <w:sz w:val="22"/>
          <w:szCs w:val="22"/>
        </w:rPr>
        <w:t xml:space="preserve"> — not just a demo.</w:t>
      </w:r>
    </w:p>
    <w:p>
      <w:pPr>
        <w:pStyle w:val="Heading1"/>
        <w:spacing w:after="160" w:before="320"/>
      </w:pPr>
      <w:r>
        <w:t xml:space="preserve">The problem</w:t>
      </w:r>
    </w:p>
    <w:p>
      <w:pPr>
        <w:spacing w:after="140" w:line="288"/>
      </w:pPr>
      <w:r>
        <w:rPr>
          <w:color w:val="1E293B"/>
          <w:sz w:val="22"/>
          <w:szCs w:val="22"/>
        </w:rPr>
        <w:t xml:space="preserve">Every Agile team shares the same quiet inefficiency: user stories enter the backlog inconsistently. They arrive with vague wording, no acceptance criteria, no stated user value, or scope that is far too large to estimate. The cost is paid later, and twice over:</w:t>
      </w:r>
    </w:p>
    <w:p>
      <w:pPr>
        <w:pStyle w:val="ListParagraph"/>
        <w:numPr>
          <w:ilvl w:val="0"/>
          <w:numId w:val="2"/>
        </w:numPr>
        <w:spacing w:after="80" w:line="280"/>
      </w:pPr>
      <w:r>
        <w:rPr>
          <w:color w:val="1E293B"/>
          <w:sz w:val="22"/>
          <w:szCs w:val="22"/>
        </w:rPr>
        <w:t xml:space="preserve">Sprint planning time is spent refining stories that should never have reached the board.</w:t>
      </w:r>
    </w:p>
    <w:p>
      <w:pPr>
        <w:pStyle w:val="ListParagraph"/>
        <w:numPr>
          <w:ilvl w:val="0"/>
          <w:numId w:val="2"/>
        </w:numPr>
        <w:spacing w:after="80" w:line="280"/>
      </w:pPr>
      <w:r>
        <w:rPr>
          <w:color w:val="1E293B"/>
          <w:sz w:val="22"/>
          <w:szCs w:val="22"/>
        </w:rPr>
        <w:t xml:space="preserve">Occasionally the team builds the wrong thing, because an ambiguous story was interpreted three different ways.</w:t>
      </w:r>
    </w:p>
    <w:p>
      <w:pPr>
        <w:pStyle w:val="ListParagraph"/>
        <w:numPr>
          <w:ilvl w:val="0"/>
          <w:numId w:val="2"/>
        </w:numPr>
        <w:spacing w:after="80" w:line="280"/>
      </w:pPr>
      <w:r>
        <w:rPr>
          <w:color w:val="1E293B"/>
          <w:sz w:val="22"/>
          <w:szCs w:val="22"/>
        </w:rPr>
        <w:t xml:space="preserve">Worst of all, the judgement “is this story good enough?” is made subjectively, and answered differently by every reviewer and on every day.</w:t>
      </w:r>
    </w:p>
    <w:p>
      <w:pPr>
        <w:spacing w:after="140" w:line="288"/>
      </w:pPr>
      <w:r>
        <w:rPr>
          <w:color w:val="1E293B"/>
          <w:sz w:val="22"/>
          <w:szCs w:val="22"/>
        </w:rPr>
        <w:t xml:space="preserve">There is no consistent, measurable bar — and nothing that records why a story was accepted or sent back.</w:t>
      </w:r>
    </w:p>
    <w:p>
      <w:pPr>
        <w:pStyle w:val="Heading1"/>
        <w:spacing w:after="160" w:before="320"/>
      </w:pPr>
      <w:r>
        <w:t xml:space="preserve">The solution</w:t>
      </w:r>
    </w:p>
    <w:p>
      <w:pPr>
        <w:spacing w:after="140" w:line="288"/>
      </w:pPr>
      <w:r>
        <w:rPr>
          <w:color w:val="1E293B"/>
          <w:sz w:val="22"/>
          <w:szCs w:val="22"/>
        </w:rPr>
        <w:t xml:space="preserve">Two purpose-built agents with opposite cognitive jobs, and a quality gate between them.</w:t>
      </w:r>
    </w:p>
    <w:p>
      <w:pPr>
        <w:pStyle w:val="Heading2"/>
        <w:spacing w:after="120" w:before="240"/>
      </w:pPr>
      <w:r>
        <w:t xml:space="preserve">Agent 1 — Backlog Governance Agent</w:t>
      </w:r>
    </w:p>
    <w:p>
      <w:pPr>
        <w:spacing w:after="140" w:line="288"/>
      </w:pPr>
      <w:r>
        <w:rPr>
          <w:color w:val="1E293B"/>
          <w:sz w:val="22"/>
          <w:szCs w:val="22"/>
        </w:rPr>
        <w:t xml:space="preserve">Its only job is to evaluate. It scores a user story against the INVEST criteria and the team's Definition of Ready, then returns a structured verdict: an overall score, a pass-or-fail gate decision, the per-dimension INVEST scores, and an explicit, atomic list of issues. It never proposes tasks or estimates.</w:t>
      </w:r>
    </w:p>
    <w:p>
      <w:pPr>
        <w:pStyle w:val="Heading2"/>
        <w:spacing w:after="120" w:before="240"/>
      </w:pPr>
      <w:r>
        <w:t xml:space="preserve">Agent 2 — Sprint Planning Agent</w:t>
      </w:r>
    </w:p>
    <w:p>
      <w:pPr>
        <w:spacing w:after="140" w:line="288"/>
      </w:pPr>
      <w:r>
        <w:rPr>
          <w:color w:val="1E293B"/>
          <w:sz w:val="22"/>
          <w:szCs w:val="22"/>
        </w:rPr>
        <w:t xml:space="preserve">Its only job is to plan. It receives a story that has already passed the gate, takes its quality as given, and produces the delivery plan: a story-point estimate with rationale, a task breakdown, the Definition of Done, and the risks. It never re-judges quality.</w:t>
      </w:r>
    </w:p>
    <w:p>
      <w:pPr>
        <w:spacing w:after="140" w:line="288"/>
      </w:pPr>
      <w:r>
        <w:rPr>
          <w:color w:val="1E293B"/>
          <w:sz w:val="22"/>
          <w:szCs w:val="22"/>
        </w:rPr>
        <w:t xml:space="preserve">This separation is the heart of the design. Because the two agents have genuinely different responsibilities — critique versus creation — the system is a real multi-agent pipeline rather than one prompt cut in two. Each agent is independently testable, traceable, and evaluable.</w:t>
      </w:r>
    </w:p>
    <w:p>
      <w:pPr>
        <w:pStyle w:val="Heading1"/>
        <w:spacing w:after="160" w:before="320"/>
      </w:pPr>
      <w:r>
        <w:t xml:space="preserve">The quality gate: a branch, not a pipe</w:t>
      </w:r>
    </w:p>
    <w:p>
      <w:pPr>
        <w:spacing w:after="140" w:line="288"/>
      </w:pPr>
      <w:r>
        <w:rPr>
          <w:color w:val="1E293B"/>
          <w:sz w:val="22"/>
          <w:szCs w:val="22"/>
        </w:rPr>
        <w:t xml:space="preserve">A linear hand-off — story, then critique, then plan — would happily plan stories that aren't ready. The quality gate prevents that by branching on the Governance Agent's decision:</w:t>
      </w:r>
    </w:p>
    <w:p>
      <w:pPr>
        <w:pStyle w:val="ListParagraph"/>
        <w:numPr>
          <w:ilvl w:val="0"/>
          <w:numId w:val="2"/>
        </w:numPr>
        <w:spacing w:after="80" w:line="280"/>
      </w:pPr>
      <w:r>
        <w:rPr>
          <w:color w:val="1E293B"/>
          <w:sz w:val="22"/>
          <w:szCs w:val="22"/>
        </w:rPr>
        <w:t xml:space="preserve">Pass → the story flows to the Planning Agent and becomes ready-to-build work.</w:t>
      </w:r>
    </w:p>
    <w:p>
      <w:pPr>
        <w:pStyle w:val="ListParagraph"/>
        <w:numPr>
          <w:ilvl w:val="0"/>
          <w:numId w:val="2"/>
        </w:numPr>
        <w:spacing w:after="80" w:line="280"/>
      </w:pPr>
      <w:r>
        <w:rPr>
          <w:color w:val="1E293B"/>
          <w:sz w:val="22"/>
          <w:szCs w:val="22"/>
        </w:rPr>
        <w:t xml:space="preserve">Fail → the story is returned with its explicit issues and stops.</w:t>
      </w:r>
    </w:p>
    <w:p>
      <w:pPr>
        <w:spacing w:after="140" w:line="288"/>
      </w:pPr>
      <w:r>
        <w:rPr>
          <w:color w:val="1E293B"/>
          <w:sz w:val="22"/>
          <w:szCs w:val="22"/>
        </w:rPr>
        <w:t xml:space="preserve">That branch is what makes the workflow governed: bad stories never reach planning, and the gate pass-rate becomes a measurable quality signal for the backlog.</w:t>
      </w:r>
    </w:p>
    <w:p>
      <w:pPr>
        <w:spacing w:after="140" w:line="288"/>
      </w:pPr>
      <w:r>
        <w:rPr>
          <w:b/>
          <w:bCs/>
          <w:color w:val="1E293B"/>
          <w:sz w:val="22"/>
          <w:szCs w:val="22"/>
        </w:rPr>
        <w:t xml:space="preserve">Structured output is the linchpin. </w:t>
      </w:r>
      <w:r>
        <w:rPr>
          <w:color w:val="1E293B"/>
          <w:sz w:val="22"/>
          <w:szCs w:val="22"/>
        </w:rPr>
        <w:t xml:space="preserve">Having Agent 1 return a JSON verdict does double duty: it makes the gate </w:t>
      </w:r>
      <w:r>
        <w:rPr>
          <w:i/>
          <w:iCs/>
          <w:color w:val="1E293B"/>
          <w:sz w:val="22"/>
          <w:szCs w:val="22"/>
        </w:rPr>
        <w:t xml:space="preserve">actionable</w:t>
      </w:r>
      <w:r>
        <w:rPr>
          <w:color w:val="1E293B"/>
          <w:sz w:val="22"/>
          <w:szCs w:val="22"/>
        </w:rPr>
        <w:t xml:space="preserve"> (the workflow can branch on a real boolean) and the agent </w:t>
      </w:r>
      <w:r>
        <w:rPr>
          <w:i/>
          <w:iCs/>
          <w:color w:val="1E293B"/>
          <w:sz w:val="22"/>
          <w:szCs w:val="22"/>
        </w:rPr>
        <w:t xml:space="preserve">measurable</w:t>
      </w:r>
      <w:r>
        <w:rPr>
          <w:color w:val="1E293B"/>
          <w:sz w:val="22"/>
          <w:szCs w:val="22"/>
        </w:rPr>
        <w:t xml:space="preserve"> (the evaluation can score its issues and gate decision against ground truth). Without it, you have neither a reliable gate nor a meaningful evaluation.</w:t>
      </w:r>
    </w:p>
    <w:p>
      <w:pPr>
        <w:pStyle w:val="Heading1"/>
        <w:spacing w:after="160" w:before="320"/>
      </w:pPr>
      <w:r>
        <w:t xml:space="preserve">Built on Microsoft Foundry</w:t>
      </w:r>
    </w:p>
    <w:p>
      <w:pPr>
        <w:spacing w:after="140" w:line="288"/>
      </w:pPr>
      <w:r>
        <w:rPr>
          <w:color w:val="1E293B"/>
          <w:sz w:val="22"/>
          <w:szCs w:val="22"/>
        </w:rPr>
        <w:t xml:space="preserve">The system is implemented in the same code-first idiom as the Frontier Week Hackathon scenarios, across all five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160"/>
      </w:tblGrid>
      <w:tr>
        <w:trPr>
          <w:tblHeader/>
        </w:trPr>
        <w:tc>
          <w:tcPr>
            <w:tcW w:type="dxa" w:w="2700"/>
            <w:tcBorders>
              <w:top w:val="single" w:color="CBD5E1" w:sz="1"/>
              <w:left w:val="single" w:color="CBD5E1" w:sz="1"/>
              <w:bottom w:val="single" w:color="CBD5E1" w:sz="1"/>
              <w:right w:val="single" w:color="CBD5E1" w:sz="1"/>
            </w:tcBorders>
            <w:shd w:fill="0F6E56" w:val="clear"/>
            <w:tcMar>
              <w:top w:type="dxa" w:w="80"/>
              <w:left w:type="dxa" w:w="120"/>
              <w:bottom w:type="dxa" w:w="80"/>
              <w:right w:type="dxa" w:w="120"/>
            </w:tcMar>
          </w:tcPr>
          <w:p>
            <w:r>
              <w:rPr>
                <w:b/>
                <w:bCs/>
                <w:color w:val="FFFFFF"/>
                <w:sz w:val="20"/>
                <w:szCs w:val="20"/>
              </w:rPr>
              <w:t xml:space="preserve">Pillar</w:t>
            </w:r>
          </w:p>
        </w:tc>
        <w:tc>
          <w:tcPr>
            <w:tcW w:type="dxa" w:w="3500"/>
            <w:tcBorders>
              <w:top w:val="single" w:color="CBD5E1" w:sz="1"/>
              <w:left w:val="single" w:color="CBD5E1" w:sz="1"/>
              <w:bottom w:val="single" w:color="CBD5E1" w:sz="1"/>
              <w:right w:val="single" w:color="CBD5E1" w:sz="1"/>
            </w:tcBorders>
            <w:shd w:fill="0F6E56" w:val="clear"/>
            <w:tcMar>
              <w:top w:type="dxa" w:w="80"/>
              <w:left w:type="dxa" w:w="120"/>
              <w:bottom w:type="dxa" w:w="80"/>
              <w:right w:type="dxa" w:w="120"/>
            </w:tcMar>
          </w:tcPr>
          <w:p>
            <w:r>
              <w:rPr>
                <w:b/>
                <w:bCs/>
                <w:color w:val="FFFFFF"/>
                <w:sz w:val="20"/>
                <w:szCs w:val="20"/>
              </w:rPr>
              <w:t xml:space="preserve">Foundry capability</w:t>
            </w:r>
          </w:p>
        </w:tc>
        <w:tc>
          <w:tcPr>
            <w:tcW w:type="dxa" w:w="3160"/>
            <w:tcBorders>
              <w:top w:val="single" w:color="CBD5E1" w:sz="1"/>
              <w:left w:val="single" w:color="CBD5E1" w:sz="1"/>
              <w:bottom w:val="single" w:color="CBD5E1" w:sz="1"/>
              <w:right w:val="single" w:color="CBD5E1" w:sz="1"/>
            </w:tcBorders>
            <w:shd w:fill="0F6E56" w:val="clear"/>
            <w:tcMar>
              <w:top w:type="dxa" w:w="80"/>
              <w:left w:type="dxa" w:w="120"/>
              <w:bottom w:type="dxa" w:w="80"/>
              <w:right w:type="dxa" w:w="120"/>
            </w:tcMar>
          </w:tcPr>
          <w:p>
            <w:r>
              <w:rPr>
                <w:b/>
                <w:bCs/>
                <w:color w:val="FFFFFF"/>
                <w:sz w:val="20"/>
                <w:szCs w:val="20"/>
              </w:rPr>
              <w:t xml:space="preserve">In the project</w:t>
            </w:r>
          </w:p>
        </w:tc>
      </w:tr>
      <w:tr>
        <w:trPr>
          <w:tblHeader w:val="false"/>
        </w:trP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Purpose-built agents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Agent Service (PromptAgentDefinition, create_version)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challenge-1-build/agents.py</w:t>
            </w:r>
          </w:p>
        </w:tc>
      </w:tr>
      <w:tr>
        <w:trPr>
          <w:tblHeader w:val="false"/>
        </w:trP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Tools &amp; grounding</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FunctionTool + INVEST/DoR rules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check_story_quality, quality_rules.py</w:t>
            </w:r>
          </w:p>
        </w:tc>
      </w:tr>
      <w:tr>
        <w:trPr>
          <w:tblHeader w:val="false"/>
        </w:trP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Observability</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AIProjectInstrumentor → Application Insights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challenge-2-monitor/monitor.py</w:t>
            </w:r>
          </w:p>
        </w:tc>
      </w:tr>
      <w:tr>
        <w:trPr>
          <w:tblHeader w:val="false"/>
        </w:trP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Quality evaluation</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LLM-as-judge over a labelled dataset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challenge-3-evaluate/eval_portal.jsonl</w:t>
            </w:r>
          </w:p>
        </w:tc>
      </w:tr>
      <w:tr>
        <w:trPr>
          <w:tblHeader w:val="false"/>
        </w:trPr>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Orchestration</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Responses API + WorkflowAgentDefinition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challenge-4-deploy/deploy.py</w:t>
            </w:r>
          </w:p>
        </w:tc>
      </w:tr>
    </w:tbl>
    <w:p>
      <w:pPr>
        <w:spacing w:after="120"/>
      </w:pPr>
    </w:p>
    <w:p>
      <w:pPr>
        <w:spacing w:after="140" w:line="288"/>
      </w:pPr>
      <w:r>
        <w:rPr>
          <w:color w:val="1E293B"/>
          <w:sz w:val="22"/>
          <w:szCs w:val="22"/>
        </w:rPr>
        <w:t xml:space="preserve">Both agents are created in the Foundry Agent Service and run through the Responses API with an agent reference. The Governance Agent resolves its tool calls in a function-call loop. The two agents are then wired into a deployable workflow agent that appears in the Foundry portal and can be invoked by name.</w:t>
      </w:r>
    </w:p>
    <w:p>
      <w:pPr>
        <w:pStyle w:val="Heading1"/>
        <w:spacing w:after="160" w:before="320"/>
      </w:pPr>
      <w:r>
        <w:t xml:space="preserve">Trust: observability and evaluation</w:t>
      </w:r>
    </w:p>
    <w:p>
      <w:pPr>
        <w:spacing w:after="140" w:line="288"/>
      </w:pPr>
      <w:r>
        <w:rPr>
          <w:color w:val="1E293B"/>
          <w:sz w:val="22"/>
          <w:szCs w:val="22"/>
        </w:rPr>
        <w:t xml:space="preserve">Governance is only real if it can be inspected and measured. Two pillars provide that.</w:t>
      </w:r>
    </w:p>
    <w:p>
      <w:pPr>
        <w:pStyle w:val="Heading2"/>
        <w:spacing w:after="120" w:before="240"/>
      </w:pPr>
      <w:r>
        <w:t xml:space="preserve">Observability</w:t>
      </w:r>
    </w:p>
    <w:p>
      <w:pPr>
        <w:spacing w:after="140" w:line="288"/>
      </w:pPr>
      <w:r>
        <w:rPr>
          <w:color w:val="1E293B"/>
          <w:sz w:val="22"/>
          <w:szCs w:val="22"/>
        </w:rPr>
        <w:t xml:space="preserve">Every agent call is traced into Application Insights via the SDK's GenAI instrumentation. Because the Governance Agent emits a structured verdict, the quality signal travels with the trace — so the gate pass-rate and the score distribution become queryable operational metrics, not just log lines.</w:t>
      </w:r>
    </w:p>
    <w:p>
      <w:pPr>
        <w:pStyle w:val="Heading2"/>
        <w:spacing w:after="120" w:before="240"/>
      </w:pPr>
      <w:r>
        <w:t xml:space="preserve">Evaluation</w:t>
      </w:r>
    </w:p>
    <w:p>
      <w:pPr>
        <w:spacing w:after="140" w:line="288"/>
      </w:pPr>
      <w:r>
        <w:rPr>
          <w:color w:val="1E293B"/>
          <w:sz w:val="22"/>
          <w:szCs w:val="22"/>
        </w:rPr>
        <w:t xml:space="preserve">The system is measured three ways. Correctness — does the gate decide right? — is scored offline against a hand-labelled golden set of fifteen stories: issue-detection precision 0.91, recall 0.98, and gate accuracy 0.93 (14 of 15 decisions matching the human label). Output quality is scored by the Foundry LLM-as-judge: coherence 4.7 out of 5, intent resolution 4.9, and fluency 4.0. Safety is a clean sweep across every Foundry safety evaluator — no violent, self-harm, sexual or hateful content, and the protected-material, code-vulnerability and indirect-attack checks all pass.</w:t>
      </w:r>
    </w:p>
    <w:p>
      <w:pPr>
        <w:spacing w:after="140" w:line="288"/>
      </w:pPr>
      <w:r>
        <w:rPr>
          <w:color w:val="1E293B"/>
          <w:sz w:val="22"/>
          <w:szCs w:val="22"/>
        </w:rPr>
        <w:t xml:space="preserve">A note from running the Foundry evaluation: the portal does not execute custom Python tools, so an early run of the Governance Agent stopped at its tool call without producing a verdict. The agent was therefore made self-sufficient — it evaluates the story text directly and treats the tool as an optional accelerator — so it is fully evaluable in the portal while the tool path remains intact for production. Full detail is in the project's EVALUATION document.</w:t>
      </w:r>
    </w:p>
    <w:p>
      <w:pPr>
        <w:spacing w:after="140" w:line="288"/>
      </w:pPr>
      <w:r>
        <w:rPr>
          <w:color w:val="1E293B"/>
          <w:sz w:val="22"/>
          <w:szCs w:val="22"/>
        </w:rPr>
        <w:t xml:space="preserve">Monitoring tells you the system is </w:t>
      </w:r>
      <w:r>
        <w:rPr>
          <w:i/>
          <w:iCs/>
          <w:color w:val="1E293B"/>
          <w:sz w:val="22"/>
          <w:szCs w:val="22"/>
        </w:rPr>
        <w:t xml:space="preserve">running</w:t>
      </w:r>
      <w:r>
        <w:rPr>
          <w:color w:val="1E293B"/>
          <w:sz w:val="22"/>
          <w:szCs w:val="22"/>
        </w:rPr>
        <w:t xml:space="preserve">; evaluation tells you it is </w:t>
      </w:r>
      <w:r>
        <w:rPr>
          <w:i/>
          <w:iCs/>
          <w:color w:val="1E293B"/>
          <w:sz w:val="22"/>
          <w:szCs w:val="22"/>
        </w:rPr>
        <w:t xml:space="preserve">right</w:t>
      </w:r>
      <w:r>
        <w:rPr>
          <w:color w:val="1E293B"/>
          <w:sz w:val="22"/>
          <w:szCs w:val="22"/>
        </w:rPr>
        <w:t xml:space="preserve">. A governance agent that confidently approves a vague, untestable story looks healthy to monitoring and is caught only by evaluation.</w:t>
      </w:r>
    </w:p>
    <w:p>
      <w:pPr>
        <w:pStyle w:val="Heading1"/>
        <w:spacing w:after="160" w:before="320"/>
      </w:pPr>
      <w:r>
        <w:t xml:space="preserve">Why it matters</w:t>
      </w:r>
    </w:p>
    <w:p>
      <w:pPr>
        <w:pStyle w:val="ListParagraph"/>
        <w:numPr>
          <w:ilvl w:val="0"/>
          <w:numId w:val="2"/>
        </w:numPr>
        <w:spacing w:after="80" w:line="280"/>
      </w:pPr>
      <w:r>
        <w:rPr>
          <w:color w:val="1E293B"/>
          <w:sz w:val="22"/>
          <w:szCs w:val="22"/>
        </w:rPr>
        <w:t xml:space="preserve">Faster, more consistent sprint planning — weak stories are filtered before they reach the board.</w:t>
      </w:r>
    </w:p>
    <w:p>
      <w:pPr>
        <w:pStyle w:val="ListParagraph"/>
        <w:numPr>
          <w:ilvl w:val="0"/>
          <w:numId w:val="2"/>
        </w:numPr>
        <w:spacing w:after="80" w:line="280"/>
      </w:pPr>
      <w:r>
        <w:rPr>
          <w:color w:val="1E293B"/>
          <w:sz w:val="22"/>
          <w:szCs w:val="22"/>
        </w:rPr>
        <w:t xml:space="preserve">A quality gate that is measurable instead of subjective — the pass-rate is a backlog-health KPI.</w:t>
      </w:r>
    </w:p>
    <w:p>
      <w:pPr>
        <w:pStyle w:val="ListParagraph"/>
        <w:numPr>
          <w:ilvl w:val="0"/>
          <w:numId w:val="2"/>
        </w:numPr>
        <w:spacing w:after="80" w:line="280"/>
      </w:pPr>
      <w:r>
        <w:rPr>
          <w:color w:val="1E293B"/>
          <w:sz w:val="22"/>
          <w:szCs w:val="22"/>
        </w:rPr>
        <w:t xml:space="preserve">A full audit trail — every decision is traced and every agent is evaluated.</w:t>
      </w:r>
    </w:p>
    <w:p>
      <w:pPr>
        <w:spacing w:after="140" w:line="288"/>
      </w:pPr>
      <w:r>
        <w:rPr>
          <w:color w:val="1E293B"/>
          <w:sz w:val="22"/>
          <w:szCs w:val="22"/>
        </w:rPr>
        <w:t xml:space="preserve">The deeper idea: this is a governance system that is </w:t>
      </w:r>
      <w:r>
        <w:rPr>
          <w:b/>
          <w:bCs/>
          <w:color w:val="1E293B"/>
          <w:sz w:val="22"/>
          <w:szCs w:val="22"/>
        </w:rPr>
        <w:t xml:space="preserve">itself governed</w:t>
      </w:r>
      <w:r>
        <w:rPr>
          <w:color w:val="1E293B"/>
          <w:sz w:val="22"/>
          <w:szCs w:val="22"/>
        </w:rPr>
        <w:t xml:space="preserve">. You don't trust its output because it sounds confident; you trust it because it is measured.</w:t>
      </w:r>
    </w:p>
    <w:p>
      <w:pPr>
        <w:pStyle w:val="Heading1"/>
        <w:spacing w:after="160" w:before="320"/>
      </w:pPr>
      <w:r>
        <w:t xml:space="preserve">Human-in-the-loop and the backlog-health dashboard</w:t>
      </w:r>
    </w:p>
    <w:p>
      <w:pPr>
        <w:spacing w:after="140" w:line="288"/>
      </w:pPr>
      <w:r>
        <w:rPr>
          <w:color w:val="1E293B"/>
          <w:sz w:val="22"/>
          <w:szCs w:val="22"/>
        </w:rPr>
        <w:t xml:space="preserve">The gate decision is three-way — pass, review, or reject. Stories the gate cannot confidently auto-decide (borderline scores, set by a configurable per-team review band, or stories that trip a hard blocker such as an unstated dependency) are routed to a person rather than guessed. The reviewer's accept-or-send-back decision is recorded and appended as a new ground-truth label, so the gate keeps improving on exactly the cases it found hard. That is the feedback loop closing.</w:t>
      </w:r>
    </w:p>
    <w:p>
      <w:pPr>
        <w:spacing w:after="140" w:line="288"/>
      </w:pPr>
      <w:r>
        <w:rPr>
          <w:color w:val="1E293B"/>
          <w:sz w:val="22"/>
          <w:szCs w:val="22"/>
        </w:rPr>
        <w:t xml:space="preserve">A web dashboard turns the per-story gate into a backlog-health instrument. Because every verdict is structured, the dashboard aggregates them into health signals — the gate pass-rate, recurring INVEST failures by dimension, the most common issues, and the human review queue with story ageing — over data the system already produces.</w:t>
      </w:r>
    </w:p>
    <w:p>
      <w:pPr>
        <w:spacing w:after="80" w:before="80"/>
        <w:jc w:val="center"/>
      </w:pPr>
      <w:r>
        <w:drawing>
          <wp:inline distT="0" distB="0" distL="0" distR="0">
            <wp:extent cx="57150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467225"/>
                    </a:xfrm>
                    <a:prstGeom prst="rect">
                      <a:avLst/>
                    </a:prstGeom>
                  </pic:spPr>
                </pic:pic>
              </a:graphicData>
            </a:graphic>
          </wp:inline>
        </w:drawing>
      </w:r>
    </w:p>
    <w:p>
      <w:pPr>
        <w:spacing w:after="160"/>
        <w:jc w:val="center"/>
      </w:pPr>
      <w:r>
        <w:rPr>
          <w:i/>
          <w:iCs/>
          <w:color w:val="475569"/>
          <w:sz w:val="18"/>
          <w:szCs w:val="18"/>
        </w:rPr>
        <w:t xml:space="preserve">The backlog-health dashboard with the human review queue.</w:t>
      </w:r>
    </w:p>
    <w:p>
      <w:pPr>
        <w:pStyle w:val="Heading1"/>
        <w:spacing w:after="160" w:before="320"/>
      </w:pPr>
      <w:r>
        <w:t xml:space="preserve">Repository and how to run</w:t>
      </w:r>
    </w:p>
    <w:p>
      <w:pPr>
        <w:spacing w:after="140" w:line="288"/>
      </w:pPr>
      <w:r>
        <w:rPr>
          <w:color w:val="1E293B"/>
          <w:sz w:val="22"/>
          <w:szCs w:val="22"/>
        </w:rPr>
        <w:t xml:space="preserve">The project mirrors the Frontier Week scenario structure (challenge-0 through challenge-4) so it can be dropped into a fork of the hackathon repository or run standalone after provisioning Foundry.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0F6E56" w:val="clear"/>
            <w:tcMar>
              <w:top w:type="dxa" w:w="80"/>
              <w:left w:type="dxa" w:w="120"/>
              <w:bottom w:type="dxa" w:w="80"/>
              <w:right w:type="dxa" w:w="120"/>
            </w:tcMar>
          </w:tcPr>
          <w:p>
            <w:r>
              <w:rPr>
                <w:b/>
                <w:bCs/>
                <w:color w:val="FFFFFF"/>
                <w:sz w:val="20"/>
                <w:szCs w:val="20"/>
              </w:rPr>
              <w:t xml:space="preserve">Step</w:t>
            </w:r>
          </w:p>
        </w:tc>
        <w:tc>
          <w:tcPr>
            <w:tcW w:type="dxa" w:w="7160"/>
            <w:tcBorders>
              <w:top w:val="single" w:color="CBD5E1" w:sz="1"/>
              <w:left w:val="single" w:color="CBD5E1" w:sz="1"/>
              <w:bottom w:val="single" w:color="CBD5E1" w:sz="1"/>
              <w:right w:val="single" w:color="CBD5E1" w:sz="1"/>
            </w:tcBorders>
            <w:shd w:fill="0F6E56" w:val="clear"/>
            <w:tcMar>
              <w:top w:type="dxa" w:w="80"/>
              <w:left w:type="dxa" w:w="120"/>
              <w:bottom w:type="dxa" w:w="80"/>
              <w:right w:type="dxa" w:w="120"/>
            </w:tcMar>
          </w:tcPr>
          <w:p>
            <w:r>
              <w:rPr>
                <w:b/>
                <w:bCs/>
                <w:color w:val="FFFFFF"/>
                <w:sz w:val="20"/>
                <w:szCs w:val="20"/>
              </w:rPr>
              <w:t xml:space="preserve">Command</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Configure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cp challenge-0-setup/.env.template .env  (fill in from deploy output)</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Install</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pip install -r requirements.txt  &amp;&amp;  az login</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Build agents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python challenge-1-build/agents.py</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Monitor</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python challenge-2-monitor/monitor.py</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Evaluate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Foundry portal → Build → Evaluations → upload eval_portal.jsonl</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Workflow</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python challenge-4-deploy/deploy.py</w:t>
            </w:r>
          </w:p>
        </w:tc>
      </w:tr>
      <w:tr>
        <w:trPr>
          <w:tblHeader w:val="false"/>
        </w:trP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Offline test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b w:val="false"/>
                <w:bCs w:val="false"/>
                <w:color w:val="1E293B"/>
                <w:sz w:val="20"/>
                <w:szCs w:val="20"/>
              </w:rPr>
              <w:t xml:space="preserve">pytest -q  (validates the gate logic, no Foundry needed)</w:t>
            </w:r>
          </w:p>
        </w:tc>
      </w:tr>
    </w:tbl>
    <w:p>
      <w:pPr>
        <w:spacing w:after="200"/>
      </w:pPr>
    </w:p>
    <w:p>
      <w:pPr>
        <w:spacing w:after="140" w:line="288"/>
      </w:pPr>
      <w:r>
        <w:rPr>
          <w:b/>
          <w:bCs/>
          <w:color w:val="0F6E56"/>
          <w:sz w:val="26"/>
          <w:szCs w:val="26"/>
        </w:rPr>
        <w:t xml:space="preserve">Governed delivery, from requirement to ready.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mbria" w:cs="Cambria" w:eastAsia="Cambria" w:hAnsi="Cambria"/>
      <w:b/>
      <w:bCs/>
      <w:color w:val="0F6E56"/>
      <w:sz w:val="30"/>
      <w:szCs w:val="30"/>
    </w:rPr>
  </w:style>
  <w:style w:type="paragraph" w:styleId="Heading2">
    <w:name w:val="Heading 2"/>
    <w:basedOn w:val="Normal"/>
    <w:next w:val="Normal"/>
    <w:qFormat/>
    <w:pPr>
      <w:spacing w:after="120" w:before="240"/>
      <w:outlineLvl w:val="1"/>
    </w:pPr>
    <w:rPr>
      <w:rFonts w:ascii="Cambria" w:cs="Cambria" w:eastAsia="Cambria" w:hAnsi="Cambria"/>
      <w:b/>
      <w:bCs/>
      <w:color w:val="02809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d7c7f01f1f18b01c1b27f5f3db416e56c6cadab.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Agile Delivery Governance</dc:title>
  <dc:creator>Rosario Barbagallo</dc:creator>
  <cp:lastModifiedBy>Un-named</cp:lastModifiedBy>
  <cp:revision>1</cp:revision>
  <dcterms:created xsi:type="dcterms:W3CDTF">2026-06-26T14:32:12.313Z</dcterms:created>
  <dcterms:modified xsi:type="dcterms:W3CDTF">2026-06-26T14:32:12.313Z</dcterms:modified>
</cp:coreProperties>
</file>

<file path=docProps/custom.xml><?xml version="1.0" encoding="utf-8"?>
<Properties xmlns="http://schemas.openxmlformats.org/officeDocument/2006/custom-properties" xmlns:vt="http://schemas.openxmlformats.org/officeDocument/2006/docPropsVTypes"/>
</file>