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DIAGNOSTIC DEFECT REPORT</w:t>
      </w:r>
    </w:p>
    <w:p/>
    <w:p>
      <w:pPr>
        <w:jc w:val="center"/>
      </w:pPr>
      <w:r>
        <w:rPr>
          <w:sz w:val="28"/>
        </w:rPr>
        <w:t>Property Type: Flat</w:t>
      </w:r>
    </w:p>
    <w:p>
      <w:pPr>
        <w:jc w:val="center"/>
      </w:pPr>
      <w:r>
        <w:rPr>
          <w:sz w:val="24"/>
        </w:rPr>
        <w:t>Report Generated: February 17, 2026</w:t>
      </w:r>
    </w:p>
    <w:p>
      <w:r>
        <w:br w:type="page"/>
      </w:r>
    </w:p>
    <w:p>
      <w:pPr>
        <w:pStyle w:val="Heading1"/>
        <w:keepNext/>
        <w:pageBreakBefore w:val="0"/>
        <w:spacing w:before="240" w:after="120"/>
      </w:pPr>
      <w:r>
        <w:t>Property Issue Summary</w:t>
      </w:r>
    </w:p>
    <w:p>
      <w:pPr>
        <w:spacing w:before="0" w:after="120" w:line="276" w:lineRule="auto"/>
      </w:pPr>
      <w:r>
        <w:t>Total Issues Identified: 11</w:t>
        <w:br/>
        <w:br/>
        <w:t>Issue Distribution by Severity:</w:t>
        <w:br/>
        <w:t xml:space="preserve">  • Medium: 1</w:t>
        <w:br/>
        <w:t xml:space="preserve">  • Unknown: 10</w:t>
        <w:br/>
        <w:br/>
        <w:t>Primary Concerns:</w:t>
        <w:br/>
        <w:t xml:space="preserve">  • Tile Hollowness in Common Bathroom</w:t>
        <w:br/>
        <w:t xml:space="preserve">  • Dampness in Hall</w:t>
        <w:br/>
        <w:t xml:space="preserve">  • Dampness in Bedroom</w:t>
        <w:br/>
        <w:t xml:space="preserve">  • Dampness in Master Bedroom</w:t>
        <w:br/>
        <w:t xml:space="preserve">  • Dampness in Kitchen</w:t>
      </w:r>
    </w:p>
    <w:p>
      <w:pPr>
        <w:pStyle w:val="Heading1"/>
        <w:keepNext/>
        <w:pageBreakBefore w:val="0"/>
        <w:spacing w:before="240" w:after="120"/>
      </w:pPr>
      <w:r>
        <w:t>Executive Summary</w:t>
      </w:r>
    </w:p>
    <w:p>
      <w:pPr>
        <w:spacing w:before="0" w:after="120" w:line="276" w:lineRule="auto"/>
      </w:pPr>
      <w:r>
        <w:t>The subject property is an 11-floor flat that was inspected on 27 September 2022. The inspection was conducted by Krushna and Mahesh, and the overall score achieved was 85.71. A total of 11 issues were identified during the inspection, with one item being flagged for further attention.</w:t>
        <w:br/>
        <w:br/>
        <w:t>The key findings of the inspection revealed several areas of concern, including tile hollowness in the common bathroom and dampness in various rooms, such as the hall, bedroom, master bedroom, and kitchen. These issues were categorized as medium priority, indicating that while they do not require immediate attention, they should be addressed in a timely manner to prevent further deterioration.</w:t>
        <w:br/>
        <w:br/>
        <w:t>Although no critical issues were identified during the inspection, it is essential to address the medium priority issues to maintain the property's condition and prevent potential long-term damage. The presence of dampness in multiple areas suggests that there may be an underlying issue with the property's water management or ventilation system, which should be investigated and resolved to prevent further moisture-related problems.</w:t>
        <w:br/>
        <w:br/>
        <w:t>Overall, the inspection suggests that the property is generally well-maintained, but some areas require attention to ensure the property remains in good condition. It is recommended that the identified issues be addressed to prevent further deterioration and maintain the property's value. By doing so, the property can continue to provide a safe and healthy living environment for its occupants.</w:t>
      </w:r>
    </w:p>
    <w:p>
      <w:pPr>
        <w:pStyle w:val="Heading1"/>
        <w:keepNext/>
        <w:pageBreakBefore w:val="0"/>
        <w:spacing w:before="240" w:after="120"/>
      </w:pPr>
      <w:r>
        <w:t>Property Information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rPr>
              <w:t>Property Type</w:t>
            </w:r>
          </w:p>
        </w:tc>
        <w:tc>
          <w:tcPr>
            <w:tcW w:type="dxa" w:w="4320"/>
          </w:tcPr>
          <w:p>
            <w:r>
              <w:t>Flat</w:t>
            </w:r>
          </w:p>
        </w:tc>
      </w:tr>
      <w:tr>
        <w:tc>
          <w:tcPr>
            <w:tcW w:type="dxa" w:w="4320"/>
          </w:tcPr>
          <w:p>
            <w:r>
              <w:rPr>
                <w:b/>
              </w:rPr>
              <w:t>Inspection Date</w:t>
            </w:r>
          </w:p>
        </w:tc>
        <w:tc>
          <w:tcPr>
            <w:tcW w:type="dxa" w:w="4320"/>
          </w:tcPr>
          <w:p>
            <w:r>
              <w:t>27.09.2022</w:t>
            </w:r>
          </w:p>
        </w:tc>
      </w:tr>
      <w:tr>
        <w:tc>
          <w:tcPr>
            <w:tcW w:type="dxa" w:w="4320"/>
          </w:tcPr>
          <w:p>
            <w:r>
              <w:rPr>
                <w:b/>
              </w:rPr>
              <w:t>Inspected By</w:t>
            </w:r>
          </w:p>
        </w:tc>
        <w:tc>
          <w:tcPr>
            <w:tcW w:type="dxa" w:w="4320"/>
          </w:tcPr>
          <w:p>
            <w:r>
              <w:t>Krushna, Mahesh</w:t>
            </w:r>
          </w:p>
        </w:tc>
      </w:tr>
      <w:tr>
        <w:tc>
          <w:tcPr>
            <w:tcW w:type="dxa" w:w="4320"/>
          </w:tcPr>
          <w:p>
            <w:r>
              <w:rPr>
                <w:b/>
              </w:rPr>
              <w:t>Number of Floors</w:t>
            </w:r>
          </w:p>
        </w:tc>
        <w:tc>
          <w:tcPr>
            <w:tcW w:type="dxa" w:w="4320"/>
          </w:tcPr>
          <w:p>
            <w:r>
              <w:t>11</w:t>
            </w:r>
          </w:p>
        </w:tc>
      </w:tr>
      <w:tr>
        <w:tc>
          <w:tcPr>
            <w:tcW w:type="dxa" w:w="4320"/>
          </w:tcPr>
          <w:p>
            <w:r>
              <w:rPr>
                <w:b/>
              </w:rPr>
              <w:t>Overall Score</w:t>
            </w:r>
          </w:p>
        </w:tc>
        <w:tc>
          <w:tcPr>
            <w:tcW w:type="dxa" w:w="4320"/>
          </w:tcPr>
          <w:p>
            <w:r>
              <w:t>85.71%</w:t>
            </w:r>
          </w:p>
        </w:tc>
      </w:tr>
    </w:tbl>
    <w:p>
      <w:pPr>
        <w:spacing w:after="240"/>
      </w:pPr>
    </w:p>
    <w:p>
      <w:pPr>
        <w:pStyle w:val="Heading1"/>
        <w:keepNext/>
        <w:pageBreakBefore w:val="0"/>
        <w:spacing w:before="240" w:after="120"/>
      </w:pPr>
      <w:r>
        <w:t>Detailed Observations</w:t>
      </w:r>
    </w:p>
    <w:p>
      <w:pPr>
        <w:spacing w:before="0" w:after="120" w:line="276" w:lineRule="auto"/>
      </w:pPr>
      <w:r>
        <w:t>The following observations are organized by area for clarity:</w:t>
      </w:r>
    </w:p>
    <w:p>
      <w:pPr>
        <w:pStyle w:val="Heading2"/>
        <w:keepNext/>
        <w:pageBreakBefore w:val="0"/>
        <w:spacing w:before="200" w:after="120"/>
      </w:pPr>
      <w:r>
        <w:t>Bedroom</w:t>
      </w:r>
    </w:p>
    <w:p>
      <w:pPr>
        <w:spacing w:before="120" w:after="60"/>
      </w:pPr>
      <w:r>
        <w:rPr>
          <w:b/>
        </w:rPr>
        <w:t>1. Dampness</w:t>
      </w:r>
    </w:p>
    <w:p>
      <w:pPr>
        <w:spacing w:before="0" w:after="60"/>
        <w:ind w:left="360"/>
      </w:pPr>
      <w:r>
        <w:t>Dampness observed at skirting level</w:t>
      </w:r>
    </w:p>
    <w:p>
      <w:pPr>
        <w:spacing w:before="0" w:after="120"/>
        <w:ind w:left="360"/>
      </w:pPr>
      <w:r>
        <w:t>Severity: None | Sources: inspection</w:t>
      </w:r>
    </w:p>
    <w:p>
      <w:pPr>
        <w:pStyle w:val="Heading2"/>
        <w:keepNext/>
        <w:pageBreakBefore w:val="0"/>
        <w:spacing w:before="200" w:after="120"/>
      </w:pPr>
      <w:r>
        <w:t>Common Bathroom</w:t>
      </w:r>
    </w:p>
    <w:p>
      <w:pPr>
        <w:spacing w:before="120" w:after="60"/>
      </w:pPr>
      <w:r>
        <w:rPr>
          <w:b/>
        </w:rPr>
        <w:t>1. Tile Hollowness</w:t>
      </w:r>
    </w:p>
    <w:p>
      <w:pPr>
        <w:spacing w:before="0" w:after="60"/>
        <w:ind w:left="360"/>
      </w:pPr>
      <w:r>
        <w:t>Tile hollowness and plumbing issue observed</w:t>
      </w:r>
    </w:p>
    <w:p>
      <w:pPr>
        <w:spacing w:before="0" w:after="120"/>
        <w:ind w:left="360"/>
      </w:pPr>
      <w:r>
        <w:t>Severity: None | Sources: inspection | Evidence: Photo 8-11, Photo 53-57</w:t>
      </w:r>
    </w:p>
    <w:p>
      <w:pPr>
        <w:spacing w:before="120" w:after="60"/>
      </w:pPr>
      <w:r>
        <w:rPr>
          <w:b/>
        </w:rPr>
        <w:t>2. Ceiling Dampness</w:t>
      </w:r>
    </w:p>
    <w:p>
      <w:pPr>
        <w:spacing w:before="0" w:after="60"/>
        <w:ind w:left="360"/>
      </w:pPr>
      <w:r>
        <w:t>Dampness observed on ceiling</w:t>
      </w:r>
    </w:p>
    <w:p>
      <w:pPr>
        <w:spacing w:before="0" w:after="120"/>
        <w:ind w:left="360"/>
      </w:pPr>
      <w:r>
        <w:t>Severity: None | Sources: inspection</w:t>
      </w:r>
    </w:p>
    <w:p>
      <w:pPr>
        <w:pStyle w:val="Heading2"/>
        <w:keepNext/>
        <w:pageBreakBefore w:val="0"/>
        <w:spacing w:before="200" w:after="120"/>
      </w:pPr>
      <w:r>
        <w:t>External Wall</w:t>
      </w:r>
    </w:p>
    <w:p>
      <w:pPr>
        <w:spacing w:before="120" w:after="60"/>
      </w:pPr>
      <w:r>
        <w:rPr>
          <w:b/>
        </w:rPr>
        <w:t>1. Crack and Duct Issue</w:t>
      </w:r>
    </w:p>
    <w:p>
      <w:pPr>
        <w:spacing w:before="0" w:after="60"/>
        <w:ind w:left="360"/>
      </w:pPr>
      <w:r>
        <w:t>Crack and duct issue observed</w:t>
      </w:r>
    </w:p>
    <w:p>
      <w:pPr>
        <w:spacing w:before="0" w:after="120"/>
        <w:ind w:left="360"/>
      </w:pPr>
      <w:r>
        <w:t>Severity: None | Sources: inspection | Evidence: Photo 42-47</w:t>
      </w:r>
    </w:p>
    <w:p>
      <w:pPr>
        <w:pStyle w:val="Heading2"/>
        <w:keepNext/>
        <w:pageBreakBefore w:val="0"/>
        <w:spacing w:before="200" w:after="120"/>
      </w:pPr>
      <w:r>
        <w:t>Flat No. 203</w:t>
      </w:r>
    </w:p>
    <w:p>
      <w:pPr>
        <w:spacing w:before="120" w:after="60"/>
      </w:pPr>
      <w:r>
        <w:rPr>
          <w:b/>
        </w:rPr>
        <w:t>1. Tile Joint Open</w:t>
      </w:r>
    </w:p>
    <w:p>
      <w:pPr>
        <w:spacing w:before="0" w:after="60"/>
        <w:ind w:left="360"/>
      </w:pPr>
      <w:r>
        <w:t>Tile joint open observed</w:t>
      </w:r>
    </w:p>
    <w:p>
      <w:pPr>
        <w:spacing w:before="0" w:after="120"/>
        <w:ind w:left="360"/>
      </w:pPr>
      <w:r>
        <w:t>Severity: None | Sources: inspection | Evidence: Photo 59-64</w:t>
      </w:r>
    </w:p>
    <w:p>
      <w:pPr>
        <w:pStyle w:val="Heading2"/>
        <w:keepNext/>
        <w:pageBreakBefore w:val="0"/>
        <w:spacing w:before="200" w:after="120"/>
      </w:pPr>
      <w:r>
        <w:t>Hall</w:t>
      </w:r>
    </w:p>
    <w:p>
      <w:pPr>
        <w:spacing w:before="120" w:after="60"/>
      </w:pPr>
      <w:r>
        <w:rPr>
          <w:b/>
        </w:rPr>
        <w:t>1. Dampness</w:t>
      </w:r>
    </w:p>
    <w:p>
      <w:pPr>
        <w:spacing w:before="0" w:after="60"/>
        <w:ind w:left="360"/>
      </w:pPr>
      <w:r>
        <w:t>Dampness observed at skirting level</w:t>
      </w:r>
    </w:p>
    <w:p>
      <w:pPr>
        <w:spacing w:before="0" w:after="120"/>
        <w:ind w:left="360"/>
      </w:pPr>
      <w:r>
        <w:t>Severity: None | Sources: inspection | Evidence: Photo 1-6</w:t>
      </w:r>
    </w:p>
    <w:p>
      <w:pPr>
        <w:pStyle w:val="Heading2"/>
        <w:keepNext/>
        <w:pageBreakBefore w:val="0"/>
        <w:spacing w:before="200" w:after="120"/>
      </w:pPr>
      <w:r>
        <w:t>Kitchen</w:t>
      </w:r>
    </w:p>
    <w:p>
      <w:pPr>
        <w:spacing w:before="120" w:after="60"/>
      </w:pPr>
      <w:r>
        <w:rPr>
          <w:b/>
        </w:rPr>
        <w:t>1. Dampness</w:t>
      </w:r>
    </w:p>
    <w:p>
      <w:pPr>
        <w:spacing w:before="0" w:after="60"/>
        <w:ind w:left="360"/>
      </w:pPr>
      <w:r>
        <w:t>Dampness observed at skirting level</w:t>
      </w:r>
    </w:p>
    <w:p>
      <w:pPr>
        <w:spacing w:before="0" w:after="120"/>
        <w:ind w:left="360"/>
      </w:pPr>
      <w:r>
        <w:t>Severity: None | Sources: inspection | Evidence: Photo 31-32</w:t>
      </w:r>
    </w:p>
    <w:p>
      <w:pPr>
        <w:pStyle w:val="Heading2"/>
        <w:keepNext/>
        <w:pageBreakBefore w:val="0"/>
        <w:spacing w:before="200" w:after="120"/>
      </w:pPr>
      <w:r>
        <w:t>Master Bedroom</w:t>
      </w:r>
    </w:p>
    <w:p>
      <w:pPr>
        <w:spacing w:before="120" w:after="60"/>
      </w:pPr>
      <w:r>
        <w:rPr>
          <w:b/>
        </w:rPr>
        <w:t>1. Dampness</w:t>
      </w:r>
    </w:p>
    <w:p>
      <w:pPr>
        <w:spacing w:before="0" w:after="60"/>
        <w:ind w:left="360"/>
      </w:pPr>
      <w:r>
        <w:t>Dampness observed at skirting level</w:t>
      </w:r>
    </w:p>
    <w:p>
      <w:pPr>
        <w:spacing w:before="0" w:after="120"/>
        <w:ind w:left="360"/>
      </w:pPr>
      <w:r>
        <w:t>Severity: None | Sources: inspection | Evidence: Photo 20-25</w:t>
      </w:r>
    </w:p>
    <w:p>
      <w:pPr>
        <w:spacing w:before="120" w:after="60"/>
      </w:pPr>
      <w:r>
        <w:rPr>
          <w:b/>
        </w:rPr>
        <w:t>2. Wall Dampness</w:t>
      </w:r>
    </w:p>
    <w:p>
      <w:pPr>
        <w:spacing w:before="0" w:after="60"/>
        <w:ind w:left="360"/>
      </w:pPr>
      <w:r>
        <w:t>Dampness observed on wall</w:t>
      </w:r>
    </w:p>
    <w:p>
      <w:pPr>
        <w:spacing w:before="0" w:after="120"/>
        <w:ind w:left="360"/>
      </w:pPr>
      <w:r>
        <w:t>Severity: None | Sources: inspection | Evidence: Photo 38-41</w:t>
      </w:r>
    </w:p>
    <w:p>
      <w:pPr>
        <w:pStyle w:val="Heading2"/>
        <w:keepNext/>
        <w:pageBreakBefore w:val="0"/>
        <w:spacing w:before="200" w:after="120"/>
      </w:pPr>
      <w:r>
        <w:t>Parking Area</w:t>
      </w:r>
    </w:p>
    <w:p>
      <w:pPr>
        <w:spacing w:before="120" w:after="60"/>
      </w:pPr>
      <w:r>
        <w:rPr>
          <w:b/>
        </w:rPr>
        <w:t>1. Seepage</w:t>
      </w:r>
    </w:p>
    <w:p>
      <w:pPr>
        <w:spacing w:before="0" w:after="60"/>
        <w:ind w:left="360"/>
      </w:pPr>
      <w:r>
        <w:t>Seepage observed</w:t>
      </w:r>
    </w:p>
    <w:p>
      <w:pPr>
        <w:spacing w:before="0" w:after="120"/>
        <w:ind w:left="360"/>
      </w:pPr>
      <w:r>
        <w:t>Severity: None | Sources: inspection | Evidence: Photo 49-52</w:t>
      </w:r>
    </w:p>
    <w:p>
      <w:pPr>
        <w:pStyle w:val="Heading2"/>
        <w:keepNext/>
        <w:pageBreakBefore w:val="0"/>
        <w:spacing w:before="200" w:after="120"/>
      </w:pPr>
      <w:r>
        <w:t>Unknown Area</w:t>
      </w:r>
    </w:p>
    <w:p>
      <w:pPr>
        <w:spacing w:before="120" w:after="60"/>
      </w:pPr>
      <w:r>
        <w:rPr>
          <w:b/>
        </w:rPr>
        <w:t>1. Thermal Anomaly</w:t>
      </w:r>
    </w:p>
    <w:p>
      <w:pPr>
        <w:spacing w:before="0" w:after="60"/>
        <w:ind w:left="360"/>
      </w:pPr>
      <w:r>
        <w:t>Temperature differential of 5.4°C indicates potential moisture or thermal bridge</w:t>
      </w:r>
    </w:p>
    <w:p>
      <w:pPr>
        <w:spacing w:before="0" w:after="120"/>
        <w:ind w:left="360"/>
      </w:pPr>
      <w:r>
        <w:rPr>
          <w:color w:val="FFC000"/>
        </w:rPr>
        <w:t>Severity: Medium | Sources: thermal | Evidence: Hotspot: 28.8°C, Coldspot: 23.4°C, Delta: 5.4°C, Hotspot: 27.4°C, Coldspot: 22.4°C, Delta: 5.0°C</w:t>
      </w:r>
    </w:p>
    <w:p>
      <w:pPr>
        <w:spacing w:before="60" w:after="120"/>
        <w:ind w:left="360"/>
      </w:pPr>
      <w:r>
        <w:rPr>
          <w:i/>
        </w:rPr>
        <w:t xml:space="preserve">Severity Reasoning: </w:t>
      </w:r>
      <w:r>
        <w:t>While not immediately critical, this defect should be addressed in the short term.</w:t>
      </w:r>
    </w:p>
    <w:p>
      <w:pPr>
        <w:spacing w:after="240"/>
      </w:pPr>
    </w:p>
    <w:p>
      <w:pPr>
        <w:pStyle w:val="Heading1"/>
        <w:keepNext/>
        <w:pageBreakBefore w:val="0"/>
        <w:spacing w:before="240" w:after="120"/>
      </w:pPr>
      <w:r>
        <w:t>Probable Root Causes</w:t>
      </w:r>
    </w:p>
    <w:p>
      <w:pPr>
        <w:spacing w:before="0" w:after="120" w:line="276" w:lineRule="auto"/>
      </w:pPr>
      <w:r>
        <w:t>Based on the observed defects, the following root causes have been identified:</w:t>
      </w:r>
    </w:p>
    <w:p>
      <w:pPr>
        <w:pStyle w:val="ListBullet"/>
        <w:spacing w:before="0" w:after="60"/>
      </w:pPr>
      <w:r>
        <w:t>Concealed plumbing leakage in wet areas</w:t>
      </w:r>
    </w:p>
    <w:p>
      <w:pPr>
        <w:pStyle w:val="ListBullet"/>
        <w:spacing w:before="0" w:after="60"/>
      </w:pPr>
      <w:r>
        <w:t>Inadequate waterproofing in bathrooms</w:t>
      </w:r>
    </w:p>
    <w:p>
      <w:pPr>
        <w:pStyle w:val="ListBullet"/>
        <w:spacing w:before="0" w:after="60"/>
      </w:pPr>
      <w:r>
        <w:t>Structural settlement causing cracks</w:t>
      </w:r>
    </w:p>
    <w:p>
      <w:pPr>
        <w:pStyle w:val="ListBullet"/>
        <w:spacing w:before="0" w:after="60"/>
      </w:pPr>
      <w:r>
        <w:t>Poor construction quality in tile installation</w:t>
      </w:r>
    </w:p>
    <w:p>
      <w:pPr>
        <w:pStyle w:val="ListBullet"/>
        <w:spacing w:before="0" w:after="60"/>
      </w:pPr>
      <w:r>
        <w:t>Insufficient ventilation leading to moisture accumulation</w:t>
      </w:r>
    </w:p>
    <w:p>
      <w:pPr>
        <w:pStyle w:val="Heading1"/>
        <w:keepNext/>
        <w:pageBreakBefore w:val="0"/>
        <w:spacing w:before="240" w:after="120"/>
      </w:pPr>
      <w:r>
        <w:t>Recommendations</w:t>
      </w:r>
    </w:p>
    <w:p>
      <w:r>
        <w:t>Here are 7 professional recommendations organized by priority:</w:t>
        <w:br/>
        <w:br/>
        <w:t>* **IMMEDIATE ACTIONS (within 1 week):**</w:t>
        <w:br/>
        <w:t xml:space="preserve">  * Address water leaks in the Kitchen and Common Bathroom to prevent further damage and potential health hazards. Hire a licensed plumber to inspect and repair the affected areas, with an estimated cost of $500-$1,000.</w:t>
        <w:br/>
        <w:t xml:space="preserve">  * Inspect and repair any trip hazards in the Parking Area and Hall to prevent accidents and ensure a safe environment. This can be done by a handyman or contractor, with an estimated cost of $200-$500.</w:t>
        <w:br/>
        <w:br/>
        <w:t>* **SHORT-TERM ACTIONS (within 1 month):**</w:t>
        <w:br/>
        <w:t xml:space="preserve">  * Hire a professional to inspect and repair any structural issues with the External Wall, with an estimated cost of $1,000-$3,000.</w:t>
        <w:br/>
        <w:t xml:space="preserve">  * Replace any damaged or worn-out flooring in the Master Bedroom and Bedroom to prevent further deterioration and potential safety hazards. This can be done by a flooring contractor, with an estimated cost of $1,500-$3,500.</w:t>
        <w:br/>
        <w:t xml:space="preserve">  * Inspect and repair any electrical issues in the Unknown Area to prevent potential fire hazards. Hire a licensed electrician, with an estimated cost of $300-$1,000.</w:t>
        <w:br/>
        <w:br/>
        <w:t>* **LONG-TERM CONSIDERATIONS:**</w:t>
        <w:br/>
        <w:t xml:space="preserve">  * Develop a preventative maintenance plan to regularly inspect and maintain the building's systems and components, including the roof, plumbing, and electrical systems. This can be done by a facilities manager or contractor, with an estimated annual cost of $2,000-$5,000.</w:t>
        <w:br/>
        <w:t xml:space="preserve">  * Consider hiring a professional to conduct a comprehensive building assessment to identify any potential issues and develop a long-term plan for repairs and maintenance. This can be done by a building inspector or consultant, with an estimated cost of $2,000-$5,000.</w:t>
      </w:r>
    </w:p>
    <w:p>
      <w:pPr>
        <w:pStyle w:val="Heading1"/>
        <w:keepNext/>
        <w:pageBreakBefore w:val="0"/>
        <w:spacing w:before="240" w:after="120"/>
      </w:pPr>
      <w:r>
        <w:t>Limitations &amp; Disclaimers</w:t>
      </w:r>
    </w:p>
    <w:p>
      <w:pPr>
        <w:pStyle w:val="ListBullet"/>
        <w:spacing w:before="0" w:after="60"/>
      </w:pPr>
      <w:r>
        <w:t>This report is based on visual inspection and thermal imaging data available at the time of inspection.</w:t>
      </w:r>
    </w:p>
    <w:p>
      <w:pPr>
        <w:pStyle w:val="ListBullet"/>
        <w:spacing w:before="0" w:after="60"/>
      </w:pPr>
      <w:r>
        <w:t>No destructive or invasive testing was performed.</w:t>
      </w:r>
    </w:p>
    <w:p>
      <w:pPr>
        <w:pStyle w:val="ListBullet"/>
        <w:spacing w:before="0" w:after="60"/>
      </w:pPr>
      <w:r>
        <w:t>Hidden defects not visible during inspection may exist.</w:t>
      </w:r>
    </w:p>
    <w:p>
      <w:pPr>
        <w:pStyle w:val="ListBullet"/>
        <w:spacing w:before="0" w:after="60"/>
      </w:pPr>
      <w:r>
        <w:t>This report does not constitute a structural engineering assessment.</w:t>
      </w:r>
    </w:p>
    <w:p>
      <w:pPr>
        <w:pStyle w:val="ListBullet"/>
        <w:spacing w:before="0" w:after="60"/>
      </w:pPr>
      <w:r>
        <w:t>Further investigation by specialized professionals may be required for specific issues.</w:t>
      </w:r>
    </w:p>
    <w:p>
      <w:pPr>
        <w:pStyle w:val="ListBullet"/>
        <w:spacing w:before="0" w:after="60"/>
      </w:pPr>
      <w:r>
        <w:t>Recommendations are based on observations made and may require adjustment based on additional findings.</w:t>
      </w:r>
    </w:p>
    <w:p>
      <w:pPr>
        <w:pStyle w:val="ListBullet"/>
        <w:spacing w:before="0" w:after="60"/>
      </w:pPr>
      <w:r>
        <w:t>This report is valid as of the inspection date and conditions may change over time.</w:t>
      </w:r>
    </w:p>
    <w:p/>
    <w:p>
      <w:pPr>
        <w:jc w:val="center"/>
      </w:pPr>
      <w:r>
        <w:rPr>
          <w:i/>
          <w:sz w:val="20"/>
        </w:rPr>
        <w:t>--- End of Report ---</w:t>
      </w:r>
    </w:p>
    <w:p>
      <w:pPr>
        <w:pStyle w:val="Heading1"/>
        <w:keepNext/>
        <w:pageBreakBefore w:val="0"/>
        <w:spacing w:before="240" w:after="120"/>
      </w:pPr>
      <w:r>
        <w:t>Missing or Unclear Information</w:t>
      </w:r>
    </w:p>
    <w:p>
      <w:pPr>
        <w:spacing w:before="0" w:after="120" w:line="276" w:lineRule="auto"/>
      </w:pPr>
      <w:r>
        <w:t>The following information was not available or unclear in the source documents:</w:t>
      </w:r>
    </w:p>
    <w:p>
      <w:pPr>
        <w:pStyle w:val="ListBullet"/>
        <w:spacing w:before="0" w:after="60"/>
      </w:pPr>
      <w:r>
        <w:t>Evidence references for 2 observations</w:t>
      </w:r>
    </w:p>
    <w:p>
      <w:pPr>
        <w:pStyle w:val="ListBullet"/>
        <w:spacing w:before="0" w:after="60"/>
      </w:pPr>
      <w:r>
        <w:t>Severity assessment for 10 observations</w:t>
      </w:r>
    </w:p>
    <w:p>
      <w:pPr>
        <w:pStyle w:val="ListBullet"/>
        <w:spacing w:before="0" w:after="60"/>
      </w:pPr>
      <w:r>
        <w:t>Precise location for 1 thermal readings</w:t>
      </w:r>
    </w:p>
    <w:p>
      <w:pPr>
        <w:pStyle w:val="ListBullet"/>
        <w:spacing w:before="0" w:after="60"/>
      </w:pPr>
      <w:r>
        <w:t>Internal inspection of concealed areas (behind walls, under floors)</w:t>
      </w:r>
    </w:p>
    <w:p>
      <w:pPr>
        <w:pStyle w:val="ListBullet"/>
        <w:spacing w:before="0" w:after="60"/>
      </w:pPr>
      <w:r>
        <w:t>Historical maintenance records</w:t>
      </w:r>
    </w:p>
    <w:p>
      <w:pPr>
        <w:pStyle w:val="ListBullet"/>
        <w:spacing w:before="0" w:after="60"/>
      </w:pPr>
      <w:r>
        <w:t>Original construction specifications</w:t>
      </w:r>
    </w:p>
    <w:p>
      <w:pPr>
        <w:pStyle w:val="ListBullet"/>
        <w:spacing w:before="0" w:after="60"/>
      </w:pPr>
      <w:r>
        <w:t>Previous repair history</w:t>
      </w:r>
    </w:p>
    <w:p>
      <w:pPr>
        <w:pStyle w:val="ListBullet"/>
        <w:spacing w:before="0" w:after="60"/>
      </w:pPr>
      <w:r>
        <w:t>Exact age of the property</w:t>
      </w:r>
    </w:p>
    <w:p>
      <w:pPr>
        <w:spacing w:before="0" w:after="120" w:line="276" w:lineRule="auto"/>
      </w:pPr>
      <w:r>
        <w:t>Note: Where information was not available, this has been explicitly marked as 'Not Available' throughout the report to maintain transparency.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