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Chunk</w:t>
      </w:r>
      <w:r>
        <w:t xml:space="preserve"> </w:t>
      </w:r>
      <w:r>
        <w:t xml:space="preserve">Structure</w:t>
      </w:r>
      <w:r>
        <w:t xml:space="preserve"> </w:t>
      </w:r>
      <w:r>
        <w:t xml:space="preserve">&amp;</w:t>
      </w:r>
      <w:r>
        <w:t xml:space="preserve"> </w:t>
      </w:r>
      <w:r>
        <w:t xml:space="preserve">Retrieval</w:t>
      </w:r>
      <w:r>
        <w:t xml:space="preserve"> </w:t>
      </w:r>
      <w:r>
        <w:t xml:space="preserve">Architecture</w:t>
      </w:r>
    </w:p>
    <w:p>
      <w:pPr>
        <w:pStyle w:val="Subtitle"/>
      </w:pPr>
      <w:r>
        <w:t xml:space="preserve">Legal</w:t>
      </w:r>
      <w:r>
        <w:t xml:space="preserve"> </w:t>
      </w:r>
      <w:r>
        <w:t xml:space="preserve">AI</w:t>
      </w:r>
      <w:r>
        <w:t xml:space="preserve"> </w:t>
      </w:r>
      <w:r>
        <w:t xml:space="preserve">—</w:t>
      </w:r>
      <w:r>
        <w:t xml:space="preserve"> </w:t>
      </w:r>
      <w:r>
        <w:t xml:space="preserve">Technical</w:t>
      </w:r>
      <w:r>
        <w:t xml:space="preserve"> </w:t>
      </w:r>
      <w:r>
        <w:t xml:space="preserve">and</w:t>
      </w:r>
      <w:r>
        <w:t xml:space="preserve"> </w:t>
      </w:r>
      <w:r>
        <w:t xml:space="preserve">Product</w:t>
      </w:r>
      <w:r>
        <w:t xml:space="preserve"> </w:t>
      </w:r>
      <w:r>
        <w:t xml:space="preserve">Documentation</w:t>
      </w:r>
    </w:p>
    <w:p>
      <w:pPr>
        <w:pStyle w:val="FirstParagraph"/>
      </w:pPr>
      <w:r>
        <w:rPr>
          <w:iCs/>
          <w:i/>
        </w:rPr>
        <w:t xml:space="preserve">This document describes how Turkish court decisions are structured, chunked, tagged, and stored, and how retrieval works across both a keyword search engine (Meilisearch) and a semantic/vector database (Qdrant). It is written for both the engineering team and the product owner.</w:t>
      </w:r>
    </w:p>
    <w:p>
      <w:pPr>
        <w:pStyle w:val="BodyText"/>
      </w:pPr>
      <w:r>
        <w:rPr>
          <w:iCs/>
          <w:i/>
        </w:rPr>
        <w:t xml:space="preserve">Two pipelines are described throughout. The</w:t>
      </w:r>
      <w:r>
        <w:rPr>
          <w:iCs/>
          <w:i/>
        </w:rPr>
        <w:t xml:space="preserve"> </w:t>
      </w:r>
      <w:r>
        <w:rPr>
          <w:bCs/>
          <w:b/>
          <w:iCs/>
          <w:i/>
        </w:rPr>
        <w:t xml:space="preserve">regex pipeline</w:t>
      </w:r>
      <w:r>
        <w:rPr>
          <w:iCs/>
          <w:i/>
        </w:rPr>
        <w:t xml:space="preserve"> </w:t>
      </w:r>
      <w:r>
        <w:rPr>
          <w:iCs/>
          <w:i/>
        </w:rPr>
        <w:t xml:space="preserve">(sections 1–14) is the deterministic pattern-matching implementation that still runs in production. The</w:t>
      </w:r>
      <w:r>
        <w:rPr>
          <w:iCs/>
          <w:i/>
        </w:rPr>
        <w:t xml:space="preserve"> </w:t>
      </w:r>
      <w:r>
        <w:rPr>
          <w:bCs/>
          <w:b/>
          <w:iCs/>
          <w:i/>
        </w:rPr>
        <w:t xml:space="preserve">LLM pipeline</w:t>
      </w:r>
      <w:r>
        <w:rPr>
          <w:iCs/>
          <w:i/>
        </w:rPr>
        <w:t xml:space="preserve"> </w:t>
      </w:r>
      <w:r>
        <w:rPr>
          <w:iCs/>
          <w:i/>
        </w:rPr>
        <w:t xml:space="preserve">(section 15) is the Gemini-based implementation built and piloted 11–14 September 2026. Where the two differ on a field, both behaviours are stated.</w:t>
      </w:r>
    </w:p>
    <w:bookmarkStart w:id="20" w:name="why-this-exists"/>
    <w:p>
      <w:pPr>
        <w:pStyle w:val="Heading1"/>
      </w:pPr>
      <w:r>
        <w:t xml:space="preserve">1. Why This Exists</w:t>
      </w:r>
    </w:p>
    <w:p>
      <w:pPr>
        <w:pStyle w:val="FirstParagraph"/>
      </w:pPr>
      <w:r>
        <w:t xml:space="preserve">Decisions are long, formally structured legal documents. A lawyer asking</w:t>
      </w:r>
      <w:r>
        <w:t xml:space="preserve"> </w:t>
      </w:r>
      <w:r>
        <w:t xml:space="preserve">‘</w:t>
      </w:r>
      <w:r>
        <w:t xml:space="preserve">Did the Court find a violation of property rights, and why?</w:t>
      </w:r>
      <w:r>
        <w:t xml:space="preserve">’</w:t>
      </w:r>
      <w:r>
        <w:t xml:space="preserve"> </w:t>
      </w:r>
      <w:r>
        <w:t xml:space="preserve">should get a direct, accurate, citable answer — not a pile of raw paragraphs to read through.</w:t>
      </w:r>
    </w:p>
    <w:p>
      <w:pPr>
        <w:pStyle w:val="BodyText"/>
      </w:pPr>
      <w:r>
        <w:t xml:space="preserve">This chunking structure is the foundation that makes that possible. It breaks each decision into correctly-sized, correctly-labeled pieces, and generates a ready-made summary for each legal conclusion so the AI can answer quickly and cite its sources.</w:t>
      </w:r>
    </w:p>
    <w:bookmarkEnd w:id="20"/>
    <w:bookmarkStart w:id="21" w:name="the-two-storage-systems"/>
    <w:p>
      <w:pPr>
        <w:pStyle w:val="Heading1"/>
      </w:pPr>
      <w:r>
        <w:t xml:space="preserve">2. The Two Storage Systems</w:t>
      </w:r>
    </w:p>
    <w:p>
      <w:pPr>
        <w:pStyle w:val="FirstParagraph"/>
      </w:pPr>
      <w:r>
        <w:t xml:space="preserve">Every chunk gets stored in two places, for two different purposes:</w:t>
      </w:r>
    </w:p>
    <w:tbl>
      <w:tblPr>
        <w:tblStyle w:val="Table"/>
        <w:tblW w:type="pct" w:w="5000"/>
        <w:tblLook w:firstRow="1" w:lastRow="0" w:firstColumn="0" w:lastColumn="0" w:noHBand="0" w:noVBand="1" w:val="0420"/>
        <w:jc w:val="start"/>
      </w:tblPr>
      <w:tblGrid>
        <w:gridCol w:w="1080"/>
        <w:gridCol w:w="3780"/>
        <w:gridCol w:w="3060"/>
      </w:tblGrid>
      <w:tr>
        <w:trPr>
          <w:tblHeader w:val="true"/>
        </w:trPr>
        <w:tc>
          <w:tcPr/>
          <w:p>
            <w:pPr>
              <w:pStyle w:val="Compact"/>
              <w:jc w:val="left"/>
            </w:pPr>
            <w:r>
              <w:rPr>
                <w:bCs/>
                <w:b/>
              </w:rPr>
              <w:t xml:space="preserve">System</w:t>
            </w:r>
          </w:p>
        </w:tc>
        <w:tc>
          <w:tcPr/>
          <w:p>
            <w:pPr>
              <w:pStyle w:val="Compact"/>
              <w:jc w:val="left"/>
            </w:pPr>
            <w:r>
              <w:rPr>
                <w:bCs/>
                <w:b/>
              </w:rPr>
              <w:t xml:space="preserve">What it does</w:t>
            </w:r>
          </w:p>
        </w:tc>
        <w:tc>
          <w:tcPr/>
          <w:p>
            <w:pPr>
              <w:pStyle w:val="Compact"/>
              <w:jc w:val="left"/>
            </w:pPr>
            <w:r>
              <w:rPr>
                <w:bCs/>
                <w:b/>
              </w:rPr>
              <w:t xml:space="preserve">What goes in</w:t>
            </w:r>
          </w:p>
        </w:tc>
      </w:tr>
      <w:tr>
        <w:tc>
          <w:tcPr/>
          <w:p>
            <w:pPr>
              <w:pStyle w:val="Compact"/>
              <w:jc w:val="left"/>
            </w:pPr>
            <w:r>
              <w:t xml:space="preserve">Meilisearch</w:t>
            </w:r>
          </w:p>
        </w:tc>
        <w:tc>
          <w:tcPr/>
          <w:p>
            <w:pPr>
              <w:pStyle w:val="Compact"/>
              <w:jc w:val="left"/>
            </w:pPr>
            <w:r>
              <w:t xml:space="preserve">Keyword / text search. Finds chunks by exact words and terms. Fast, typo-tolerant.</w:t>
            </w:r>
          </w:p>
        </w:tc>
        <w:tc>
          <w:tcPr/>
          <w:p>
            <w:pPr>
              <w:pStyle w:val="Compact"/>
              <w:jc w:val="left"/>
            </w:pPr>
            <w:r>
              <w:t xml:space="preserve">The chunk</w:t>
            </w:r>
            <w:r>
              <w:t xml:space="preserve"> </w:t>
            </w:r>
            <w:r>
              <w:rPr>
                <w:rStyle w:val="VerbatimChar"/>
              </w:rPr>
              <w:t xml:space="preserve">text</w:t>
            </w:r>
            <w:r>
              <w:t xml:space="preserve"> </w:t>
            </w:r>
            <w:r>
              <w:t xml:space="preserve">field — the raw paragraph content.</w:t>
            </w:r>
          </w:p>
        </w:tc>
      </w:tr>
      <w:tr>
        <w:tc>
          <w:tcPr/>
          <w:p>
            <w:pPr>
              <w:pStyle w:val="Compact"/>
              <w:jc w:val="left"/>
            </w:pPr>
            <w:r>
              <w:t xml:space="preserve">Qdrant</w:t>
            </w:r>
          </w:p>
        </w:tc>
        <w:tc>
          <w:tcPr/>
          <w:p>
            <w:pPr>
              <w:pStyle w:val="Compact"/>
              <w:jc w:val="left"/>
            </w:pPr>
            <w:r>
              <w:t xml:space="preserve">Semantic / vector search. Finds chunks by meaning, even with different wording. Uses embeddings.</w:t>
            </w:r>
          </w:p>
        </w:tc>
        <w:tc>
          <w:tcPr/>
          <w:p>
            <w:pPr>
              <w:pStyle w:val="Compact"/>
              <w:jc w:val="left"/>
            </w:pPr>
            <w:r>
              <w:t xml:space="preserve">Embedding (vector) of the chunk text — one vector per chunk.</w:t>
            </w:r>
          </w:p>
        </w:tc>
      </w:tr>
    </w:tbl>
    <w:p>
      <w:pPr>
        <w:spacing w:before="0" w:after="0" w:line="120" w:lineRule="exact"/>
      </w:pPr>
    </w:p>
    <w:p>
      <w:pPr>
        <w:pStyle w:val="BodyText"/>
      </w:pPr>
      <w:r>
        <w:t xml:space="preserve">These two systems complement each other. Meilisearch handles precise term-matching (e.g. a specific article number), Qdrant handles conceptual matching (e.g. </w:t>
      </w:r>
      <w:r>
        <w:t xml:space="preserve">‘</w:t>
      </w:r>
      <w:r>
        <w:t xml:space="preserve">proportionality assessment</w:t>
      </w:r>
      <w:r>
        <w:t xml:space="preserve">’</w:t>
      </w:r>
      <w:r>
        <w:t xml:space="preserve"> </w:t>
      </w:r>
      <w:r>
        <w:t xml:space="preserve">even if those exact words aren’t in the chunk). Both use</w:t>
      </w:r>
      <w:r>
        <w:t xml:space="preserve"> </w:t>
      </w:r>
      <w:r>
        <w:rPr>
          <w:rStyle w:val="VerbatimChar"/>
        </w:rPr>
        <w:t xml:space="preserve">case_no</w:t>
      </w:r>
      <w:r>
        <w:t xml:space="preserve"> </w:t>
      </w:r>
      <w:r>
        <w:t xml:space="preserve">as a hard filter, not just a search term, so results never cross-contaminate across different court cases.</w:t>
      </w:r>
    </w:p>
    <w:bookmarkEnd w:id="21"/>
    <w:bookmarkStart w:id="22" w:name="what-a-chunk-is"/>
    <w:p>
      <w:pPr>
        <w:pStyle w:val="Heading1"/>
      </w:pPr>
      <w:r>
        <w:t xml:space="preserve">3. What a Chunk Is</w:t>
      </w:r>
    </w:p>
    <w:p>
      <w:pPr>
        <w:pStyle w:val="FirstParagraph"/>
      </w:pPr>
      <w:r>
        <w:t xml:space="preserve">A chunk is one retrievable piece of a court decision. Each chunk contains a group of consecutive paragraphs that share the same legal role (e.g. the Court’s reasoning, or the background facts), merged together and capped at a maximum size so it fits cleanly into both search systems.</w:t>
      </w:r>
    </w:p>
    <w:p>
      <w:pPr>
        <w:pStyle w:val="BlockText"/>
      </w:pPr>
      <w:r>
        <w:rPr>
          <w:bCs/>
          <w:b/>
        </w:rPr>
        <w:t xml:space="preserve">No TOC.</w:t>
      </w:r>
      <w:r>
        <w:t xml:space="preserve"> </w:t>
      </w:r>
      <w:r>
        <w:t xml:space="preserve">The document’s own section headings (Roman numerals, lettered subsections) are NOT stored in the chunk. Meilisearch and Qdrant don’t need them — Meilisearch searches the text directly, Qdrant embeds the text directly. Citations (§36) come from</w:t>
      </w:r>
      <w:r>
        <w:t xml:space="preserve"> </w:t>
      </w:r>
      <w:r>
        <w:rPr>
          <w:rStyle w:val="VerbatimChar"/>
        </w:rPr>
        <w:t xml:space="preserve">source_paragraph_ids</w:t>
      </w:r>
      <w:r>
        <w:t xml:space="preserve">, not section labels.</w:t>
      </w:r>
    </w:p>
    <w:bookmarkEnd w:id="22"/>
    <w:bookmarkStart w:id="23" w:name="chunk-fields-field-by-field"/>
    <w:p>
      <w:pPr>
        <w:pStyle w:val="Heading1"/>
      </w:pPr>
      <w:r>
        <w:t xml:space="preserve">4. Chunk Fields, Field by Field</w:t>
      </w:r>
    </w:p>
    <w:p>
      <w:pPr>
        <w:pStyle w:val="FirstParagraph"/>
      </w:pPr>
      <w:r>
        <w:t xml:space="preserve">Every chunk has exactly these fields:</w:t>
      </w:r>
    </w:p>
    <w:tbl>
      <w:tblPr>
        <w:tblStyle w:val="Table"/>
        <w:tblW w:type="pct" w:w="5000"/>
        <w:tblLook w:firstRow="1" w:lastRow="0" w:firstColumn="0" w:lastColumn="0" w:noHBand="0" w:noVBand="1" w:val="0420"/>
        <w:jc w:val="start"/>
      </w:tblPr>
      <w:tblGrid>
        <w:gridCol w:w="2168"/>
        <w:gridCol w:w="1037"/>
        <w:gridCol w:w="471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Purpose</w:t>
            </w:r>
          </w:p>
        </w:tc>
      </w:tr>
      <w:tr>
        <w:tc>
          <w:tcPr/>
          <w:p>
            <w:pPr>
              <w:pStyle w:val="Compact"/>
              <w:jc w:val="left"/>
            </w:pPr>
            <w:r>
              <w:rPr>
                <w:rStyle w:val="VerbatimChar"/>
              </w:rPr>
              <w:t xml:space="preserve">chunk_id</w:t>
            </w:r>
          </w:p>
        </w:tc>
        <w:tc>
          <w:tcPr/>
          <w:p>
            <w:pPr>
              <w:pStyle w:val="Compact"/>
              <w:jc w:val="left"/>
            </w:pPr>
            <w:r>
              <w:t xml:space="preserve">string</w:t>
            </w:r>
          </w:p>
        </w:tc>
        <w:tc>
          <w:tcPr/>
          <w:p>
            <w:pPr>
              <w:pStyle w:val="Compact"/>
              <w:jc w:val="left"/>
            </w:pPr>
            <w:r>
              <w:t xml:space="preserve">Unique identifier. If paragraphs were merged, shows the range — e.g. </w:t>
            </w:r>
            <w:r>
              <w:rPr>
                <w:rStyle w:val="VerbatimChar"/>
              </w:rPr>
              <w:t xml:space="preserve">p36_to_p39</w:t>
            </w:r>
            <w:r>
              <w:t xml:space="preserve">. In the LLM pipeline this is a deterministic UUID instead (15.5).</w:t>
            </w:r>
          </w:p>
        </w:tc>
      </w:tr>
      <w:tr>
        <w:tc>
          <w:tcPr/>
          <w:p>
            <w:pPr>
              <w:pStyle w:val="Compact"/>
              <w:jc w:val="left"/>
            </w:pPr>
            <w:r>
              <w:rPr>
                <w:rStyle w:val="VerbatimChar"/>
              </w:rPr>
              <w:t xml:space="preserve">case_no</w:t>
            </w:r>
          </w:p>
        </w:tc>
        <w:tc>
          <w:tcPr/>
          <w:p>
            <w:pPr>
              <w:pStyle w:val="Compact"/>
              <w:jc w:val="left"/>
            </w:pPr>
            <w:r>
              <w:t xml:space="preserve">string</w:t>
            </w:r>
          </w:p>
        </w:tc>
        <w:tc>
          <w:tcPr/>
          <w:p>
            <w:pPr>
              <w:pStyle w:val="Compact"/>
              <w:jc w:val="left"/>
            </w:pPr>
            <w:r>
              <w:t xml:space="preserve">Which court case this belongs to. Used as a hard filter in both Meilisearch and Qdrant — results never cross cases.</w:t>
            </w:r>
          </w:p>
        </w:tc>
      </w:tr>
      <w:tr>
        <w:tc>
          <w:tcPr/>
          <w:p>
            <w:pPr>
              <w:pStyle w:val="Compact"/>
              <w:jc w:val="left"/>
            </w:pPr>
            <w:r>
              <w:rPr>
                <w:rStyle w:val="VerbatimChar"/>
              </w:rPr>
              <w:t xml:space="preserve">source_paragraph_ids</w:t>
            </w:r>
          </w:p>
        </w:tc>
        <w:tc>
          <w:tcPr/>
          <w:p>
            <w:pPr>
              <w:pStyle w:val="Compact"/>
              <w:jc w:val="left"/>
            </w:pPr>
            <w:r>
              <w:t xml:space="preserve">array</w:t>
            </w:r>
          </w:p>
        </w:tc>
        <w:tc>
          <w:tcPr/>
          <w:p>
            <w:pPr>
              <w:pStyle w:val="Compact"/>
              <w:jc w:val="left"/>
            </w:pPr>
            <w:r>
              <w:t xml:space="preserve">The original court paragraph numbers (§18, §19, §20) merged into this chunk. Preserved for citation — so an AI can cite §36 correctly even after merging.</w:t>
            </w:r>
          </w:p>
        </w:tc>
      </w:tr>
      <w:tr>
        <w:tc>
          <w:tcPr/>
          <w:p>
            <w:pPr>
              <w:pStyle w:val="Compact"/>
              <w:jc w:val="left"/>
            </w:pPr>
            <w:r>
              <w:rPr>
                <w:rStyle w:val="VerbatimChar"/>
              </w:rPr>
              <w:t xml:space="preserve">text</w:t>
            </w:r>
          </w:p>
        </w:tc>
        <w:tc>
          <w:tcPr/>
          <w:p>
            <w:pPr>
              <w:pStyle w:val="Compact"/>
              <w:jc w:val="left"/>
            </w:pPr>
            <w:r>
              <w:t xml:space="preserve">string</w:t>
            </w:r>
          </w:p>
        </w:tc>
        <w:tc>
          <w:tcPr/>
          <w:p>
            <w:pPr>
              <w:pStyle w:val="Compact"/>
              <w:jc w:val="left"/>
            </w:pPr>
            <w:r>
              <w:t xml:space="preserve">The actual paragraph content. Goes to Meilisearch for keyword search. Gets embedded for Qdrant semantic search.</w:t>
            </w:r>
          </w:p>
        </w:tc>
      </w:tr>
      <w:tr>
        <w:tc>
          <w:tcPr/>
          <w:p>
            <w:pPr>
              <w:pStyle w:val="Compact"/>
              <w:jc w:val="left"/>
            </w:pPr>
            <w:r>
              <w:rPr>
                <w:rStyle w:val="VerbatimChar"/>
              </w:rPr>
              <w:t xml:space="preserve">char_length</w:t>
            </w:r>
          </w:p>
        </w:tc>
        <w:tc>
          <w:tcPr/>
          <w:p>
            <w:pPr>
              <w:pStyle w:val="Compact"/>
              <w:jc w:val="left"/>
            </w:pPr>
            <w:r>
              <w:t xml:space="preserve">integer</w:t>
            </w:r>
          </w:p>
        </w:tc>
        <w:tc>
          <w:tcPr/>
          <w:p>
            <w:pPr>
              <w:pStyle w:val="Compact"/>
              <w:jc w:val="left"/>
            </w:pPr>
            <w:r>
              <w:t xml:space="preserve">Character count of</w:t>
            </w:r>
            <w:r>
              <w:t xml:space="preserve"> </w:t>
            </w:r>
            <w:r>
              <w:rPr>
                <w:rStyle w:val="VerbatimChar"/>
              </w:rPr>
              <w:t xml:space="preserve">text</w:t>
            </w:r>
            <w:r>
              <w:t xml:space="preserve">. Kept under 2,000 chars so no chunk is too large for embedding. Size — not section boundaries — decides where chunks split.</w:t>
            </w:r>
          </w:p>
        </w:tc>
      </w:tr>
      <w:tr>
        <w:tc>
          <w:tcPr/>
          <w:p>
            <w:pPr>
              <w:pStyle w:val="Compact"/>
              <w:jc w:val="left"/>
            </w:pPr>
            <w:r>
              <w:rPr>
                <w:rStyle w:val="VerbatimChar"/>
              </w:rPr>
              <w:t xml:space="preserve">content_type</w:t>
            </w:r>
          </w:p>
        </w:tc>
        <w:tc>
          <w:tcPr/>
          <w:p>
            <w:pPr>
              <w:pStyle w:val="Compact"/>
              <w:jc w:val="left"/>
            </w:pPr>
            <w:r>
              <w:t xml:space="preserve">string</w:t>
            </w:r>
          </w:p>
        </w:tc>
        <w:tc>
          <w:tcPr/>
          <w:p>
            <w:pPr>
              <w:pStyle w:val="Compact"/>
              <w:jc w:val="left"/>
            </w:pPr>
            <w:r>
              <w:rPr>
                <w:rStyle w:val="VerbatimChar"/>
              </w:rPr>
              <w:t xml:space="preserve">reasoning</w:t>
            </w:r>
            <w:r>
              <w:t xml:space="preserve"> </w:t>
            </w:r>
            <w:r>
              <w:t xml:space="preserve">or</w:t>
            </w:r>
            <w:r>
              <w:t xml:space="preserve"> </w:t>
            </w:r>
            <w:r>
              <w:rPr>
                <w:rStyle w:val="VerbatimChar"/>
              </w:rPr>
              <w:t xml:space="preserve">ruling</w:t>
            </w:r>
            <w:r>
              <w:t xml:space="preserve">. Separates the Court’s analytical reasoning from its formal operative ruling.</w:t>
            </w:r>
          </w:p>
        </w:tc>
      </w:tr>
      <w:tr>
        <w:tc>
          <w:tcPr/>
          <w:p>
            <w:pPr>
              <w:pStyle w:val="Compact"/>
              <w:jc w:val="left"/>
            </w:pPr>
            <w:r>
              <w:rPr>
                <w:rStyle w:val="VerbatimChar"/>
              </w:rPr>
              <w:t xml:space="preserve">firac_role</w:t>
            </w:r>
          </w:p>
        </w:tc>
        <w:tc>
          <w:tcPr/>
          <w:p>
            <w:pPr>
              <w:pStyle w:val="Compact"/>
              <w:jc w:val="left"/>
            </w:pPr>
            <w:r>
              <w:t xml:space="preserve">string</w:t>
            </w:r>
          </w:p>
        </w:tc>
        <w:tc>
          <w:tcPr/>
          <w:p>
            <w:pPr>
              <w:pStyle w:val="Compact"/>
              <w:jc w:val="left"/>
            </w:pPr>
            <w:r>
              <w:rPr>
                <w:rStyle w:val="VerbatimChar"/>
              </w:rPr>
              <w:t xml:space="preserve">facts</w:t>
            </w:r>
            <w:r>
              <w:t xml:space="preserve"> </w:t>
            </w:r>
            <w:r>
              <w:t xml:space="preserve">|</w:t>
            </w:r>
            <w:r>
              <w:t xml:space="preserve"> </w:t>
            </w:r>
            <w:r>
              <w:rPr>
                <w:rStyle w:val="VerbatimChar"/>
              </w:rPr>
              <w:t xml:space="preserve">issue</w:t>
            </w:r>
            <w:r>
              <w:t xml:space="preserve"> </w:t>
            </w:r>
            <w:r>
              <w:t xml:space="preserve">|</w:t>
            </w:r>
            <w:r>
              <w:t xml:space="preserve"> </w:t>
            </w:r>
            <w:r>
              <w:rPr>
                <w:rStyle w:val="VerbatimChar"/>
              </w:rPr>
              <w:t xml:space="preserve">rule</w:t>
            </w:r>
            <w:r>
              <w:t xml:space="preserve"> </w:t>
            </w:r>
            <w:r>
              <w:t xml:space="preserve">|</w:t>
            </w:r>
            <w:r>
              <w:t xml:space="preserve"> </w:t>
            </w:r>
            <w:r>
              <w:rPr>
                <w:rStyle w:val="VerbatimChar"/>
              </w:rPr>
              <w:t xml:space="preserve">application</w:t>
            </w:r>
            <w:r>
              <w:t xml:space="preserve"> </w:t>
            </w:r>
            <w:r>
              <w:t xml:space="preserve">|</w:t>
            </w:r>
            <w:r>
              <w:t xml:space="preserve"> </w:t>
            </w:r>
            <w:r>
              <w:rPr>
                <w:rStyle w:val="VerbatimChar"/>
              </w:rPr>
              <w:t xml:space="preserve">conclusion</w:t>
            </w:r>
            <w:r>
              <w:t xml:space="preserve"> </w:t>
            </w:r>
            <w:r>
              <w:t xml:space="preserve">|</w:t>
            </w:r>
            <w:r>
              <w:t xml:space="preserve"> </w:t>
            </w:r>
            <w:r>
              <w:rPr>
                <w:rStyle w:val="VerbatimChar"/>
              </w:rPr>
              <w:t xml:space="preserve">dissent</w:t>
            </w:r>
            <w:r>
              <w:t xml:space="preserve"> </w:t>
            </w:r>
            <w:r>
              <w:t xml:space="preserve">|</w:t>
            </w:r>
            <w:r>
              <w:t xml:space="preserve"> </w:t>
            </w:r>
            <w:r>
              <w:rPr>
                <w:rStyle w:val="VerbatimChar"/>
              </w:rPr>
              <w:t xml:space="preserve">unknown</w:t>
            </w:r>
            <w:r>
              <w:t xml:space="preserve">. The legal role of this chunk in the Court’s reasoning. Used as a filter in Stage 2 retrieval.</w:t>
            </w:r>
          </w:p>
        </w:tc>
      </w:tr>
      <w:tr>
        <w:tc>
          <w:tcPr/>
          <w:p>
            <w:pPr>
              <w:pStyle w:val="Compact"/>
              <w:jc w:val="left"/>
            </w:pPr>
            <w:r>
              <w:rPr>
                <w:rStyle w:val="VerbatimChar"/>
              </w:rPr>
              <w:t xml:space="preserve">rights</w:t>
            </w:r>
          </w:p>
        </w:tc>
        <w:tc>
          <w:tcPr/>
          <w:p>
            <w:pPr>
              <w:pStyle w:val="Compact"/>
              <w:jc w:val="left"/>
            </w:pPr>
            <w:r>
              <w:t xml:space="preserve">array</w:t>
            </w:r>
          </w:p>
        </w:tc>
        <w:tc>
          <w:tcPr/>
          <w:p>
            <w:pPr>
              <w:pStyle w:val="Compact"/>
              <w:jc w:val="left"/>
            </w:pPr>
            <w:r>
              <w:t xml:space="preserve">Which constitutional right(s) this chunk relates to — e.g. </w:t>
            </w:r>
            <w:r>
              <w:rPr>
                <w:rStyle w:val="VerbatimChar"/>
              </w:rPr>
              <w:t xml:space="preserve">[property_rights]</w:t>
            </w:r>
            <w:r>
              <w:t xml:space="preserve">. Array, not single value, since Facts sections can honestly relate to multiple rights.</w:t>
            </w:r>
          </w:p>
        </w:tc>
      </w:tr>
      <w:tr>
        <w:tc>
          <w:tcPr/>
          <w:p>
            <w:pPr>
              <w:pStyle w:val="Compact"/>
              <w:jc w:val="left"/>
            </w:pPr>
            <w:r>
              <w:rPr>
                <w:rStyle w:val="VerbatimChar"/>
              </w:rPr>
              <w:t xml:space="preserve">confidence</w:t>
            </w:r>
          </w:p>
        </w:tc>
        <w:tc>
          <w:tcPr/>
          <w:p>
            <w:pPr>
              <w:pStyle w:val="Compact"/>
              <w:jc w:val="left"/>
            </w:pPr>
            <w:r>
              <w:t xml:space="preserve">string</w:t>
            </w:r>
          </w:p>
        </w:tc>
        <w:tc>
          <w:tcPr/>
          <w:p>
            <w:pPr>
              <w:pStyle w:val="Compact"/>
              <w:jc w:val="left"/>
            </w:pPr>
            <w:r>
              <w:rPr>
                <w:rStyle w:val="VerbatimChar"/>
              </w:rPr>
              <w:t xml:space="preserve">high</w:t>
            </w:r>
            <w:r>
              <w:t xml:space="preserve"> </w:t>
            </w:r>
            <w:r>
              <w:t xml:space="preserve">or</w:t>
            </w:r>
            <w:r>
              <w:t xml:space="preserve"> </w:t>
            </w:r>
            <w:r>
              <w:rPr>
                <w:rStyle w:val="VerbatimChar"/>
              </w:rPr>
              <w:t xml:space="preserve">low</w:t>
            </w:r>
            <w:r>
              <w:t xml:space="preserve">. Honest signal —</w:t>
            </w:r>
            <w:r>
              <w:t xml:space="preserve"> </w:t>
            </w:r>
            <w:r>
              <w:rPr>
                <w:rStyle w:val="VerbatimChar"/>
              </w:rPr>
              <w:t xml:space="preserve">low</w:t>
            </w:r>
            <w:r>
              <w:t xml:space="preserve"> </w:t>
            </w:r>
            <w:r>
              <w:t xml:space="preserve">means the role tagging was uncertain and may need review. Unknown chunks also get</w:t>
            </w:r>
            <w:r>
              <w:t xml:space="preserve"> </w:t>
            </w:r>
            <w:r>
              <w:rPr>
                <w:rStyle w:val="VerbatimChar"/>
              </w:rPr>
              <w:t xml:space="preserve">low</w:t>
            </w:r>
            <w:r>
              <w:t xml:space="preserve">.</w:t>
            </w:r>
          </w:p>
        </w:tc>
      </w:tr>
      <w:tr>
        <w:tc>
          <w:tcPr/>
          <w:p>
            <w:pPr>
              <w:pStyle w:val="Compact"/>
              <w:jc w:val="left"/>
            </w:pPr>
            <w:r>
              <w:rPr>
                <w:rStyle w:val="VerbatimChar"/>
              </w:rPr>
              <w:t xml:space="preserve">cited_legislations</w:t>
            </w:r>
          </w:p>
        </w:tc>
        <w:tc>
          <w:tcPr/>
          <w:p>
            <w:pPr>
              <w:pStyle w:val="Compact"/>
              <w:jc w:val="left"/>
            </w:pPr>
            <w:r>
              <w:t xml:space="preserve">array</w:t>
            </w:r>
          </w:p>
        </w:tc>
        <w:tc>
          <w:tcPr/>
          <w:p>
            <w:pPr>
              <w:pStyle w:val="Compact"/>
              <w:jc w:val="left"/>
            </w:pPr>
            <w:r>
              <w:t xml:space="preserve">Laws and articles this chunk’s own text cites, extracted by pattern match. Empty array when none are cited. See section 13.</w:t>
            </w:r>
          </w:p>
        </w:tc>
      </w:tr>
    </w:tbl>
    <w:p>
      <w:pPr>
        <w:spacing w:before="0" w:after="0" w:line="120" w:lineRule="exact"/>
      </w:pPr>
    </w:p>
    <w:p>
      <w:pPr>
        <w:pStyle w:val="BlockText"/>
      </w:pPr>
      <w:r>
        <w:rPr>
          <w:bCs/>
          <w:b/>
        </w:rPr>
        <w:t xml:space="preserve">Decision on</w:t>
      </w:r>
      <w:r>
        <w:rPr>
          <w:bCs/>
          <w:b/>
        </w:rPr>
        <w:t xml:space="preserve"> </w:t>
      </w:r>
      <w:r>
        <w:rPr>
          <w:rStyle w:val="VerbatimChar"/>
          <w:bCs/>
          <w:b/>
        </w:rPr>
        <w:t xml:space="preserve">dissent</w:t>
      </w:r>
      <w:r>
        <w:rPr>
          <w:bCs/>
          <w:b/>
        </w:rPr>
        <w:t xml:space="preserve">.</w:t>
      </w:r>
      <w:r>
        <w:t xml:space="preserve"> </w:t>
      </w:r>
      <w:r>
        <w:rPr>
          <w:rStyle w:val="VerbatimChar"/>
        </w:rPr>
        <w:t xml:space="preserve">dissent</w:t>
      </w:r>
      <w:r>
        <w:t xml:space="preserve"> </w:t>
      </w:r>
      <w:r>
        <w:t xml:space="preserve">is both a</w:t>
      </w:r>
      <w:r>
        <w:t xml:space="preserve"> </w:t>
      </w:r>
      <w:r>
        <w:rPr>
          <w:rStyle w:val="VerbatimChar"/>
        </w:rPr>
        <w:t xml:space="preserve">firac_role</w:t>
      </w:r>
      <w:r>
        <w:t xml:space="preserve"> </w:t>
      </w:r>
      <w:r>
        <w:t xml:space="preserve">value and a value carried by the capsule’s</w:t>
      </w:r>
      <w:r>
        <w:t xml:space="preserve"> </w:t>
      </w:r>
      <w:r>
        <w:rPr>
          <w:rStyle w:val="VerbatimChar"/>
        </w:rPr>
        <w:t xml:space="preserve">opinion_type</w:t>
      </w:r>
      <w:r>
        <w:t xml:space="preserve">. The two are not redundant: the role marks the chunk,</w:t>
      </w:r>
      <w:r>
        <w:t xml:space="preserve"> </w:t>
      </w:r>
      <w:r>
        <w:rPr>
          <w:rStyle w:val="VerbatimChar"/>
        </w:rPr>
        <w:t xml:space="preserve">opinion_type</w:t>
      </w:r>
      <w:r>
        <w:t xml:space="preserve"> </w:t>
      </w:r>
      <w:r>
        <w:t xml:space="preserve">marks the capsule. Code cross-checks that they agree, and flags any capsule whose</w:t>
      </w:r>
      <w:r>
        <w:t xml:space="preserve"> </w:t>
      </w:r>
      <w:r>
        <w:rPr>
          <w:rStyle w:val="VerbatimChar"/>
        </w:rPr>
        <w:t xml:space="preserve">opinion_type</w:t>
      </w:r>
      <w:r>
        <w:t xml:space="preserve"> </w:t>
      </w:r>
      <w:r>
        <w:t xml:space="preserve">disagrees with the role of its supporting chunks.</w:t>
      </w:r>
    </w:p>
    <w:bookmarkEnd w:id="23"/>
    <w:bookmarkStart w:id="24" w:name="firac-the-legal-role-tags"/>
    <w:p>
      <w:pPr>
        <w:pStyle w:val="Heading1"/>
      </w:pPr>
      <w:r>
        <w:t xml:space="preserve">5. FIRAC — The Legal Role Tags</w:t>
      </w:r>
    </w:p>
    <w:p>
      <w:pPr>
        <w:pStyle w:val="FirstParagraph"/>
      </w:pPr>
      <w:r>
        <w:t xml:space="preserve">FIRAC (Facts, Issue, Rule, Application, Conclusion) is the standard framework legal analysis follows. We chose FIRAC over IRAC because AYM decisions always have a distinct, substantial Facts section that IRAC has no proper slot for.</w:t>
      </w:r>
    </w:p>
    <w:tbl>
      <w:tblPr>
        <w:tblStyle w:val="Table"/>
        <w:tblW w:type="pct" w:w="5000"/>
        <w:tblLook w:firstRow="1" w:lastRow="0" w:firstColumn="0" w:lastColumn="0" w:noHBand="0" w:noVBand="1" w:val="0420"/>
        <w:jc w:val="start"/>
      </w:tblPr>
      <w:tblGrid>
        <w:gridCol w:w="1748"/>
        <w:gridCol w:w="2468"/>
        <w:gridCol w:w="3702"/>
      </w:tblGrid>
      <w:tr>
        <w:trPr>
          <w:tblHeader w:val="true"/>
        </w:trPr>
        <w:tc>
          <w:tcPr/>
          <w:p>
            <w:pPr>
              <w:pStyle w:val="Compact"/>
              <w:jc w:val="left"/>
            </w:pPr>
            <w:r>
              <w:rPr>
                <w:bCs/>
                <w:b/>
              </w:rPr>
              <w:t xml:space="preserve">firac_role</w:t>
            </w:r>
          </w:p>
        </w:tc>
        <w:tc>
          <w:tcPr/>
          <w:p>
            <w:pPr>
              <w:pStyle w:val="Compact"/>
              <w:jc w:val="left"/>
            </w:pPr>
            <w:r>
              <w:rPr>
                <w:bCs/>
                <w:b/>
              </w:rPr>
              <w:t xml:space="preserve">What it means</w:t>
            </w:r>
          </w:p>
        </w:tc>
        <w:tc>
          <w:tcPr/>
          <w:p>
            <w:pPr>
              <w:pStyle w:val="Compact"/>
              <w:jc w:val="left"/>
            </w:pPr>
            <w:r>
              <w:rPr>
                <w:bCs/>
                <w:b/>
              </w:rPr>
              <w:t xml:space="preserve">Example content</w:t>
            </w:r>
          </w:p>
        </w:tc>
      </w:tr>
      <w:tr>
        <w:tc>
          <w:tcPr/>
          <w:p>
            <w:pPr>
              <w:pStyle w:val="Compact"/>
              <w:jc w:val="left"/>
            </w:pPr>
            <w:r>
              <w:rPr>
                <w:rStyle w:val="VerbatimChar"/>
              </w:rPr>
              <w:t xml:space="preserve">facts</w:t>
            </w:r>
          </w:p>
        </w:tc>
        <w:tc>
          <w:tcPr/>
          <w:p>
            <w:pPr>
              <w:pStyle w:val="Compact"/>
              <w:jc w:val="left"/>
            </w:pPr>
            <w:r>
              <w:t xml:space="preserve">Background events and procedural history of the case.</w:t>
            </w:r>
          </w:p>
        </w:tc>
        <w:tc>
          <w:tcPr/>
          <w:p>
            <w:pPr>
              <w:pStyle w:val="Compact"/>
              <w:jc w:val="left"/>
            </w:pPr>
            <w:r>
              <w:t xml:space="preserve">The applicant received an administrative fine on 17/9/2024…</w:t>
            </w:r>
          </w:p>
        </w:tc>
      </w:tr>
      <w:tr>
        <w:tc>
          <w:tcPr/>
          <w:p>
            <w:pPr>
              <w:pStyle w:val="Compact"/>
              <w:jc w:val="left"/>
            </w:pPr>
            <w:r>
              <w:rPr>
                <w:rStyle w:val="VerbatimChar"/>
              </w:rPr>
              <w:t xml:space="preserve">issue</w:t>
            </w:r>
          </w:p>
        </w:tc>
        <w:tc>
          <w:tcPr/>
          <w:p>
            <w:pPr>
              <w:pStyle w:val="Compact"/>
              <w:jc w:val="left"/>
            </w:pPr>
            <w:r>
              <w:t xml:space="preserve">The legal question being examined; admissibility.</w:t>
            </w:r>
          </w:p>
        </w:tc>
        <w:tc>
          <w:tcPr/>
          <w:p>
            <w:pPr>
              <w:pStyle w:val="Compact"/>
              <w:jc w:val="left"/>
            </w:pPr>
            <w:r>
              <w:t xml:space="preserve">The application raises the question of whether property rights were violated…</w:t>
            </w:r>
          </w:p>
        </w:tc>
      </w:tr>
      <w:tr>
        <w:tc>
          <w:tcPr/>
          <w:p>
            <w:pPr>
              <w:pStyle w:val="Compact"/>
              <w:jc w:val="left"/>
            </w:pPr>
            <w:r>
              <w:rPr>
                <w:rStyle w:val="VerbatimChar"/>
              </w:rPr>
              <w:t xml:space="preserve">rule</w:t>
            </w:r>
          </w:p>
        </w:tc>
        <w:tc>
          <w:tcPr/>
          <w:p>
            <w:pPr>
              <w:pStyle w:val="Compact"/>
              <w:jc w:val="left"/>
            </w:pPr>
            <w:r>
              <w:t xml:space="preserve">The general legal principle the Court applies.</w:t>
            </w:r>
          </w:p>
        </w:tc>
        <w:tc>
          <w:tcPr/>
          <w:p>
            <w:pPr>
              <w:pStyle w:val="Compact"/>
              <w:jc w:val="left"/>
            </w:pPr>
            <w:r>
              <w:t xml:space="preserve">The first criterion to examine is whether interference is based on law…</w:t>
            </w:r>
          </w:p>
        </w:tc>
      </w:tr>
      <w:tr>
        <w:tc>
          <w:tcPr/>
          <w:p>
            <w:pPr>
              <w:pStyle w:val="Compact"/>
              <w:jc w:val="left"/>
            </w:pPr>
            <w:r>
              <w:rPr>
                <w:rStyle w:val="VerbatimChar"/>
              </w:rPr>
              <w:t xml:space="preserve">application</w:t>
            </w:r>
          </w:p>
        </w:tc>
        <w:tc>
          <w:tcPr/>
          <w:p>
            <w:pPr>
              <w:pStyle w:val="Compact"/>
              <w:jc w:val="left"/>
            </w:pPr>
            <w:r>
              <w:t xml:space="preserve">Applying that rule to this case’s specific facts.</w:t>
            </w:r>
          </w:p>
        </w:tc>
        <w:tc>
          <w:tcPr/>
          <w:p>
            <w:pPr>
              <w:pStyle w:val="Compact"/>
              <w:jc w:val="left"/>
            </w:pPr>
            <w:r>
              <w:t xml:space="preserve">In this case, the fine was based on a clear, accessible statute…</w:t>
            </w:r>
          </w:p>
        </w:tc>
      </w:tr>
      <w:tr>
        <w:tc>
          <w:tcPr/>
          <w:p>
            <w:pPr>
              <w:pStyle w:val="Compact"/>
              <w:jc w:val="left"/>
            </w:pPr>
            <w:r>
              <w:rPr>
                <w:rStyle w:val="VerbatimChar"/>
              </w:rPr>
              <w:t xml:space="preserve">conclusion</w:t>
            </w:r>
          </w:p>
        </w:tc>
        <w:tc>
          <w:tcPr/>
          <w:p>
            <w:pPr>
              <w:pStyle w:val="Compact"/>
              <w:jc w:val="left"/>
            </w:pPr>
            <w:r>
              <w:t xml:space="preserve">The Court’s final ruling. Stored but NOT used for search — ruling text is often boilerplate across cases.</w:t>
            </w:r>
          </w:p>
        </w:tc>
        <w:tc>
          <w:tcPr/>
          <w:p>
            <w:pPr>
              <w:pStyle w:val="Compact"/>
              <w:jc w:val="left"/>
            </w:pPr>
            <w:r>
              <w:t xml:space="preserve">The right to property was NOT VIOLATED (OYBİRLİĞİYLE).</w:t>
            </w:r>
          </w:p>
        </w:tc>
      </w:tr>
      <w:tr>
        <w:tc>
          <w:tcPr/>
          <w:p>
            <w:pPr>
              <w:pStyle w:val="Compact"/>
              <w:jc w:val="left"/>
            </w:pPr>
            <w:r>
              <w:rPr>
                <w:rStyle w:val="VerbatimChar"/>
              </w:rPr>
              <w:t xml:space="preserve">dissent</w:t>
            </w:r>
          </w:p>
        </w:tc>
        <w:tc>
          <w:tcPr/>
          <w:p>
            <w:pPr>
              <w:pStyle w:val="Compact"/>
              <w:jc w:val="left"/>
            </w:pPr>
            <w:r>
              <w:t xml:space="preserve">A dissenting judge’s own reasoning, kept separate from the majority holding.</w:t>
            </w:r>
          </w:p>
        </w:tc>
        <w:tc>
          <w:tcPr/>
          <w:p>
            <w:pPr>
              <w:pStyle w:val="Compact"/>
              <w:jc w:val="left"/>
            </w:pPr>
            <w:r>
              <w:t xml:space="preserve">KARŞI OY — the dissenting member’s analysis and conclusion.</w:t>
            </w:r>
          </w:p>
        </w:tc>
      </w:tr>
      <w:tr>
        <w:tc>
          <w:tcPr/>
          <w:p>
            <w:pPr>
              <w:pStyle w:val="Compact"/>
              <w:jc w:val="left"/>
            </w:pPr>
            <w:r>
              <w:rPr>
                <w:rStyle w:val="VerbatimChar"/>
              </w:rPr>
              <w:t xml:space="preserve">unknown</w:t>
            </w:r>
          </w:p>
        </w:tc>
        <w:tc>
          <w:tcPr/>
          <w:p>
            <w:pPr>
              <w:pStyle w:val="Compact"/>
              <w:jc w:val="left"/>
            </w:pPr>
            <w:r>
              <w:t xml:space="preserve">Procedural lines or content that genuinely doesn’t fit FIRAC. Honest — not forced.</w:t>
            </w:r>
          </w:p>
        </w:tc>
        <w:tc>
          <w:tcPr/>
          <w:p>
            <w:pPr>
              <w:pStyle w:val="Compact"/>
              <w:jc w:val="left"/>
            </w:pPr>
            <w:r>
              <w:t xml:space="preserve">At its meeting on 17/9/2024, the Court considered…</w:t>
            </w:r>
          </w:p>
        </w:tc>
      </w:tr>
    </w:tbl>
    <w:p>
      <w:pPr>
        <w:spacing w:before="0" w:after="0" w:line="120" w:lineRule="exact"/>
      </w:pPr>
    </w:p>
    <w:p>
      <w:pPr>
        <w:pStyle w:val="BlockText"/>
      </w:pPr>
      <w:r>
        <w:rPr>
          <w:bCs/>
          <w:b/>
        </w:rPr>
        <w:t xml:space="preserve">Note.</w:t>
      </w:r>
      <w:r>
        <w:t xml:space="preserve"> </w:t>
      </w:r>
      <w:r>
        <w:t xml:space="preserve">The</w:t>
      </w:r>
      <w:r>
        <w:t xml:space="preserve"> </w:t>
      </w:r>
      <w:r>
        <w:rPr>
          <w:rStyle w:val="VerbatimChar"/>
        </w:rPr>
        <w:t xml:space="preserve">conclusion</w:t>
      </w:r>
      <w:r>
        <w:t xml:space="preserve"> </w:t>
      </w:r>
      <w:r>
        <w:t xml:space="preserve">chunk is stored and cited by the</w:t>
      </w:r>
      <w:r>
        <w:t xml:space="preserve"> </w:t>
      </w:r>
      <w:r>
        <w:rPr>
          <w:rStyle w:val="VerbatimChar"/>
        </w:rPr>
        <w:t xml:space="preserve">reasoning_capsule</w:t>
      </w:r>
      <w:r>
        <w:t xml:space="preserve">, but it is NOT indexed for search in Meilisearch or Qdrant. Ruling text is often near-identical across unrelated cases — using it for matching would cause cross-case confusion.</w:t>
      </w:r>
    </w:p>
    <w:bookmarkEnd w:id="24"/>
    <w:bookmarkStart w:id="25" w:name="the-reasoning-capsule"/>
    <w:p>
      <w:pPr>
        <w:pStyle w:val="Heading1"/>
      </w:pPr>
      <w:r>
        <w:t xml:space="preserve">6. The Reasoning Capsule</w:t>
      </w:r>
    </w:p>
    <w:p>
      <w:pPr>
        <w:pStyle w:val="FirstParagraph"/>
      </w:pPr>
      <w:r>
        <w:t xml:space="preserve">Each case produces one or more</w:t>
      </w:r>
      <w:r>
        <w:t xml:space="preserve"> </w:t>
      </w:r>
      <w:r>
        <w:rPr>
          <w:rStyle w:val="VerbatimChar"/>
        </w:rPr>
        <w:t xml:space="preserve">reasoning_capsules</w:t>
      </w:r>
      <w:r>
        <w:t xml:space="preserve"> </w:t>
      </w:r>
      <w:r>
        <w:t xml:space="preserve">— one per constitutional right examined (and one per dissenting opinion, if any). This is what a lawyer or researcher actually sees first: the outcome, the reason why, and the exact chunks that support it.</w:t>
      </w:r>
    </w:p>
    <w:tbl>
      <w:tblPr>
        <w:tblStyle w:val="Table"/>
        <w:tblW w:type="pct" w:w="5000"/>
        <w:tblLook w:firstRow="1" w:lastRow="0" w:firstColumn="0" w:lastColumn="0" w:noHBand="0" w:noVBand="1" w:val="0420"/>
        <w:jc w:val="start"/>
      </w:tblPr>
      <w:tblGrid>
        <w:gridCol w:w="2277"/>
        <w:gridCol w:w="2574"/>
        <w:gridCol w:w="3069"/>
      </w:tblGrid>
      <w:tr>
        <w:trPr>
          <w:tblHeader w:val="true"/>
        </w:trPr>
        <w:tc>
          <w:tcPr/>
          <w:p>
            <w:pPr>
              <w:pStyle w:val="Compact"/>
              <w:jc w:val="left"/>
            </w:pPr>
            <w:r>
              <w:rPr>
                <w:bCs/>
                <w:b/>
              </w:rPr>
              <w:t xml:space="preserve">Field</w:t>
            </w:r>
          </w:p>
        </w:tc>
        <w:tc>
          <w:tcPr/>
          <w:p>
            <w:pPr>
              <w:pStyle w:val="Compact"/>
              <w:jc w:val="left"/>
            </w:pPr>
            <w:r>
              <w:rPr>
                <w:bCs/>
                <w:b/>
              </w:rPr>
              <w:t xml:space="preserve">How it’s produced</w:t>
            </w:r>
          </w:p>
        </w:tc>
        <w:tc>
          <w:tcPr/>
          <w:p>
            <w:pPr>
              <w:pStyle w:val="Compact"/>
              <w:jc w:val="left"/>
            </w:pPr>
            <w:r>
              <w:rPr>
                <w:bCs/>
                <w:b/>
              </w:rPr>
              <w:t xml:space="preserve">Purpose</w:t>
            </w:r>
          </w:p>
        </w:tc>
      </w:tr>
      <w:tr>
        <w:tc>
          <w:tcPr/>
          <w:p>
            <w:pPr>
              <w:pStyle w:val="Compact"/>
              <w:jc w:val="left"/>
            </w:pPr>
            <w:r>
              <w:rPr>
                <w:rStyle w:val="VerbatimChar"/>
              </w:rPr>
              <w:t xml:space="preserve">case_no</w:t>
            </w:r>
          </w:p>
        </w:tc>
        <w:tc>
          <w:tcPr/>
          <w:p>
            <w:pPr>
              <w:pStyle w:val="Compact"/>
              <w:jc w:val="left"/>
            </w:pPr>
            <w:r>
              <w:t xml:space="preserve">From source data</w:t>
            </w:r>
          </w:p>
        </w:tc>
        <w:tc>
          <w:tcPr/>
          <w:p>
            <w:pPr>
              <w:pStyle w:val="Compact"/>
              <w:jc w:val="left"/>
            </w:pPr>
            <w:r>
              <w:t xml:space="preserve">Which case</w:t>
            </w:r>
          </w:p>
        </w:tc>
      </w:tr>
      <w:tr>
        <w:tc>
          <w:tcPr/>
          <w:p>
            <w:pPr>
              <w:pStyle w:val="Compact"/>
              <w:jc w:val="left"/>
            </w:pPr>
            <w:r>
              <w:rPr>
                <w:rStyle w:val="VerbatimChar"/>
              </w:rPr>
              <w:t xml:space="preserve">subject_id</w:t>
            </w:r>
          </w:p>
        </w:tc>
        <w:tc>
          <w:tcPr/>
          <w:p>
            <w:pPr>
              <w:pStyle w:val="Compact"/>
              <w:jc w:val="left"/>
            </w:pPr>
            <w:r>
              <w:t xml:space="preserve">From</w:t>
            </w:r>
            <w:r>
              <w:t xml:space="preserve"> </w:t>
            </w:r>
            <w:r>
              <w:rPr>
                <w:rStyle w:val="VerbatimChar"/>
              </w:rPr>
              <w:t xml:space="preserve">examination_results</w:t>
            </w:r>
            <w:r>
              <w:t xml:space="preserve"> </w:t>
            </w:r>
            <w:r>
              <w:t xml:space="preserve">in metadata</w:t>
            </w:r>
          </w:p>
        </w:tc>
        <w:tc>
          <w:tcPr/>
          <w:p>
            <w:pPr>
              <w:pStyle w:val="Compact"/>
              <w:jc w:val="left"/>
            </w:pPr>
            <w:r>
              <w:t xml:space="preserve">Which constitutional right</w:t>
            </w:r>
          </w:p>
        </w:tc>
      </w:tr>
      <w:tr>
        <w:tc>
          <w:tcPr/>
          <w:p>
            <w:pPr>
              <w:pStyle w:val="Compact"/>
              <w:jc w:val="left"/>
            </w:pPr>
            <w:r>
              <w:rPr>
                <w:rStyle w:val="VerbatimChar"/>
              </w:rPr>
              <w:t xml:space="preserve">opinion_type</w:t>
            </w:r>
          </w:p>
        </w:tc>
        <w:tc>
          <w:tcPr/>
          <w:p>
            <w:pPr>
              <w:pStyle w:val="Compact"/>
              <w:jc w:val="left"/>
            </w:pPr>
            <w:r>
              <w:rPr>
                <w:rStyle w:val="VerbatimChar"/>
              </w:rPr>
              <w:t xml:space="preserve">majority</w:t>
            </w:r>
            <w:r>
              <w:t xml:space="preserve"> </w:t>
            </w:r>
            <w:r>
              <w:t xml:space="preserve">or</w:t>
            </w:r>
            <w:r>
              <w:t xml:space="preserve"> </w:t>
            </w:r>
            <w:r>
              <w:rPr>
                <w:rStyle w:val="VerbatimChar"/>
              </w:rPr>
              <w:t xml:space="preserve">dissent:author</w:t>
            </w:r>
          </w:p>
        </w:tc>
        <w:tc>
          <w:tcPr/>
          <w:p>
            <w:pPr>
              <w:pStyle w:val="Compact"/>
              <w:jc w:val="left"/>
            </w:pPr>
            <w:r>
              <w:t xml:space="preserve">Separates the Court’s ruling from any judge’s dissenting view</w:t>
            </w:r>
          </w:p>
        </w:tc>
      </w:tr>
      <w:tr>
        <w:tc>
          <w:tcPr/>
          <w:p>
            <w:pPr>
              <w:pStyle w:val="Compact"/>
              <w:jc w:val="left"/>
            </w:pPr>
            <w:r>
              <w:rPr>
                <w:rStyle w:val="VerbatimChar"/>
              </w:rPr>
              <w:t xml:space="preserve">outcome</w:t>
            </w:r>
          </w:p>
        </w:tc>
        <w:tc>
          <w:tcPr/>
          <w:p>
            <w:pPr>
              <w:pStyle w:val="Compact"/>
              <w:jc w:val="left"/>
            </w:pPr>
            <w:r>
              <w:t xml:space="preserve">NOT AI — extracted directly from structured source data</w:t>
            </w:r>
          </w:p>
        </w:tc>
        <w:tc>
          <w:tcPr/>
          <w:p>
            <w:pPr>
              <w:pStyle w:val="Compact"/>
              <w:jc w:val="left"/>
            </w:pPr>
            <w:r>
              <w:rPr>
                <w:rStyle w:val="VerbatimChar"/>
              </w:rPr>
              <w:t xml:space="preserve">no_violation</w:t>
            </w:r>
            <w:r>
              <w:t xml:space="preserve">,</w:t>
            </w:r>
            <w:r>
              <w:t xml:space="preserve"> </w:t>
            </w:r>
            <w:r>
              <w:rPr>
                <w:rStyle w:val="VerbatimChar"/>
              </w:rPr>
              <w:t xml:space="preserve">violation</w:t>
            </w:r>
            <w:r>
              <w:t xml:space="preserve">,</w:t>
            </w:r>
            <w:r>
              <w:t xml:space="preserve"> </w:t>
            </w:r>
            <w:r>
              <w:rPr>
                <w:rStyle w:val="VerbatimChar"/>
              </w:rPr>
              <w:t xml:space="preserve">inadmissible</w:t>
            </w:r>
            <w:r>
              <w:t xml:space="preserve">, etc.</w:t>
            </w:r>
          </w:p>
        </w:tc>
      </w:tr>
      <w:tr>
        <w:tc>
          <w:tcPr/>
          <w:p>
            <w:pPr>
              <w:pStyle w:val="Compact"/>
              <w:jc w:val="left"/>
            </w:pPr>
            <w:r>
              <w:rPr>
                <w:rStyle w:val="VerbatimChar"/>
              </w:rPr>
              <w:t xml:space="preserve">conclusion_sentence</w:t>
            </w:r>
          </w:p>
        </w:tc>
        <w:tc>
          <w:tcPr/>
          <w:p>
            <w:pPr>
              <w:pStyle w:val="Compact"/>
              <w:jc w:val="left"/>
            </w:pPr>
            <w:r>
              <w:rPr>
                <w:bCs/>
                <w:b/>
              </w:rPr>
              <w:t xml:space="preserve">Regex pipeline:</w:t>
            </w:r>
            <w:r>
              <w:t xml:space="preserve"> </w:t>
            </w:r>
            <w:r>
              <w:t xml:space="preserve">NOT AI — built from a template using outcome + right. One-line plain-English answer:</w:t>
            </w:r>
            <w:r>
              <w:t xml:space="preserve"> </w:t>
            </w:r>
            <w:r>
              <w:rPr>
                <w:iCs/>
                <w:i/>
              </w:rPr>
              <w:t xml:space="preserve">The Court found no violation of property rights.</w:t>
            </w:r>
            <w:r>
              <w:t xml:space="preserve"> </w:t>
            </w:r>
            <w:r>
              <w:rPr>
                <w:bCs/>
                <w:b/>
              </w:rPr>
              <w:t xml:space="preserve">LLM pipeline:</w:t>
            </w:r>
            <w:r>
              <w:t xml:space="preserve"> </w:t>
            </w:r>
            <w:r>
              <w:t xml:space="preserve">Gemini-written, in Turkish. Changed from English because Stage 1 searches this field against Turkish queries; English here is dead weight (the 7.3 mistake). Checked automatically.</w:t>
            </w:r>
          </w:p>
        </w:tc>
        <w:tc>
          <w:tcPr/>
          <w:p>
            <w:pPr>
              <w:pStyle w:val="Compact"/>
              <w:jc w:val="left"/>
            </w:pPr>
            <w:r>
              <w:t xml:space="preserve">The one-line answer the user sees first</w:t>
            </w:r>
          </w:p>
        </w:tc>
      </w:tr>
      <w:tr>
        <w:tc>
          <w:tcPr/>
          <w:p>
            <w:pPr>
              <w:pStyle w:val="Compact"/>
              <w:jc w:val="left"/>
            </w:pPr>
            <w:r>
              <w:rPr>
                <w:rStyle w:val="VerbatimChar"/>
              </w:rPr>
              <w:t xml:space="preserve">reasoning_summary</w:t>
            </w:r>
          </w:p>
        </w:tc>
        <w:tc>
          <w:tcPr/>
          <w:p>
            <w:pPr>
              <w:pStyle w:val="Compact"/>
              <w:jc w:val="left"/>
            </w:pPr>
            <w:r>
              <w:t xml:space="preserve">AI-generated once, at build time, reading only the tagged rule + application chunks</w:t>
            </w:r>
          </w:p>
        </w:tc>
        <w:tc>
          <w:tcPr/>
          <w:p>
            <w:pPr>
              <w:pStyle w:val="Compact"/>
              <w:jc w:val="left"/>
            </w:pPr>
            <w:r>
              <w:t xml:space="preserve">2–3 sentences explaining why</w:t>
            </w:r>
          </w:p>
        </w:tc>
      </w:tr>
      <w:tr>
        <w:tc>
          <w:tcPr/>
          <w:p>
            <w:pPr>
              <w:pStyle w:val="Compact"/>
              <w:jc w:val="left"/>
            </w:pPr>
            <w:r>
              <w:rPr>
                <w:rStyle w:val="VerbatimChar"/>
              </w:rPr>
              <w:t xml:space="preserve">supporting_chunk_ids</w:t>
            </w:r>
          </w:p>
        </w:tc>
        <w:tc>
          <w:tcPr/>
          <w:p>
            <w:pPr>
              <w:pStyle w:val="Compact"/>
              <w:jc w:val="left"/>
            </w:pPr>
            <w:r>
              <w:t xml:space="preserve">Automatically recorded — list of</w:t>
            </w:r>
            <w:r>
              <w:t xml:space="preserve"> </w:t>
            </w:r>
            <w:r>
              <w:rPr>
                <w:rStyle w:val="VerbatimChar"/>
              </w:rPr>
              <w:t xml:space="preserve">chunk_id</w:t>
            </w:r>
            <w:r>
              <w:t xml:space="preserve">s fed to the AI</w:t>
            </w:r>
          </w:p>
        </w:tc>
        <w:tc>
          <w:tcPr/>
          <w:p>
            <w:pPr>
              <w:pStyle w:val="Compact"/>
              <w:jc w:val="left"/>
            </w:pPr>
            <w:r>
              <w:t xml:space="preserve">Full citation trail back to source text</w:t>
            </w:r>
          </w:p>
        </w:tc>
      </w:tr>
    </w:tbl>
    <w:p>
      <w:pPr>
        <w:spacing w:before="0" w:after="0" w:line="120" w:lineRule="exact"/>
      </w:pPr>
    </w:p>
    <w:p>
      <w:pPr>
        <w:pStyle w:val="BlockText"/>
      </w:pPr>
      <w:r>
        <w:rPr>
          <w:bCs/>
          <w:b/>
        </w:rPr>
        <w:t xml:space="preserve">Important.</w:t>
      </w:r>
      <w:r>
        <w:t xml:space="preserve"> </w:t>
      </w:r>
      <w:r>
        <w:t xml:space="preserve">In the regex pipeline the AI only generates</w:t>
      </w:r>
      <w:r>
        <w:t xml:space="preserve"> </w:t>
      </w:r>
      <w:r>
        <w:rPr>
          <w:rStyle w:val="VerbatimChar"/>
        </w:rPr>
        <w:t xml:space="preserve">reasoning_summary</w:t>
      </w:r>
      <w:r>
        <w:t xml:space="preserve">, and only once, at build time, reading a small set of already-tagged chunks, never the whole document.</w:t>
      </w:r>
      <w:r>
        <w:t xml:space="preserve"> </w:t>
      </w:r>
      <w:r>
        <w:rPr>
          <w:rStyle w:val="VerbatimChar"/>
        </w:rPr>
        <w:t xml:space="preserve">outcome</w:t>
      </w:r>
      <w:r>
        <w:t xml:space="preserve"> </w:t>
      </w:r>
      <w:r>
        <w:t xml:space="preserve">and</w:t>
      </w:r>
      <w:r>
        <w:t xml:space="preserve"> </w:t>
      </w:r>
      <w:r>
        <w:rPr>
          <w:rStyle w:val="VerbatimChar"/>
        </w:rPr>
        <w:t xml:space="preserve">conclusion_sentence</w:t>
      </w:r>
      <w:r>
        <w:t xml:space="preserve"> </w:t>
      </w:r>
      <w:r>
        <w:t xml:space="preserve">are deterministic — zero AI involvement, zero risk of hallucinating the verdict. In the LLM pipeline, ownership is different and is set out field by field in 15.2–15.4.</w:t>
      </w:r>
    </w:p>
    <w:bookmarkEnd w:id="25"/>
    <w:bookmarkStart w:id="30" w:name="how-retrieval-works-two-stages"/>
    <w:p>
      <w:pPr>
        <w:pStyle w:val="Heading1"/>
      </w:pPr>
      <w:r>
        <w:t xml:space="preserve">7. How Retrieval Works — Two Stages</w:t>
      </w:r>
    </w:p>
    <w:p>
      <w:pPr>
        <w:pStyle w:val="FirstParagraph"/>
      </w:pPr>
      <w:r>
        <w:t xml:space="preserve">Retrieval follows a published pattern called Hierarchical RAG: search a small summary layer first (</w:t>
      </w:r>
      <w:r>
        <w:rPr>
          <w:rStyle w:val="VerbatimChar"/>
        </w:rPr>
        <w:t xml:space="preserve">reasoning_capsules</w:t>
      </w:r>
      <w:r>
        <w:t xml:space="preserve">), and only search the detailed layer (chunks) if the summary alone isn’t enough. This matches directly to the product requirement of conclusion-first answers with optional drill-down.</w:t>
      </w:r>
    </w:p>
    <w:bookmarkStart w:id="26" w:name="Xffc687015d0a54acadd8548a23c53651b3e63a1"/>
    <w:p>
      <w:pPr>
        <w:pStyle w:val="Heading2"/>
      </w:pPr>
      <w:r>
        <w:t xml:space="preserve">7.1 Stage 1 — Capsule search (answers most questions)</w:t>
      </w:r>
    </w:p>
    <w:p>
      <w:pPr>
        <w:pStyle w:val="FirstParagraph"/>
      </w:pPr>
      <w:r>
        <w:t xml:space="preserve">The user’s question is searched against</w:t>
      </w:r>
      <w:r>
        <w:t xml:space="preserve"> </w:t>
      </w:r>
      <w:r>
        <w:rPr>
          <w:rStyle w:val="VerbatimChar"/>
        </w:rPr>
        <w:t xml:space="preserve">reasoning_capsules</w:t>
      </w:r>
      <w:r>
        <w:t xml:space="preserve"> </w:t>
      </w:r>
      <w:r>
        <w:t xml:space="preserve">— a small index (one entry per case+right), each containing the conclusion sentence and the reasoning summary. For most questions, this is the complete answer: outcome + why + citations.</w:t>
      </w:r>
    </w:p>
    <w:p>
      <w:pPr>
        <w:pStyle w:val="BlockText"/>
      </w:pPr>
      <w:r>
        <w:rPr>
          <w:bCs/>
          <w:b/>
        </w:rPr>
        <w:t xml:space="preserve">Test result.</w:t>
      </w:r>
      <w:r>
        <w:t xml:space="preserve"> </w:t>
      </w:r>
      <w:r>
        <w:t xml:space="preserve">Superseded by 7.3 and 7.4. The earlier 94% number had no documented query methodology (no example queries, no description of how they were generated) and could not be reproduced under a rigorous test.</w:t>
      </w:r>
    </w:p>
    <w:bookmarkEnd w:id="26"/>
    <w:bookmarkStart w:id="27" w:name="X95dc521f15ef0eb673750b2331053999747cab1"/>
    <w:p>
      <w:pPr>
        <w:pStyle w:val="Heading2"/>
      </w:pPr>
      <w:r>
        <w:t xml:space="preserve">7.2 Stage 2 — Chunk drill-down (for specific follow-ups)</w:t>
      </w:r>
    </w:p>
    <w:p>
      <w:pPr>
        <w:pStyle w:val="FirstParagraph"/>
      </w:pPr>
      <w:r>
        <w:t xml:space="preserve">If someone asks a more specific follow-up (</w:t>
      </w:r>
      <w:r>
        <w:t xml:space="preserve">‘</w:t>
      </w:r>
      <w:r>
        <w:t xml:space="preserve">What exact legal test did the Court apply?</w:t>
      </w:r>
      <w:r>
        <w:t xml:space="preserve">’</w:t>
      </w:r>
      <w:r>
        <w:t xml:space="preserve">), the system searches chunks — filtered by the</w:t>
      </w:r>
      <w:r>
        <w:t xml:space="preserve"> </w:t>
      </w:r>
      <w:r>
        <w:rPr>
          <w:rStyle w:val="VerbatimChar"/>
        </w:rPr>
        <w:t xml:space="preserve">case_no</w:t>
      </w:r>
      <w:r>
        <w:t xml:space="preserve"> </w:t>
      </w:r>
      <w:r>
        <w:t xml:space="preserve">already identified in Stage 1, and optionally by</w:t>
      </w:r>
      <w:r>
        <w:t xml:space="preserve"> </w:t>
      </w:r>
      <w:r>
        <w:rPr>
          <w:rStyle w:val="VerbatimChar"/>
        </w:rPr>
        <w:t xml:space="preserve">rights</w:t>
      </w:r>
      <w:r>
        <w:t xml:space="preserve"> </w:t>
      </w:r>
      <w:r>
        <w:t xml:space="preserve">or</w:t>
      </w:r>
      <w:r>
        <w:t xml:space="preserve"> </w:t>
      </w:r>
      <w:r>
        <w:rPr>
          <w:rStyle w:val="VerbatimChar"/>
        </w:rPr>
        <w:t xml:space="preserve">firac_role</w:t>
      </w:r>
      <w:r>
        <w:t xml:space="preserve">. This is never a full-corpus search — only within the already-identified case.</w:t>
      </w:r>
    </w:p>
    <w:p>
      <w:pPr>
        <w:pStyle w:val="BlockText"/>
      </w:pPr>
      <w:r>
        <w:rPr>
          <w:bCs/>
          <w:b/>
        </w:rPr>
        <w:t xml:space="preserve">Hard case, confirmed fixed.</w:t>
      </w:r>
      <w:r>
        <w:t xml:space="preserve"> </w:t>
      </w:r>
      <w:r>
        <w:t xml:space="preserve">Identical ruling text exists across different cases (two unrelated cases had word-for-word identical ruling sentences). Without the</w:t>
      </w:r>
      <w:r>
        <w:t xml:space="preserve"> </w:t>
      </w:r>
      <w:r>
        <w:rPr>
          <w:rStyle w:val="VerbatimChar"/>
        </w:rPr>
        <w:t xml:space="preserve">case_no</w:t>
      </w:r>
      <w:r>
        <w:t xml:space="preserve"> </w:t>
      </w:r>
      <w:r>
        <w:t xml:space="preserve">filter, search returns wrong cases. With the filter: 100% correct. Confirmed on real data.</w:t>
      </w:r>
    </w:p>
    <w:bookmarkEnd w:id="27"/>
    <w:bookmarkStart w:id="28" w:name="X427e81b7f9333d7db777ad568c0421a7e985efa"/>
    <w:p>
      <w:pPr>
        <w:pStyle w:val="Heading2"/>
      </w:pPr>
      <w:r>
        <w:t xml:space="preserve">7.3 Retrieval testing: real methodology and honest results</w:t>
      </w:r>
    </w:p>
    <w:p>
      <w:pPr>
        <w:pStyle w:val="FirstParagraph"/>
      </w:pPr>
      <w:r>
        <w:t xml:space="preserve">The 68%/94% number above had no documented methodology and could not be reproduced. A real test was built instead: pure hand-written BM25 (no embeddings, no Qdrant, no Meilisearch), run against the actual output of</w:t>
      </w:r>
      <w:r>
        <w:t xml:space="preserve"> </w:t>
      </w:r>
      <w:r>
        <w:rPr>
          <w:rStyle w:val="VerbatimChar"/>
        </w:rPr>
        <w:t xml:space="preserve">multi_court_chunker.py</w:t>
      </w:r>
      <w:r>
        <w:t xml:space="preserve"> </w:t>
      </w:r>
      <w:r>
        <w:t xml:space="preserve">/</w:t>
      </w:r>
      <w:r>
        <w:t xml:space="preserve"> </w:t>
      </w:r>
      <w:r>
        <w:rPr>
          <w:rStyle w:val="VerbatimChar"/>
        </w:rPr>
        <w:t xml:space="preserve">build_multi_court.py</w:t>
      </w:r>
      <w:r>
        <w:t xml:space="preserve"> </w:t>
      </w:r>
      <w:r>
        <w:t xml:space="preserve">on the full real corpus, not a mocked or simplified version of it.</w:t>
      </w:r>
    </w:p>
    <w:p>
      <w:pPr>
        <w:pStyle w:val="BodyText"/>
      </w:pPr>
      <w:r>
        <w:rPr>
          <w:bCs/>
          <w:b/>
        </w:rPr>
        <w:t xml:space="preserve">What makes it honest, not just a script written to pass:</w:t>
      </w:r>
    </w:p>
    <w:p>
      <w:pPr>
        <w:numPr>
          <w:ilvl w:val="0"/>
          <w:numId w:val="1001"/>
        </w:numPr>
        <w:pStyle w:val="Compact"/>
      </w:pPr>
      <w:r>
        <w:t xml:space="preserve">Every query was written by reading a real chunk or capsule’s actual content, then PARAPHRASING it in different words — never copying the source’s exact phrasing. Verbatim-phrase queries trivially win at keyword search and prove nothing.</w:t>
      </w:r>
    </w:p>
    <w:p>
      <w:pPr>
        <w:numPr>
          <w:ilvl w:val="0"/>
          <w:numId w:val="1001"/>
        </w:numPr>
        <w:pStyle w:val="Compact"/>
      </w:pPr>
      <w:r>
        <w:t xml:space="preserve">Results are reported per source, not pooled into one aggregate that could hide a source doing badly.</w:t>
      </w:r>
    </w:p>
    <w:p>
      <w:pPr>
        <w:numPr>
          <w:ilvl w:val="0"/>
          <w:numId w:val="1001"/>
        </w:numPr>
        <w:pStyle w:val="Compact"/>
      </w:pPr>
      <w:r>
        <w:t xml:space="preserve">Failures are printed by name — the query, what was expected, what was actually returned — not just a pass rate.</w:t>
      </w:r>
    </w:p>
    <w:p>
      <w:pPr>
        <w:numPr>
          <w:ilvl w:val="0"/>
          <w:numId w:val="1001"/>
        </w:numPr>
        <w:pStyle w:val="Compact"/>
      </w:pPr>
      <w:r>
        <w:t xml:space="preserve">Includes queries DESIGNED to be hard: a deliberately generic query built from two real cases that share the same right and outcome label, to test whether content-free wording can actually distinguish them (it shouldn’t be expected to — that is exactly the scenario</w:t>
      </w:r>
      <w:r>
        <w:t xml:space="preserve"> </w:t>
      </w:r>
      <w:r>
        <w:rPr>
          <w:rStyle w:val="VerbatimChar"/>
        </w:rPr>
        <w:t xml:space="preserve">case_no</w:t>
      </w:r>
      <w:r>
        <w:t xml:space="preserve">-as-hard-filter exists for).</w:t>
      </w:r>
    </w:p>
    <w:p>
      <w:pPr>
        <w:numPr>
          <w:ilvl w:val="0"/>
          <w:numId w:val="1001"/>
        </w:numPr>
        <w:pStyle w:val="Compact"/>
      </w:pPr>
      <w:r>
        <w:t xml:space="preserve">Chunk-level retrieval is scored TWICE per query: once the realistic way (</w:t>
      </w:r>
      <w:r>
        <w:rPr>
          <w:rStyle w:val="VerbatimChar"/>
        </w:rPr>
        <w:t xml:space="preserve">case_no</w:t>
      </w:r>
      <w:r>
        <w:t xml:space="preserve"> </w:t>
      </w:r>
      <w:r>
        <w:t xml:space="preserve">applied as a hard filter first, matching the documented architecture), and once with NO filter at all, to measure how much the filter actually matters rather than assuming it.</w:t>
      </w:r>
    </w:p>
    <w:p>
      <w:pPr>
        <w:pStyle w:val="FirstParagraph"/>
      </w:pPr>
      <w:r>
        <w:rPr>
          <w:bCs/>
          <w:b/>
        </w:rPr>
        <w:t xml:space="preserve">Two question types tested:</w:t>
      </w:r>
    </w:p>
    <w:p>
      <w:pPr>
        <w:numPr>
          <w:ilvl w:val="0"/>
          <w:numId w:val="1002"/>
        </w:numPr>
        <w:pStyle w:val="Compact"/>
      </w:pPr>
      <w:r>
        <w:rPr>
          <w:bCs/>
          <w:b/>
        </w:rPr>
        <w:t xml:space="preserve">Stage 1 / case-level:</w:t>
      </w:r>
      <w:r>
        <w:t xml:space="preserve"> </w:t>
      </w:r>
      <w:r>
        <w:t xml:space="preserve">a natural, fact-based question a lawyer would plausibly ask about what happened and how it was decided — e.g. </w:t>
      </w:r>
      <w:r>
        <w:t xml:space="preserve">“</w:t>
      </w:r>
      <w:r>
        <w:t xml:space="preserve">A bank lost a client’s promissory note and the client sued for the resulting loss — did the appellate chamber require the client to prove the bank’s negligence directly caused the loss?</w:t>
      </w:r>
      <w:r>
        <w:t xml:space="preserve">”</w:t>
      </w:r>
      <w:r>
        <w:t xml:space="preserve"> </w:t>
      </w:r>
      <w:r>
        <w:t xml:space="preserve">Scored against</w:t>
      </w:r>
      <w:r>
        <w:t xml:space="preserve"> </w:t>
      </w:r>
      <w:r>
        <w:rPr>
          <w:rStyle w:val="VerbatimChar"/>
        </w:rPr>
        <w:t xml:space="preserve">reasoning_capsules</w:t>
      </w:r>
      <w:r>
        <w:t xml:space="preserve">; correct answer is a</w:t>
      </w:r>
      <w:r>
        <w:t xml:space="preserve"> </w:t>
      </w:r>
      <w:r>
        <w:rPr>
          <w:rStyle w:val="VerbatimChar"/>
        </w:rPr>
        <w:t xml:space="preserve">case_no</w:t>
      </w:r>
      <w:r>
        <w:t xml:space="preserve">.</w:t>
      </w:r>
    </w:p>
    <w:p>
      <w:pPr>
        <w:numPr>
          <w:ilvl w:val="0"/>
          <w:numId w:val="1002"/>
        </w:numPr>
        <w:pStyle w:val="Compact"/>
      </w:pPr>
      <w:r>
        <w:rPr>
          <w:bCs/>
          <w:b/>
        </w:rPr>
        <w:t xml:space="preserve">Stage 2 / chunk-level:</w:t>
      </w:r>
      <w:r>
        <w:t xml:space="preserve"> </w:t>
      </w:r>
      <w:r>
        <w:t xml:space="preserve">a specific, narrower question answered by one particular chunk — e.g. </w:t>
      </w:r>
      <w:r>
        <w:t xml:space="preserve">“</w:t>
      </w:r>
      <w:r>
        <w:t xml:space="preserve">Whose burden is it to prove that a lost negotiable instrument’s loss actually caused the plaintiff’s financial damage?</w:t>
      </w:r>
      <w:r>
        <w:t xml:space="preserve">”</w:t>
      </w:r>
      <w:r>
        <w:t xml:space="preserve"> </w:t>
      </w:r>
      <w:r>
        <w:t xml:space="preserve">Scored against chunks within the correct case; correct answer is a</w:t>
      </w:r>
      <w:r>
        <w:t xml:space="preserve"> </w:t>
      </w:r>
      <w:r>
        <w:rPr>
          <w:rStyle w:val="VerbatimChar"/>
        </w:rPr>
        <w:t xml:space="preserve">chunk_id</w:t>
      </w:r>
      <w:r>
        <w:t xml:space="preserve">.</w:t>
      </w:r>
    </w:p>
    <w:p>
      <w:pPr>
        <w:pStyle w:val="FirstParagraph"/>
      </w:pPr>
      <w:r>
        <w:rPr>
          <w:bCs/>
          <w:b/>
        </w:rPr>
        <w:t xml:space="preserve">Results:</w:t>
      </w:r>
    </w:p>
    <w:p>
      <w:pPr>
        <w:pStyle w:val="BodyText"/>
      </w:pPr>
      <w:r>
        <w:t xml:space="preserve">Stage 1 (case retrieval), code-generated corpus only: 0 of 5 test queries succeeded, on both top-1 and top-3. Root cause, not a test artifact:</w:t>
      </w:r>
      <w:r>
        <w:t xml:space="preserve"> </w:t>
      </w:r>
      <w:r>
        <w:rPr>
          <w:rStyle w:val="VerbatimChar"/>
        </w:rPr>
        <w:t xml:space="preserve">reasoning_summary</w:t>
      </w:r>
      <w:r>
        <w:t xml:space="preserve"> </w:t>
      </w:r>
      <w:r>
        <w:t xml:space="preserve">is null on every real capsule (it is the one field meant to be LLM-generated, and nothing had generated it yet), so a capsule’s only real text is a short templated outcome label — there is no factual content for a natural question to match against.</w:t>
      </w:r>
    </w:p>
    <w:p>
      <w:pPr>
        <w:pStyle w:val="BodyText"/>
      </w:pPr>
      <w:r>
        <w:t xml:space="preserve">Stage 1, with 5 documents’ chunks/capsules swapped for hand-built LLM-chunked versions (same corpus otherwise, same queries): 5 of 5 succeeded, after fixing two real mistakes the test itself surfaced — the hand-written</w:t>
      </w:r>
      <w:r>
        <w:t xml:space="preserve"> </w:t>
      </w:r>
      <w:r>
        <w:rPr>
          <w:rStyle w:val="VerbatimChar"/>
        </w:rPr>
        <w:t xml:space="preserve">reasoning_summary</w:t>
      </w:r>
      <w:r>
        <w:t xml:space="preserve"> </w:t>
      </w:r>
      <w:r>
        <w:t xml:space="preserve">text had been written in English against a Turkish corpus and Turkish queries (masked as a partial 3/5 pass before the fix, since three sources happened to still win on distinctive Turkish terms elsewhere in the capsule), and one dissent capsule’s summary had been placed in the wrong field. Once both were fixed: 5 of 5.</w:t>
      </w:r>
    </w:p>
    <w:p>
      <w:pPr>
        <w:pStyle w:val="BodyText"/>
      </w:pPr>
      <w:r>
        <w:t xml:space="preserve">Stage 2 (chunk retrieval), filtered by</w:t>
      </w:r>
      <w:r>
        <w:t xml:space="preserve"> </w:t>
      </w:r>
      <w:r>
        <w:rPr>
          <w:rStyle w:val="VerbatimChar"/>
        </w:rPr>
        <w:t xml:space="preserve">case_no</w:t>
      </w:r>
      <w:r>
        <w:t xml:space="preserve"> </w:t>
      </w:r>
      <w:r>
        <w:t xml:space="preserve">as the real architecture does: 6 of 6 in top-3, 3 of 6 exact top-1 — the right chunk is reliably nearby but not always ranked first, a smaller, real limitation of plain keyword scoring on short, vocabulary-dense legal text.</w:t>
      </w:r>
    </w:p>
    <w:p>
      <w:pPr>
        <w:pStyle w:val="BodyText"/>
      </w:pPr>
      <w:r>
        <w:t xml:space="preserve">Stage 2, with the</w:t>
      </w:r>
      <w:r>
        <w:t xml:space="preserve"> </w:t>
      </w:r>
      <w:r>
        <w:rPr>
          <w:rStyle w:val="VerbatimChar"/>
        </w:rPr>
        <w:t xml:space="preserve">case_no</w:t>
      </w:r>
      <w:r>
        <w:t xml:space="preserve"> </w:t>
      </w:r>
      <w:r>
        <w:t xml:space="preserve">filter deliberately removed (diagnostic only): failed on the same queries that succeeded filtered, repeatedly and on both the code-only and LLM-swapped corpora — direct, measured confirmation that the hard filter is necessary, not decorative.</w:t>
      </w:r>
    </w:p>
    <w:p>
      <w:pPr>
        <w:pStyle w:val="BodyText"/>
      </w:pPr>
      <w:r>
        <w:rPr>
          <w:bCs/>
          <w:b/>
        </w:rPr>
        <w:t xml:space="preserve">Found by testing, not before it:</w:t>
      </w:r>
    </w:p>
    <w:p>
      <w:pPr>
        <w:numPr>
          <w:ilvl w:val="0"/>
          <w:numId w:val="1003"/>
        </w:numPr>
        <w:pStyle w:val="Compact"/>
      </w:pPr>
      <w:r>
        <w:t xml:space="preserve">25 real kvkk records had a malformed</w:t>
      </w:r>
      <w:r>
        <w:t xml:space="preserve"> </w:t>
      </w:r>
      <w:r>
        <w:rPr>
          <w:rStyle w:val="VerbatimChar"/>
        </w:rPr>
        <w:t xml:space="preserve">case_no</w:t>
      </w:r>
      <w:r>
        <w:t xml:space="preserve"> </w:t>
      </w:r>
      <w:r>
        <w:t xml:space="preserve">with a stray leading colon (source-data artifact, likely a stripped label like</w:t>
      </w:r>
      <w:r>
        <w:t xml:space="preserve"> </w:t>
      </w:r>
      <w:r>
        <w:t xml:space="preserve">“</w:t>
      </w:r>
      <w:r>
        <w:t xml:space="preserve">Karar Sayısı:</w:t>
      </w:r>
      <w:r>
        <w:t xml:space="preserve">”</w:t>
      </w:r>
      <w:r>
        <w:t xml:space="preserve">). Fixed in</w:t>
      </w:r>
      <w:r>
        <w:t xml:space="preserve"> </w:t>
      </w:r>
      <w:r>
        <w:rPr>
          <w:rStyle w:val="VerbatimChar"/>
        </w:rPr>
        <w:t xml:space="preserve">process_kvkk</w:t>
      </w:r>
      <w:r>
        <w:t xml:space="preserve">; verified 0 remaining across the full 189-document kvkk corpus.</w:t>
      </w:r>
    </w:p>
    <w:p>
      <w:pPr>
        <w:numPr>
          <w:ilvl w:val="0"/>
          <w:numId w:val="1003"/>
        </w:numPr>
        <w:pStyle w:val="Compact"/>
      </w:pPr>
      <w:r>
        <w:t xml:space="preserve">The two</w:t>
      </w:r>
      <w:r>
        <w:t xml:space="preserve"> </w:t>
      </w:r>
      <w:r>
        <w:rPr>
          <w:rStyle w:val="VerbatimChar"/>
        </w:rPr>
        <w:t xml:space="preserve">reasoning_summary</w:t>
      </w:r>
      <w:r>
        <w:t xml:space="preserve"> </w:t>
      </w:r>
      <w:r>
        <w:t xml:space="preserve">mistakes described above (wrong language; one summary in the wrong field) were only caught because the test failed honestly instead of being written to pass.</w:t>
      </w:r>
    </w:p>
    <w:p>
      <w:pPr>
        <w:pStyle w:val="FirstParagraph"/>
      </w:pPr>
      <w:r>
        <w:rPr>
          <w:bCs/>
          <w:b/>
        </w:rPr>
        <w:t xml:space="preserve">How to reproduce:</w:t>
      </w:r>
      <w:r>
        <w:t xml:space="preserve"> </w:t>
      </w:r>
      <w:r>
        <w:rPr>
          <w:rStyle w:val="VerbatimChar"/>
        </w:rPr>
        <w:t xml:space="preserve">test_retrieval.py</w:t>
      </w:r>
      <w:r>
        <w:t xml:space="preserve">, run from the</w:t>
      </w:r>
      <w:r>
        <w:t xml:space="preserve"> </w:t>
      </w:r>
      <w:r>
        <w:rPr>
          <w:rStyle w:val="VerbatimChar"/>
        </w:rPr>
        <w:t xml:space="preserve">scripts/</w:t>
      </w:r>
      <w:r>
        <w:t xml:space="preserve"> </w:t>
      </w:r>
      <w:r>
        <w:t xml:space="preserve">folder.</w:t>
      </w:r>
      <w:r>
        <w:t xml:space="preserve"> </w:t>
      </w:r>
      <w:r>
        <w:rPr>
          <w:rStyle w:val="VerbatimChar"/>
        </w:rPr>
        <w:t xml:space="preserve">python test_retrieval.py</w:t>
      </w:r>
      <w:r>
        <w:t xml:space="preserve"> </w:t>
      </w:r>
      <w:r>
        <w:t xml:space="preserve">runs the code-only corpus test;</w:t>
      </w:r>
      <w:r>
        <w:t xml:space="preserve"> </w:t>
      </w:r>
      <w:r>
        <w:rPr>
          <w:rStyle w:val="VerbatimChar"/>
        </w:rPr>
        <w:t xml:space="preserve">python test_retrieval.py --llm-swap</w:t>
      </w:r>
      <w:r>
        <w:t xml:space="preserve"> </w:t>
      </w:r>
      <w:r>
        <w:t xml:space="preserve">additionally swaps in the 5 LLM-chunked documents for direct comparison on identical queries.</w:t>
      </w:r>
    </w:p>
    <w:p>
      <w:pPr>
        <w:pStyle w:val="BodyText"/>
      </w:pPr>
      <w:r>
        <w:rPr>
          <w:iCs/>
          <w:i/>
        </w:rPr>
        <w:t xml:space="preserve">Version: September 2026 — section 7.3 added after building and running an honest, reproducible retrieval test against the real pipeline output.</w:t>
      </w:r>
    </w:p>
    <w:bookmarkEnd w:id="28"/>
    <w:bookmarkStart w:id="29" w:name="honest-retrieval-test-second-design"/>
    <w:p>
      <w:pPr>
        <w:pStyle w:val="Heading2"/>
      </w:pPr>
      <w:r>
        <w:t xml:space="preserve">7.4 Honest retrieval test, second design</w:t>
      </w:r>
    </w:p>
    <w:p>
      <w:pPr>
        <w:pStyle w:val="FirstParagraph"/>
      </w:pPr>
      <w:r>
        <w:t xml:space="preserve">The second test separates two things the first design mixed together.</w:t>
      </w:r>
      <w:r>
        <w:t xml:space="preserve"> </w:t>
      </w:r>
      <w:r>
        <w:rPr>
          <w:bCs/>
          <w:b/>
        </w:rPr>
        <w:t xml:space="preserve">Storage is mechanical</w:t>
      </w:r>
      <w:r>
        <w:t xml:space="preserve"> </w:t>
      </w:r>
      <w:r>
        <w:t xml:space="preserve">and is a real pass/fail at n=10.</w:t>
      </w:r>
      <w:r>
        <w:t xml:space="preserve"> </w:t>
      </w:r>
      <w:r>
        <w:rPr>
          <w:bCs/>
          <w:b/>
        </w:rPr>
        <w:t xml:space="preserve">Retrieval is statistical</w:t>
      </w:r>
      <w:r>
        <w:t xml:space="preserve"> </w:t>
      </w:r>
      <w:r>
        <w:t xml:space="preserve">and at this corpus size is a smoke test only — reported as such, never as a headline accuracy figure.</w:t>
      </w:r>
    </w:p>
    <w:p>
      <w:pPr>
        <w:pStyle w:val="BodyText"/>
      </w:pPr>
      <w:r>
        <w:rPr>
          <w:bCs/>
          <w:b/>
        </w:rPr>
        <w:t xml:space="preserve">Design rules:</w:t>
      </w:r>
    </w:p>
    <w:p>
      <w:pPr>
        <w:numPr>
          <w:ilvl w:val="0"/>
          <w:numId w:val="1004"/>
        </w:numPr>
        <w:pStyle w:val="Compact"/>
      </w:pPr>
      <w:r>
        <w:t xml:space="preserve">Queries are written from raw court text only, never from pipeline output. A query built from a chunk’s own wording tests nothing.</w:t>
      </w:r>
    </w:p>
    <w:p>
      <w:pPr>
        <w:numPr>
          <w:ilvl w:val="0"/>
          <w:numId w:val="1004"/>
        </w:numPr>
        <w:pStyle w:val="Compact"/>
      </w:pPr>
      <w:r>
        <w:t xml:space="preserve">Stage 2 ground truth is a</w:t>
      </w:r>
      <w:r>
        <w:t xml:space="preserve"> </w:t>
      </w:r>
      <w:r>
        <w:rPr>
          <w:bCs/>
          <w:b/>
        </w:rPr>
        <w:t xml:space="preserve">paragraph number</w:t>
      </w:r>
      <w:r>
        <w:t xml:space="preserve">, resolved to a chunk by code at scoring time. The answer key therefore survives re-segmentation — a prompt change that re-cuts the chunks does not invalidate the test set.</w:t>
      </w:r>
    </w:p>
    <w:p>
      <w:pPr>
        <w:numPr>
          <w:ilvl w:val="0"/>
          <w:numId w:val="1004"/>
        </w:numPr>
        <w:pStyle w:val="Compact"/>
      </w:pPr>
      <w:r>
        <w:t xml:space="preserve">An n-gram leakage audit runs over every query against the corpus before scoring.</w:t>
      </w:r>
    </w:p>
    <w:p>
      <w:pPr>
        <w:numPr>
          <w:ilvl w:val="0"/>
          <w:numId w:val="1004"/>
        </w:numPr>
        <w:pStyle w:val="Compact"/>
      </w:pPr>
      <w:r>
        <w:t xml:space="preserve">The query file is hashed into the report, so a result can be tied to the exact queries that produced it.</w:t>
      </w:r>
    </w:p>
    <w:p>
      <w:pPr>
        <w:numPr>
          <w:ilvl w:val="0"/>
          <w:numId w:val="1004"/>
        </w:numPr>
        <w:pStyle w:val="Compact"/>
      </w:pPr>
      <w:r>
        <w:t xml:space="preserve">A shuffled-label control runs alongside every scored run.</w:t>
      </w:r>
    </w:p>
    <w:p>
      <w:pPr>
        <w:numPr>
          <w:ilvl w:val="0"/>
          <w:numId w:val="1004"/>
        </w:numPr>
        <w:pStyle w:val="Compact"/>
      </w:pPr>
      <w:r>
        <w:t xml:space="preserve">Every number is reported with its chance baseline. No aggregate percentage is published.</w:t>
      </w:r>
    </w:p>
    <w:p>
      <w:pPr>
        <w:pStyle w:val="FirstParagraph"/>
      </w:pPr>
      <w:r>
        <w:rPr>
          <w:bCs/>
          <w:b/>
        </w:rPr>
        <w:t xml:space="preserve">Results — 10 documents, 30 queries:</w:t>
      </w:r>
    </w:p>
    <w:tbl>
      <w:tblPr>
        <w:tblStyle w:val="Table"/>
        <w:tblW w:type="pct" w:w="5000"/>
        <w:tblLook w:firstRow="1" w:lastRow="0" w:firstColumn="0" w:lastColumn="0" w:noHBand="0" w:noVBand="1" w:val="0420"/>
        <w:jc w:val="start"/>
      </w:tblPr>
      <w:tblGrid>
        <w:gridCol w:w="2444"/>
        <w:gridCol w:w="1271"/>
        <w:gridCol w:w="2053"/>
        <w:gridCol w:w="2151"/>
      </w:tblGrid>
      <w:tr>
        <w:trPr>
          <w:tblHeader w:val="true"/>
        </w:trPr>
        <w:tc>
          <w:tcPr/>
          <w:p>
            <w:pPr>
              <w:pStyle w:val="Compact"/>
              <w:jc w:val="left"/>
            </w:pPr>
            <w:r>
              <w:rPr>
                <w:bCs/>
                <w:b/>
              </w:rPr>
              <w:t xml:space="preserve">Measure</w:t>
            </w:r>
          </w:p>
        </w:tc>
        <w:tc>
          <w:tcPr/>
          <w:p>
            <w:pPr>
              <w:pStyle w:val="Compact"/>
              <w:jc w:val="left"/>
            </w:pPr>
            <w:r>
              <w:rPr>
                <w:bCs/>
                <w:b/>
              </w:rPr>
              <w:t xml:space="preserve">Result</w:t>
            </w:r>
          </w:p>
        </w:tc>
        <w:tc>
          <w:tcPr/>
          <w:p>
            <w:pPr>
              <w:pStyle w:val="Compact"/>
              <w:jc w:val="left"/>
            </w:pPr>
            <w:r>
              <w:rPr>
                <w:bCs/>
                <w:b/>
              </w:rPr>
              <w:t xml:space="preserve">Chance baseline</w:t>
            </w:r>
          </w:p>
        </w:tc>
        <w:tc>
          <w:tcPr/>
          <w:p>
            <w:pPr>
              <w:pStyle w:val="Compact"/>
              <w:jc w:val="left"/>
            </w:pPr>
            <w:r>
              <w:rPr>
                <w:bCs/>
                <w:b/>
              </w:rPr>
              <w:t xml:space="preserve">Shuffled control</w:t>
            </w:r>
          </w:p>
        </w:tc>
      </w:tr>
      <w:tr>
        <w:tc>
          <w:tcPr/>
          <w:p>
            <w:pPr>
              <w:pStyle w:val="Compact"/>
              <w:jc w:val="left"/>
            </w:pPr>
            <w:r>
              <w:t xml:space="preserve">Stage 1, top-1</w:t>
            </w:r>
          </w:p>
        </w:tc>
        <w:tc>
          <w:tcPr/>
          <w:p>
            <w:pPr>
              <w:pStyle w:val="Compact"/>
              <w:jc w:val="left"/>
            </w:pPr>
            <w:r>
              <w:t xml:space="preserve">9 / 10</w:t>
            </w:r>
          </w:p>
        </w:tc>
        <w:tc>
          <w:tcPr/>
          <w:p>
            <w:pPr>
              <w:pStyle w:val="Compact"/>
              <w:jc w:val="left"/>
            </w:pPr>
            <w:r>
              <w:t xml:space="preserve">0.10</w:t>
            </w:r>
          </w:p>
        </w:tc>
        <w:tc>
          <w:tcPr/>
          <w:p>
            <w:pPr>
              <w:pStyle w:val="Compact"/>
              <w:jc w:val="left"/>
            </w:pPr>
            <w:r>
              <w:t xml:space="preserve">0.100</w:t>
            </w:r>
          </w:p>
        </w:tc>
      </w:tr>
      <w:tr>
        <w:tc>
          <w:tcPr/>
          <w:p>
            <w:pPr>
              <w:pStyle w:val="Compact"/>
              <w:jc w:val="left"/>
            </w:pPr>
            <w:r>
              <w:t xml:space="preserve">Stage 2, filtered</w:t>
            </w:r>
          </w:p>
        </w:tc>
        <w:tc>
          <w:tcPr/>
          <w:p>
            <w:pPr>
              <w:pStyle w:val="Compact"/>
              <w:jc w:val="left"/>
            </w:pPr>
            <w:r>
              <w:t xml:space="preserve">17 / 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Stage 2, unfiltered</w:t>
            </w:r>
          </w:p>
        </w:tc>
        <w:tc>
          <w:tcPr/>
          <w:p>
            <w:pPr>
              <w:pStyle w:val="Compact"/>
              <w:jc w:val="left"/>
            </w:pPr>
            <w:r>
              <w:t xml:space="preserve">16 / 20</w:t>
            </w:r>
          </w:p>
        </w:tc>
        <w:tc>
          <w:tcPr/>
          <w:p>
            <w:pPr>
              <w:pStyle w:val="Compact"/>
              <w:jc w:val="left"/>
            </w:pPr>
            <w:r>
              <w:t xml:space="preserve">—</w:t>
            </w:r>
          </w:p>
        </w:tc>
        <w:tc>
          <w:tcPr/>
          <w:p>
            <w:pPr>
              <w:pStyle w:val="Compact"/>
              <w:jc w:val="left"/>
            </w:pPr>
            <w:r>
              <w:t xml:space="preserve">—</w:t>
            </w:r>
          </w:p>
        </w:tc>
      </w:tr>
    </w:tbl>
    <w:p>
      <w:pPr>
        <w:spacing w:before="0" w:after="0" w:line="120" w:lineRule="exact"/>
      </w:pPr>
    </w:p>
    <w:p>
      <w:pPr>
        <w:pStyle w:val="BodyText"/>
      </w:pPr>
      <w:r>
        <w:rPr>
          <w:bCs/>
          <w:b/>
        </w:rPr>
        <w:t xml:space="preserve">Disclosed, not buried:</w:t>
      </w:r>
      <w:r>
        <w:t xml:space="preserve"> </w:t>
      </w:r>
      <w:r>
        <w:t xml:space="preserve">the queries were written by the assistant, not by an independent lawyer. One 6-gram convergence with a capsule was caught by the leakage audit and the query was reworded before scoring.</w:t>
      </w:r>
    </w:p>
    <w:p>
      <w:pPr>
        <w:pStyle w:val="BodyText"/>
      </w:pPr>
      <w:r>
        <w:rPr>
          <w:bCs/>
          <w:b/>
        </w:rPr>
        <w:t xml:space="preserve">Weak spot:</w:t>
      </w:r>
      <w:r>
        <w:t xml:space="preserve"> </w:t>
      </w:r>
      <w:r>
        <w:t xml:space="preserve">aym Stage 2 scored 3/6. The cause is known — aym chunks are large merges, so a paragraph-level answer key often lands inside a chunk that also contains several unrelated paragraphs. This is the segmentation issue recorded as an open item in section 9, not a retrieval-scoring artifact.</w:t>
      </w:r>
    </w:p>
    <w:p>
      <w:pPr>
        <w:pStyle w:val="BodyText"/>
      </w:pPr>
      <w:r>
        <w:rPr>
          <w:iCs/>
          <w:i/>
        </w:rPr>
        <w:t xml:space="preserve">Version: September 2026 — section 7.4 added after the second-design retrieval test. Implementation date: 11–14 September 2026.</w:t>
      </w:r>
    </w:p>
    <w:bookmarkEnd w:id="29"/>
    <w:bookmarkEnd w:id="30"/>
    <w:bookmarkStart w:id="35" w:name="real-json-examples"/>
    <w:p>
      <w:pPr>
        <w:pStyle w:val="Heading1"/>
      </w:pPr>
      <w:r>
        <w:t xml:space="preserve">8. Real JSON Examples</w:t>
      </w:r>
    </w:p>
    <w:p>
      <w:pPr>
        <w:pStyle w:val="FirstParagraph"/>
      </w:pPr>
      <w:r>
        <w:t xml:space="preserve">All examples below are real data from case 2019/12951 (Turkcell İletişim Hizmetleri A.Ş. — property rights, no violation), and are</w:t>
      </w:r>
      <w:r>
        <w:t xml:space="preserve"> </w:t>
      </w:r>
      <w:r>
        <w:rPr>
          <w:bCs/>
          <w:b/>
        </w:rPr>
        <w:t xml:space="preserve">regex-pipeline output</w:t>
      </w:r>
      <w:r>
        <w:t xml:space="preserve">.</w:t>
      </w:r>
    </w:p>
    <w:bookmarkStart w:id="31" w:name="a-rule-chunk-paragraphs-1820-merged"/>
    <w:p>
      <w:pPr>
        <w:pStyle w:val="Heading2"/>
      </w:pPr>
      <w:r>
        <w:t xml:space="preserve">8.1 A Rule chunk (paragraphs §18–§20 merged)</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"2019-12951-p18_to_p20"</w:t>
      </w:r>
      <w:r>
        <w:rPr>
          <w:rStyle w:val="FunctionTok"/>
        </w:rPr>
        <w:t xml:space="preserve">,</w:t>
      </w:r>
      <w:r>
        <w:br/>
      </w:r>
      <w:r>
        <w:rPr>
          <w:rStyle w:val="NormalTok"/>
        </w:rPr>
        <w:t xml:space="preserve">  </w:t>
      </w:r>
      <w:r>
        <w:rPr>
          <w:rStyle w:val="DataTypeTok"/>
        </w:rPr>
        <w:t xml:space="preserve">"case_no"</w:t>
      </w:r>
      <w:r>
        <w:rPr>
          <w:rStyle w:val="FunctionTok"/>
        </w:rPr>
        <w:t xml:space="preserve">:</w:t>
      </w:r>
      <w:r>
        <w:rPr>
          <w:rStyle w:val="NormalTok"/>
        </w:rPr>
        <w:t xml:space="preserve"> </w:t>
      </w:r>
      <w:r>
        <w:rPr>
          <w:rStyle w:val="StringTok"/>
        </w:rPr>
        <w:t xml:space="preserve">"2019/12951"</w:t>
      </w:r>
      <w:r>
        <w:rPr>
          <w:rStyle w:val="FunctionTok"/>
        </w:rPr>
        <w:t xml:space="preserve">,</w:t>
      </w:r>
      <w:r>
        <w:br/>
      </w:r>
      <w:r>
        <w:rPr>
          <w:rStyle w:val="NormalTok"/>
        </w:rPr>
        <w:t xml:space="preserve">  </w:t>
      </w:r>
      <w:r>
        <w:rPr>
          <w:rStyle w:val="DataTypeTok"/>
        </w:rPr>
        <w:t xml:space="preserve">"source_paragraph_ids"</w:t>
      </w:r>
      <w:r>
        <w:rPr>
          <w:rStyle w:val="FunctionTok"/>
        </w:rPr>
        <w:t xml:space="preserve">:</w:t>
      </w:r>
      <w:r>
        <w:rPr>
          <w:rStyle w:val="NormalTok"/>
        </w:rPr>
        <w:t xml:space="preserve"> </w:t>
      </w:r>
      <w:r>
        <w:rPr>
          <w:rStyle w:val="OtherTok"/>
        </w:rPr>
        <w:t xml:space="preserve">[</w:t>
      </w:r>
      <w:r>
        <w:rPr>
          <w:rStyle w:val="StringTok"/>
        </w:rPr>
        <w:t xml:space="preserve">"2019-12951-p18"</w:t>
      </w:r>
      <w:r>
        <w:rPr>
          <w:rStyle w:val="OtherTok"/>
        </w:rPr>
        <w:t xml:space="preserve">,</w:t>
      </w:r>
      <w:r>
        <w:rPr>
          <w:rStyle w:val="NormalTok"/>
        </w:rPr>
        <w:t xml:space="preserve"> </w:t>
      </w:r>
      <w:r>
        <w:rPr>
          <w:rStyle w:val="StringTok"/>
        </w:rPr>
        <w:t xml:space="preserve">"2019-12951-p19"</w:t>
      </w:r>
      <w:r>
        <w:rPr>
          <w:rStyle w:val="OtherTok"/>
        </w:rPr>
        <w:t xml:space="preserve">,</w:t>
      </w:r>
      <w:r>
        <w:rPr>
          <w:rStyle w:val="NormalTok"/>
        </w:rPr>
        <w:t xml:space="preserve"> </w:t>
      </w:r>
      <w:r>
        <w:rPr>
          <w:rStyle w:val="StringTok"/>
        </w:rPr>
        <w:t xml:space="preserve">"2019-12951-p20"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"18. The relevant part of Law No. 4054 Article 4 (Restrictive</w:t>
      </w:r>
      <w:r>
        <w:br/>
      </w:r>
      <w:r>
        <w:rPr>
          <w:rStyle w:val="StringTok"/>
        </w:rPr>
        <w:t xml:space="preserve">           Agreements) is as follows: 19. Article 6 (Abuse of Dominant</w:t>
      </w:r>
      <w:r>
        <w:br/>
      </w:r>
      <w:r>
        <w:rPr>
          <w:rStyle w:val="StringTok"/>
        </w:rPr>
        <w:t xml:space="preserve">           Position): ... 20. Article 16(3) (Administrative Fine): ..."</w:t>
      </w:r>
      <w:r>
        <w:rPr>
          <w:rStyle w:val="FunctionTok"/>
        </w:rPr>
        <w:t xml:space="preserve">,</w:t>
      </w:r>
      <w:r>
        <w:br/>
      </w:r>
      <w:r>
        <w:rPr>
          <w:rStyle w:val="NormalTok"/>
        </w:rPr>
        <w:t xml:space="preserve">  </w:t>
      </w:r>
      <w:r>
        <w:rPr>
          <w:rStyle w:val="DataTypeTok"/>
        </w:rPr>
        <w:t xml:space="preserve">"char_length"</w:t>
      </w:r>
      <w:r>
        <w:rPr>
          <w:rStyle w:val="FunctionTok"/>
        </w:rPr>
        <w:t xml:space="preserve">:</w:t>
      </w:r>
      <w:r>
        <w:rPr>
          <w:rStyle w:val="NormalTok"/>
        </w:rPr>
        <w:t xml:space="preserve"> </w:t>
      </w:r>
      <w:r>
        <w:rPr>
          <w:rStyle w:val="DecValTok"/>
        </w:rPr>
        <w:t xml:space="preserve">344</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"reasoning"</w:t>
      </w:r>
      <w:r>
        <w:rPr>
          <w:rStyle w:val="FunctionTok"/>
        </w:rPr>
        <w:t xml:space="preserve">,</w:t>
      </w:r>
      <w:r>
        <w:br/>
      </w:r>
      <w:r>
        <w:rPr>
          <w:rStyle w:val="NormalTok"/>
        </w:rPr>
        <w:t xml:space="preserve">  </w:t>
      </w:r>
      <w:r>
        <w:rPr>
          <w:rStyle w:val="DataTypeTok"/>
        </w:rPr>
        <w:t xml:space="preserve">"firac_role"</w:t>
      </w:r>
      <w:r>
        <w:rPr>
          <w:rStyle w:val="FunctionTok"/>
        </w:rPr>
        <w:t xml:space="preserve">:</w:t>
      </w:r>
      <w:r>
        <w:rPr>
          <w:rStyle w:val="NormalTok"/>
        </w:rPr>
        <w:t xml:space="preserve"> </w:t>
      </w:r>
      <w:r>
        <w:rPr>
          <w:rStyle w:val="StringTok"/>
        </w:rPr>
        <w:t xml:space="preserve">"rule"</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OtherTok"/>
        </w:rPr>
        <w:t xml:space="preserve">[</w:t>
      </w:r>
      <w:r>
        <w:rPr>
          <w:rStyle w:val="StringTok"/>
        </w:rPr>
        <w:t xml:space="preserve">"mülkiyet_hakkı"</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bookmarkEnd w:id="31"/>
    <w:bookmarkStart w:id="32" w:name="X8ec836eddeafec10e6c71356e278b9f9773ab05"/>
    <w:p>
      <w:pPr>
        <w:pStyle w:val="Heading2"/>
      </w:pPr>
      <w:r>
        <w:t xml:space="preserve">8.2 An Application chunk (paragraphs §25–§26 merged)</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"2019-12951-p25_to_p26"</w:t>
      </w:r>
      <w:r>
        <w:rPr>
          <w:rStyle w:val="FunctionTok"/>
        </w:rPr>
        <w:t xml:space="preserve">,</w:t>
      </w:r>
      <w:r>
        <w:br/>
      </w:r>
      <w:r>
        <w:rPr>
          <w:rStyle w:val="NormalTok"/>
        </w:rPr>
        <w:t xml:space="preserve">  </w:t>
      </w:r>
      <w:r>
        <w:rPr>
          <w:rStyle w:val="DataTypeTok"/>
        </w:rPr>
        <w:t xml:space="preserve">"case_no"</w:t>
      </w:r>
      <w:r>
        <w:rPr>
          <w:rStyle w:val="FunctionTok"/>
        </w:rPr>
        <w:t xml:space="preserve">:</w:t>
      </w:r>
      <w:r>
        <w:rPr>
          <w:rStyle w:val="NormalTok"/>
        </w:rPr>
        <w:t xml:space="preserve"> </w:t>
      </w:r>
      <w:r>
        <w:rPr>
          <w:rStyle w:val="StringTok"/>
        </w:rPr>
        <w:t xml:space="preserve">"2019/12951"</w:t>
      </w:r>
      <w:r>
        <w:rPr>
          <w:rStyle w:val="FunctionTok"/>
        </w:rPr>
        <w:t xml:space="preserve">,</w:t>
      </w:r>
      <w:r>
        <w:br/>
      </w:r>
      <w:r>
        <w:rPr>
          <w:rStyle w:val="NormalTok"/>
        </w:rPr>
        <w:t xml:space="preserve">  </w:t>
      </w:r>
      <w:r>
        <w:rPr>
          <w:rStyle w:val="DataTypeTok"/>
        </w:rPr>
        <w:t xml:space="preserve">"source_paragraph_ids"</w:t>
      </w:r>
      <w:r>
        <w:rPr>
          <w:rStyle w:val="FunctionTok"/>
        </w:rPr>
        <w:t xml:space="preserve">:</w:t>
      </w:r>
      <w:r>
        <w:rPr>
          <w:rStyle w:val="NormalTok"/>
        </w:rPr>
        <w:t xml:space="preserve"> </w:t>
      </w:r>
      <w:r>
        <w:rPr>
          <w:rStyle w:val="OtherTok"/>
        </w:rPr>
        <w:t xml:space="preserve">[</w:t>
      </w:r>
      <w:r>
        <w:rPr>
          <w:rStyle w:val="StringTok"/>
        </w:rPr>
        <w:t xml:space="preserve">"2019-12951-p25"</w:t>
      </w:r>
      <w:r>
        <w:rPr>
          <w:rStyle w:val="OtherTok"/>
        </w:rPr>
        <w:t xml:space="preserve">,</w:t>
      </w:r>
      <w:r>
        <w:rPr>
          <w:rStyle w:val="NormalTok"/>
        </w:rPr>
        <w:t xml:space="preserve"> </w:t>
      </w:r>
      <w:r>
        <w:rPr>
          <w:rStyle w:val="StringTok"/>
        </w:rPr>
        <w:t xml:space="preserve">"2019-12951-p26"</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"25. The applicant, having been granted legal aid, was found to</w:t>
      </w:r>
      <w:r>
        <w:br/>
      </w:r>
      <w:r>
        <w:rPr>
          <w:rStyle w:val="StringTok"/>
        </w:rPr>
        <w:t xml:space="preserve">           have standing to file this individual application... 26. The</w:t>
      </w:r>
      <w:r>
        <w:br/>
      </w:r>
      <w:r>
        <w:rPr>
          <w:rStyle w:val="StringTok"/>
        </w:rPr>
        <w:t xml:space="preserve">           administrative fine imposed by a finalized court judgment..."</w:t>
      </w:r>
      <w:r>
        <w:rPr>
          <w:rStyle w:val="FunctionTok"/>
        </w:rPr>
        <w:t xml:space="preserve">,</w:t>
      </w:r>
      <w:r>
        <w:br/>
      </w:r>
      <w:r>
        <w:rPr>
          <w:rStyle w:val="NormalTok"/>
        </w:rPr>
        <w:t xml:space="preserve">  </w:t>
      </w:r>
      <w:r>
        <w:rPr>
          <w:rStyle w:val="DataTypeTok"/>
        </w:rPr>
        <w:t xml:space="preserve">"char_length"</w:t>
      </w:r>
      <w:r>
        <w:rPr>
          <w:rStyle w:val="FunctionTok"/>
        </w:rPr>
        <w:t xml:space="preserve">:</w:t>
      </w:r>
      <w:r>
        <w:rPr>
          <w:rStyle w:val="NormalTok"/>
        </w:rPr>
        <w:t xml:space="preserve"> </w:t>
      </w:r>
      <w:r>
        <w:rPr>
          <w:rStyle w:val="DecValTok"/>
        </w:rPr>
        <w:t xml:space="preserve">737</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"reasoning"</w:t>
      </w:r>
      <w:r>
        <w:rPr>
          <w:rStyle w:val="FunctionTok"/>
        </w:rPr>
        <w:t xml:space="preserve">,</w:t>
      </w:r>
      <w:r>
        <w:br/>
      </w:r>
      <w:r>
        <w:rPr>
          <w:rStyle w:val="NormalTok"/>
        </w:rPr>
        <w:t xml:space="preserve">  </w:t>
      </w:r>
      <w:r>
        <w:rPr>
          <w:rStyle w:val="DataTypeTok"/>
        </w:rPr>
        <w:t xml:space="preserve">"firac_role"</w:t>
      </w:r>
      <w:r>
        <w:rPr>
          <w:rStyle w:val="FunctionTok"/>
        </w:rPr>
        <w:t xml:space="preserve">:</w:t>
      </w:r>
      <w:r>
        <w:rPr>
          <w:rStyle w:val="NormalTok"/>
        </w:rPr>
        <w:t xml:space="preserve"> </w:t>
      </w:r>
      <w:r>
        <w:rPr>
          <w:rStyle w:val="StringTok"/>
        </w:rPr>
        <w:t xml:space="preserve">"application"</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OtherTok"/>
        </w:rPr>
        <w:t xml:space="preserve">[</w:t>
      </w:r>
      <w:r>
        <w:rPr>
          <w:rStyle w:val="StringTok"/>
        </w:rPr>
        <w:t xml:space="preserve">"mülkiyet_hakkı"</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bookmarkEnd w:id="32"/>
    <w:bookmarkStart w:id="33" w:name="a-conclusion-chunk-the-operative-ruling"/>
    <w:p>
      <w:pPr>
        <w:pStyle w:val="Heading2"/>
      </w:pPr>
      <w:r>
        <w:t xml:space="preserve">8.3 A Conclusion chunk (the operative ruling)</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"2019-12951-hukum-A_to_D"</w:t>
      </w:r>
      <w:r>
        <w:rPr>
          <w:rStyle w:val="FunctionTok"/>
        </w:rPr>
        <w:t xml:space="preserve">,</w:t>
      </w:r>
      <w:r>
        <w:br/>
      </w:r>
      <w:r>
        <w:rPr>
          <w:rStyle w:val="NormalTok"/>
        </w:rPr>
        <w:t xml:space="preserve">  </w:t>
      </w:r>
      <w:r>
        <w:rPr>
          <w:rStyle w:val="DataTypeTok"/>
        </w:rPr>
        <w:t xml:space="preserve">"case_no"</w:t>
      </w:r>
      <w:r>
        <w:rPr>
          <w:rStyle w:val="FunctionTok"/>
        </w:rPr>
        <w:t xml:space="preserve">:</w:t>
      </w:r>
      <w:r>
        <w:rPr>
          <w:rStyle w:val="NormalTok"/>
        </w:rPr>
        <w:t xml:space="preserve"> </w:t>
      </w:r>
      <w:r>
        <w:rPr>
          <w:rStyle w:val="StringTok"/>
        </w:rPr>
        <w:t xml:space="preserve">"2019/12951"</w:t>
      </w:r>
      <w:r>
        <w:rPr>
          <w:rStyle w:val="FunctionTok"/>
        </w:rPr>
        <w:t xml:space="preserve">,</w:t>
      </w:r>
      <w:r>
        <w:br/>
      </w:r>
      <w:r>
        <w:rPr>
          <w:rStyle w:val="NormalTok"/>
        </w:rPr>
        <w:t xml:space="preserve">  </w:t>
      </w:r>
      <w:r>
        <w:rPr>
          <w:rStyle w:val="DataTypeTok"/>
        </w:rPr>
        <w:t xml:space="preserve">"source_paragraph_ids"</w:t>
      </w:r>
      <w:r>
        <w:rPr>
          <w:rStyle w:val="FunctionTok"/>
        </w:rPr>
        <w:t xml:space="preserve">:</w:t>
      </w:r>
      <w:r>
        <w:rPr>
          <w:rStyle w:val="NormalTok"/>
        </w:rPr>
        <w:t xml:space="preserve"> </w:t>
      </w:r>
      <w:r>
        <w:rPr>
          <w:rStyle w:val="OtherTok"/>
        </w:rPr>
        <w:t xml:space="preserve">[</w:t>
      </w:r>
      <w:r>
        <w:rPr>
          <w:rStyle w:val="StringTok"/>
        </w:rPr>
        <w:t xml:space="preserve">"2019-12951-hukum-A"</w:t>
      </w:r>
      <w:r>
        <w:rPr>
          <w:rStyle w:val="OtherTok"/>
        </w:rPr>
        <w:t xml:space="preserve">,</w:t>
      </w:r>
      <w:r>
        <w:rPr>
          <w:rStyle w:val="NormalTok"/>
        </w:rPr>
        <w:t xml:space="preserve"> </w:t>
      </w:r>
      <w:r>
        <w:rPr>
          <w:rStyle w:val="StringTok"/>
        </w:rPr>
        <w:t xml:space="preserve">"2019-12951-hukum-B"</w:t>
      </w:r>
      <w:r>
        <w:rPr>
          <w:rStyle w:val="OtherTok"/>
        </w:rPr>
        <w:t xml:space="preserve">,</w:t>
      </w:r>
      <w:r>
        <w:br/>
      </w:r>
      <w:r>
        <w:rPr>
          <w:rStyle w:val="NormalTok"/>
        </w:rPr>
        <w:t xml:space="preserve">                           </w:t>
      </w:r>
      <w:r>
        <w:rPr>
          <w:rStyle w:val="StringTok"/>
        </w:rPr>
        <w:t xml:space="preserve">"2019-12951-hukum-C"</w:t>
      </w:r>
      <w:r>
        <w:rPr>
          <w:rStyle w:val="OtherTok"/>
        </w:rPr>
        <w:t xml:space="preserve">,</w:t>
      </w:r>
      <w:r>
        <w:rPr>
          <w:rStyle w:val="NormalTok"/>
        </w:rPr>
        <w:t xml:space="preserve"> </w:t>
      </w:r>
      <w:r>
        <w:rPr>
          <w:rStyle w:val="StringTok"/>
        </w:rPr>
        <w:t xml:space="preserve">"2019-12951-hukum-D"</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 ...iddiasının KABUL EDİLEBİLİR OLDUĞUNA,</w:t>
      </w:r>
      <w:r>
        <w:br/>
      </w:r>
      <w:r>
        <w:rPr>
          <w:rStyle w:val="StringTok"/>
        </w:rPr>
        <w:t xml:space="preserve">           B. ...mülkiyet hakkının İHLAL EDİLMEDİĞİNE, ..."</w:t>
      </w:r>
      <w:r>
        <w:rPr>
          <w:rStyle w:val="FunctionTok"/>
        </w:rPr>
        <w:t xml:space="preserve">,</w:t>
      </w:r>
      <w:r>
        <w:br/>
      </w:r>
      <w:r>
        <w:rPr>
          <w:rStyle w:val="NormalTok"/>
        </w:rPr>
        <w:t xml:space="preserve">  </w:t>
      </w:r>
      <w:r>
        <w:rPr>
          <w:rStyle w:val="DataTypeTok"/>
        </w:rPr>
        <w:t xml:space="preserve">"char_length"</w:t>
      </w:r>
      <w:r>
        <w:rPr>
          <w:rStyle w:val="FunctionTok"/>
        </w:rPr>
        <w:t xml:space="preserve">:</w:t>
      </w:r>
      <w:r>
        <w:rPr>
          <w:rStyle w:val="NormalTok"/>
        </w:rPr>
        <w:t xml:space="preserve"> </w:t>
      </w:r>
      <w:r>
        <w:rPr>
          <w:rStyle w:val="DecValTok"/>
        </w:rPr>
        <w:t xml:space="preserve">335</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"ruling"</w:t>
      </w:r>
      <w:r>
        <w:rPr>
          <w:rStyle w:val="FunctionTok"/>
        </w:rPr>
        <w:t xml:space="preserve">,</w:t>
      </w:r>
      <w:r>
        <w:br/>
      </w:r>
      <w:r>
        <w:rPr>
          <w:rStyle w:val="NormalTok"/>
        </w:rPr>
        <w:t xml:space="preserve">  </w:t>
      </w:r>
      <w:r>
        <w:rPr>
          <w:rStyle w:val="DataTypeTok"/>
        </w:rPr>
        <w:t xml:space="preserve">"firac_role"</w:t>
      </w:r>
      <w:r>
        <w:rPr>
          <w:rStyle w:val="FunctionTok"/>
        </w:rPr>
        <w:t xml:space="preserve">:</w:t>
      </w:r>
      <w:r>
        <w:rPr>
          <w:rStyle w:val="NormalTok"/>
        </w:rPr>
        <w:t xml:space="preserve"> </w:t>
      </w:r>
      <w:r>
        <w:rPr>
          <w:rStyle w:val="StringTok"/>
        </w:rPr>
        <w:t xml:space="preserve">"conclusion"</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OtherTok"/>
        </w:rPr>
        <w:t xml:space="preserve">[</w:t>
      </w:r>
      <w:r>
        <w:rPr>
          <w:rStyle w:val="StringTok"/>
        </w:rPr>
        <w:t xml:space="preserve">"mülkiyet_hakkı"</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bookmarkEnd w:id="33"/>
    <w:bookmarkStart w:id="34" w:name="the-reasoning_capsule-for-this-case"/>
    <w:p>
      <w:pPr>
        <w:pStyle w:val="Heading2"/>
      </w:pPr>
      <w:r>
        <w:t xml:space="preserve">8.4 The reasoning_capsule for this case</w:t>
      </w:r>
    </w:p>
    <w:p>
      <w:pPr>
        <w:pStyle w:val="SourceCode"/>
      </w:pPr>
      <w:r>
        <w:rPr>
          <w:rStyle w:val="FunctionTok"/>
        </w:rPr>
        <w:t xml:space="preserve">{</w:t>
      </w:r>
      <w:r>
        <w:br/>
      </w:r>
      <w:r>
        <w:rPr>
          <w:rStyle w:val="NormalTok"/>
        </w:rPr>
        <w:t xml:space="preserve">  </w:t>
      </w:r>
      <w:r>
        <w:rPr>
          <w:rStyle w:val="DataTypeTok"/>
        </w:rPr>
        <w:t xml:space="preserve">"case_no"</w:t>
      </w:r>
      <w:r>
        <w:rPr>
          <w:rStyle w:val="FunctionTok"/>
        </w:rPr>
        <w:t xml:space="preserve">:</w:t>
      </w:r>
      <w:r>
        <w:rPr>
          <w:rStyle w:val="NormalTok"/>
        </w:rPr>
        <w:t xml:space="preserve"> </w:t>
      </w:r>
      <w:r>
        <w:rPr>
          <w:rStyle w:val="StringTok"/>
        </w:rPr>
        <w:t xml:space="preserve">"2019/12951"</w:t>
      </w:r>
      <w:r>
        <w:rPr>
          <w:rStyle w:val="FunctionTok"/>
        </w:rPr>
        <w:t xml:space="preserve">,</w:t>
      </w:r>
      <w:r>
        <w:br/>
      </w:r>
      <w:r>
        <w:rPr>
          <w:rStyle w:val="NormalTok"/>
        </w:rPr>
        <w:t xml:space="preserve">  </w:t>
      </w:r>
      <w:r>
        <w:rPr>
          <w:rStyle w:val="DataTypeTok"/>
        </w:rPr>
        <w:t xml:space="preserve">"subject_type"</w:t>
      </w:r>
      <w:r>
        <w:rPr>
          <w:rStyle w:val="FunctionTok"/>
        </w:rPr>
        <w:t xml:space="preserve">:</w:t>
      </w:r>
      <w:r>
        <w:rPr>
          <w:rStyle w:val="NormalTok"/>
        </w:rPr>
        <w:t xml:space="preserve"> </w:t>
      </w:r>
      <w:r>
        <w:rPr>
          <w:rStyle w:val="StringTok"/>
        </w:rPr>
        <w:t xml:space="preserve">"right"</w:t>
      </w:r>
      <w:r>
        <w:rPr>
          <w:rStyle w:val="FunctionTok"/>
        </w:rPr>
        <w:t xml:space="preserve">,</w:t>
      </w:r>
      <w:r>
        <w:br/>
      </w:r>
      <w:r>
        <w:rPr>
          <w:rStyle w:val="NormalTok"/>
        </w:rPr>
        <w:t xml:space="preserve">  </w:t>
      </w:r>
      <w:r>
        <w:rPr>
          <w:rStyle w:val="DataTypeTok"/>
        </w:rPr>
        <w:t xml:space="preserve">"subject_id"</w:t>
      </w:r>
      <w:r>
        <w:rPr>
          <w:rStyle w:val="FunctionTok"/>
        </w:rPr>
        <w:t xml:space="preserve">:</w:t>
      </w:r>
      <w:r>
        <w:rPr>
          <w:rStyle w:val="NormalTok"/>
        </w:rPr>
        <w:t xml:space="preserve"> </w:t>
      </w:r>
      <w:r>
        <w:rPr>
          <w:rStyle w:val="StringTok"/>
        </w:rPr>
        <w:t xml:space="preserve">"property_rights"</w:t>
      </w:r>
      <w:r>
        <w:rPr>
          <w:rStyle w:val="FunctionTok"/>
        </w:rPr>
        <w:t xml:space="preserve">,</w:t>
      </w:r>
      <w:r>
        <w:br/>
      </w:r>
      <w:r>
        <w:rPr>
          <w:rStyle w:val="NormalTok"/>
        </w:rPr>
        <w:t xml:space="preserve">  </w:t>
      </w:r>
      <w:r>
        <w:rPr>
          <w:rStyle w:val="DataTypeTok"/>
        </w:rPr>
        <w:t xml:space="preserve">"opinion_type"</w:t>
      </w:r>
      <w:r>
        <w:rPr>
          <w:rStyle w:val="FunctionTok"/>
        </w:rPr>
        <w:t xml:space="preserve">:</w:t>
      </w:r>
      <w:r>
        <w:rPr>
          <w:rStyle w:val="NormalTok"/>
        </w:rPr>
        <w:t xml:space="preserve"> </w:t>
      </w:r>
      <w:r>
        <w:rPr>
          <w:rStyle w:val="StringTok"/>
        </w:rPr>
        <w:t xml:space="preserve">"majority"</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"no_violation"</w:t>
      </w:r>
      <w:r>
        <w:rPr>
          <w:rStyle w:val="FunctionTok"/>
        </w:rPr>
        <w:t xml:space="preserve">,</w:t>
      </w:r>
      <w:r>
        <w:br/>
      </w:r>
      <w:r>
        <w:rPr>
          <w:rStyle w:val="NormalTok"/>
        </w:rPr>
        <w:t xml:space="preserve">  </w:t>
      </w:r>
      <w:r>
        <w:rPr>
          <w:rStyle w:val="DataTypeTok"/>
        </w:rPr>
        <w:t xml:space="preserve">"conclusion_sentence"</w:t>
      </w:r>
      <w:r>
        <w:rPr>
          <w:rStyle w:val="FunctionTok"/>
        </w:rPr>
        <w:t xml:space="preserve">:</w:t>
      </w:r>
      <w:r>
        <w:rPr>
          <w:rStyle w:val="NormalTok"/>
        </w:rPr>
        <w:t xml:space="preserve"> </w:t>
      </w:r>
      <w:r>
        <w:rPr>
          <w:rStyle w:val="StringTok"/>
        </w:rPr>
        <w:t xml:space="preserve">"The Court found no violation of the right to property."</w:t>
      </w:r>
      <w:r>
        <w:rPr>
          <w:rStyle w:val="FunctionTok"/>
        </w:rPr>
        <w:t xml:space="preserve">,</w:t>
      </w:r>
      <w:r>
        <w:br/>
      </w:r>
      <w:r>
        <w:rPr>
          <w:rStyle w:val="NormalTok"/>
        </w:rPr>
        <w:t xml:space="preserve">  </w:t>
      </w:r>
      <w:r>
        <w:rPr>
          <w:rStyle w:val="DataTypeTok"/>
        </w:rPr>
        <w:t xml:space="preserve">"reasoning_summary"</w:t>
      </w:r>
      <w:r>
        <w:rPr>
          <w:rStyle w:val="FunctionTok"/>
        </w:rPr>
        <w:t xml:space="preserve">:</w:t>
      </w:r>
      <w:r>
        <w:rPr>
          <w:rStyle w:val="NormalTok"/>
        </w:rPr>
        <w:t xml:space="preserve"> </w:t>
      </w:r>
      <w:r>
        <w:rPr>
          <w:rStyle w:val="StringTok"/>
        </w:rPr>
        <w:t xml:space="preserve">"The interference (an administrative fine following a</w:t>
      </w:r>
      <w:r>
        <w:br/>
      </w:r>
      <w:r>
        <w:rPr>
          <w:rStyle w:val="StringTok"/>
        </w:rPr>
        <w:t xml:space="preserve">                        competition-law violation) was based on a clear,</w:t>
      </w:r>
      <w:r>
        <w:br/>
      </w:r>
      <w:r>
        <w:rPr>
          <w:rStyle w:val="StringTok"/>
        </w:rPr>
        <w:t xml:space="preserve">                        accessible statute, pursued the legitimate aim of</w:t>
      </w:r>
      <w:r>
        <w:br/>
      </w:r>
      <w:r>
        <w:rPr>
          <w:rStyle w:val="StringTok"/>
        </w:rPr>
        <w:t xml:space="preserve">                        protecting fair competition, and did not impose an</w:t>
      </w:r>
      <w:r>
        <w:br/>
      </w:r>
      <w:r>
        <w:rPr>
          <w:rStyle w:val="StringTok"/>
        </w:rPr>
        <w:t xml:space="preserve">                        excessive individual burden."</w:t>
      </w:r>
      <w:r>
        <w:rPr>
          <w:rStyle w:val="FunctionTok"/>
        </w:rPr>
        <w:t xml:space="preserve">,</w:t>
      </w:r>
      <w:r>
        <w:br/>
      </w:r>
      <w:r>
        <w:rPr>
          <w:rStyle w:val="NormalTok"/>
        </w:rPr>
        <w:t xml:space="preserve">  </w:t>
      </w:r>
      <w:r>
        <w:rPr>
          <w:rStyle w:val="DataTypeTok"/>
        </w:rPr>
        <w:t xml:space="preserve">"reasoning_summary_method"</w:t>
      </w:r>
      <w:r>
        <w:rPr>
          <w:rStyle w:val="FunctionTok"/>
        </w:rPr>
        <w:t xml:space="preserve">:</w:t>
      </w:r>
      <w:r>
        <w:rPr>
          <w:rStyle w:val="NormalTok"/>
        </w:rPr>
        <w:t xml:space="preserve"> </w:t>
      </w:r>
      <w:r>
        <w:rPr>
          <w:rStyle w:val="StringTok"/>
        </w:rPr>
        <w:t xml:space="preserve">"deterministic_extract_not_llm"</w:t>
      </w:r>
      <w:r>
        <w:rPr>
          <w:rStyle w:val="FunctionTok"/>
        </w:rPr>
        <w:t xml:space="preserve">,</w:t>
      </w:r>
      <w:r>
        <w:br/>
      </w:r>
      <w:r>
        <w:rPr>
          <w:rStyle w:val="NormalTok"/>
        </w:rPr>
        <w:t xml:space="preserve">  </w:t>
      </w:r>
      <w:r>
        <w:rPr>
          <w:rStyle w:val="DataTypeTok"/>
        </w:rPr>
        <w:t xml:space="preserve">"supporting_chunk_ids"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"2019-12951-p18_to_p20"</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rule</w:t>
      </w:r>
      <w:r>
        <w:br/>
      </w:r>
      <w:r>
        <w:rPr>
          <w:rStyle w:val="NormalTok"/>
        </w:rPr>
        <w:t xml:space="preserve">    </w:t>
      </w:r>
      <w:r>
        <w:rPr>
          <w:rStyle w:val="StringTok"/>
        </w:rPr>
        <w:t xml:space="preserve">"2019-12951-p25_to_p26"</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application</w:t>
      </w:r>
      <w:r>
        <w:br/>
      </w:r>
      <w:r>
        <w:rPr>
          <w:rStyle w:val="NormalTok"/>
        </w:rPr>
        <w:t xml:space="preserve">    </w:t>
      </w:r>
      <w:r>
        <w:rPr>
          <w:rStyle w:val="StringTok"/>
        </w:rPr>
        <w:t xml:space="preserve">"2019-12951-p36_to_p39"</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rule</w:t>
      </w:r>
      <w:r>
        <w:rPr>
          <w:rStyle w:val="NormalTok"/>
        </w:rPr>
        <w:t xml:space="preserve"> </w:t>
      </w:r>
      <w:r>
        <w:rPr>
          <w:rStyle w:val="ErrorTok"/>
        </w:rPr>
        <w:t xml:space="preserve">+</w:t>
      </w:r>
      <w:r>
        <w:rPr>
          <w:rStyle w:val="NormalTok"/>
        </w:rPr>
        <w:t xml:space="preserve"> </w:t>
      </w:r>
      <w:r>
        <w:rPr>
          <w:rStyle w:val="ErrorTok"/>
        </w:rPr>
        <w:t xml:space="preserve">application</w:t>
      </w:r>
      <w:r>
        <w:br/>
      </w:r>
      <w:r>
        <w:rPr>
          <w:rStyle w:val="NormalTok"/>
        </w:rPr>
        <w:t xml:space="preserve">    </w:t>
      </w:r>
      <w:r>
        <w:rPr>
          <w:rStyle w:val="StringTok"/>
        </w:rPr>
        <w:t xml:space="preserve">"2019-12951-p40_to_p43"</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application</w:t>
      </w:r>
      <w:r>
        <w:br/>
      </w:r>
      <w:r>
        <w:rPr>
          <w:rStyle w:val="NormalTok"/>
        </w:rPr>
        <w:t xml:space="preserve">    </w:t>
      </w:r>
      <w:r>
        <w:rPr>
          <w:rStyle w:val="StringTok"/>
        </w:rPr>
        <w:t xml:space="preserve">"2019-12951-hukum-A_to_D"</w:t>
      </w:r>
      <w:r>
        <w:rPr>
          <w:rStyle w:val="NormalTok"/>
        </w:rPr>
        <w:t xml:space="preserve">    </w:t>
      </w:r>
      <w:r>
        <w:rPr>
          <w:rStyle w:val="ErrorTok"/>
        </w:rPr>
        <w:t xml:space="preserve">//</w:t>
      </w:r>
      <w:r>
        <w:rPr>
          <w:rStyle w:val="NormalTok"/>
        </w:rPr>
        <w:t xml:space="preserve"> </w:t>
      </w:r>
      <w:r>
        <w:rPr>
          <w:rStyle w:val="ErrorTok"/>
        </w:rPr>
        <w:t xml:space="preserve">conclusion</w:t>
      </w:r>
      <w:r>
        <w:br/>
      </w:r>
      <w:r>
        <w:rPr>
          <w:rStyle w:val="NormalTok"/>
        </w:rPr>
        <w:t xml:space="preserve">  </w:t>
      </w:r>
      <w:r>
        <w:rPr>
          <w:rStyle w:val="OtherTok"/>
        </w:rPr>
        <w:t xml:space="preserve">]</w:t>
      </w:r>
      <w:r>
        <w:br/>
      </w:r>
      <w:r>
        <w:rPr>
          <w:rStyle w:val="FunctionTok"/>
        </w:rPr>
        <w:t xml:space="preserve">}</w:t>
      </w:r>
    </w:p>
    <w:bookmarkEnd w:id="34"/>
    <w:bookmarkEnd w:id="35"/>
    <w:bookmarkStart w:id="38" w:name="known-open-items"/>
    <w:p>
      <w:pPr>
        <w:pStyle w:val="Heading1"/>
      </w:pPr>
      <w:r>
        <w:t xml:space="preserve">9. Known Open Items</w:t>
      </w:r>
    </w:p>
    <w:p>
      <w:pPr>
        <w:pStyle w:val="FirstParagraph"/>
      </w:pPr>
      <w:r>
        <w:t xml:space="preserve">These are real, documented gaps — not hidden. Each has a clear next step.</w:t>
      </w:r>
    </w:p>
    <w:bookmarkStart w:id="36" w:name="items-closed-by-the-llm-pipeline"/>
    <w:p>
      <w:pPr>
        <w:pStyle w:val="Heading2"/>
      </w:pPr>
      <w:r>
        <w:t xml:space="preserve">9.1 Items closed by the LLM pipeline</w:t>
      </w:r>
    </w:p>
    <w:tbl>
      <w:tblPr>
        <w:tblStyle w:val="Table"/>
        <w:tblW w:type="pct" w:w="5000"/>
        <w:tblLook w:firstRow="1" w:lastRow="0" w:firstColumn="0" w:lastColumn="0" w:noHBand="0" w:noVBand="1" w:val="0420"/>
        <w:jc w:val="start"/>
      </w:tblPr>
      <w:tblGrid>
        <w:gridCol w:w="2501"/>
        <w:gridCol w:w="1458"/>
        <w:gridCol w:w="3960"/>
      </w:tblGrid>
      <w:tr>
        <w:trPr>
          <w:tblHeader w:val="true"/>
        </w:trPr>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Detail</w:t>
            </w:r>
          </w:p>
        </w:tc>
      </w:tr>
      <w:tr>
        <w:tc>
          <w:tcPr/>
          <w:p>
            <w:pPr>
              <w:pStyle w:val="Compact"/>
              <w:jc w:val="left"/>
            </w:pPr>
            <w:r>
              <w:rPr>
                <w:rStyle w:val="VerbatimChar"/>
              </w:rPr>
              <w:t xml:space="preserve">reasoning_summary</w:t>
            </w:r>
            <w:r>
              <w:t xml:space="preserve"> </w:t>
            </w:r>
            <w:r>
              <w:t xml:space="preserve">generation</w:t>
            </w:r>
          </w:p>
        </w:tc>
        <w:tc>
          <w:tcPr/>
          <w:p>
            <w:pPr>
              <w:pStyle w:val="Compact"/>
              <w:jc w:val="left"/>
            </w:pPr>
            <w:r>
              <w:t xml:space="preserve">DONE in the LLM pipeline</w:t>
            </w:r>
          </w:p>
        </w:tc>
        <w:tc>
          <w:tcPr/>
          <w:p>
            <w:pPr>
              <w:pStyle w:val="Compact"/>
              <w:jc w:val="left"/>
            </w:pPr>
            <w:r>
              <w:t xml:space="preserve">12/12 non-null, in Turkish. Regex pipeline still leaves it null.</w:t>
            </w:r>
          </w:p>
        </w:tc>
      </w:tr>
      <w:tr>
        <w:tc>
          <w:tcPr/>
          <w:p>
            <w:pPr>
              <w:pStyle w:val="Compact"/>
              <w:jc w:val="left"/>
            </w:pPr>
            <w:r>
              <w:t xml:space="preserve">Per-paragraph right attribution</w:t>
            </w:r>
          </w:p>
        </w:tc>
        <w:tc>
          <w:tcPr/>
          <w:p>
            <w:pPr>
              <w:pStyle w:val="Compact"/>
              <w:jc w:val="left"/>
            </w:pPr>
            <w:r>
              <w:t xml:space="preserve">DONE in the LLM pipeline</w:t>
            </w:r>
          </w:p>
        </w:tc>
        <w:tc>
          <w:tcPr/>
          <w:p>
            <w:pPr>
              <w:pStyle w:val="Compact"/>
              <w:jc w:val="left"/>
            </w:pPr>
            <w:r>
              <w:t xml:space="preserve">Gemini scopes rights per paragraph, choosing from a candidate list supplied by code from metadata.</w:t>
            </w:r>
          </w:p>
        </w:tc>
      </w:tr>
      <w:tr>
        <w:tc>
          <w:tcPr/>
          <w:p>
            <w:pPr>
              <w:pStyle w:val="Compact"/>
              <w:jc w:val="left"/>
            </w:pPr>
            <w:r>
              <w:t xml:space="preserve">Qdrant UUID mapping</w:t>
            </w:r>
          </w:p>
        </w:tc>
        <w:tc>
          <w:tcPr/>
          <w:p>
            <w:pPr>
              <w:pStyle w:val="Compact"/>
              <w:jc w:val="left"/>
            </w:pPr>
            <w:r>
              <w:t xml:space="preserve">DONE in the LLM pipeline</w:t>
            </w:r>
          </w:p>
        </w:tc>
        <w:tc>
          <w:tcPr/>
          <w:p>
            <w:pPr>
              <w:pStyle w:val="Compact"/>
              <w:jc w:val="left"/>
            </w:pPr>
            <w:r>
              <w:t xml:space="preserve">LLM</w:t>
            </w:r>
            <w:r>
              <w:t xml:space="preserve"> </w:t>
            </w:r>
            <w:r>
              <w:rPr>
                <w:rStyle w:val="VerbatimChar"/>
              </w:rPr>
              <w:t xml:space="preserve">chunk_id</w:t>
            </w:r>
            <w:r>
              <w:t xml:space="preserve"> </w:t>
            </w:r>
            <w:r>
              <w:t xml:space="preserve">is</w:t>
            </w:r>
            <w:r>
              <w:t xml:space="preserve"> </w:t>
            </w:r>
            <w:r>
              <w:rPr>
                <w:rStyle w:val="VerbatimChar"/>
              </w:rPr>
              <w:t xml:space="preserve">uuid5</w:t>
            </w:r>
            <w:r>
              <w:t xml:space="preserve"> </w:t>
            </w:r>
            <w:r>
              <w:t xml:space="preserve">from the start (15.5) — no separate mapping step. The regex pipeline’s</w:t>
            </w:r>
            <w:r>
              <w:t xml:space="preserve"> </w:t>
            </w:r>
            <w:r>
              <w:rPr>
                <w:rStyle w:val="VerbatimChar"/>
              </w:rPr>
              <w:t xml:space="preserve">write_output()</w:t>
            </w:r>
            <w:r>
              <w:t xml:space="preserve"> </w:t>
            </w:r>
            <w:r>
              <w:t xml:space="preserve">still has no</w:t>
            </w:r>
            <w:r>
              <w:t xml:space="preserve"> </w:t>
            </w:r>
            <w:r>
              <w:rPr>
                <w:rStyle w:val="VerbatimChar"/>
              </w:rPr>
              <w:t xml:space="preserve">uuid.uuid5()</w:t>
            </w:r>
            <w:r>
              <w:t xml:space="preserve"> </w:t>
            </w:r>
            <w:r>
              <w:t xml:space="preserve">call.</w:t>
            </w:r>
          </w:p>
        </w:tc>
      </w:tr>
      <w:tr>
        <w:tc>
          <w:tcPr/>
          <w:p>
            <w:pPr>
              <w:pStyle w:val="Compact"/>
              <w:jc w:val="left"/>
            </w:pPr>
            <w:r>
              <w:rPr>
                <w:rStyle w:val="VerbatimChar"/>
              </w:rPr>
              <w:t xml:space="preserve">canonical_id</w:t>
            </w:r>
            <w:r>
              <w:t xml:space="preserve"> </w:t>
            </w:r>
            <w:r>
              <w:t xml:space="preserve">/</w:t>
            </w:r>
            <w:r>
              <w:t xml:space="preserve"> </w:t>
            </w:r>
            <w:r>
              <w:rPr>
                <w:rStyle w:val="VerbatimChar"/>
              </w:rPr>
              <w:t xml:space="preserve">article_key</w:t>
            </w:r>
            <w:r>
              <w:t xml:space="preserve"> </w:t>
            </w:r>
            <w:r>
              <w:t xml:space="preserve">alignment</w:t>
            </w:r>
          </w:p>
        </w:tc>
        <w:tc>
          <w:tcPr/>
          <w:p>
            <w:pPr>
              <w:pStyle w:val="Compact"/>
              <w:jc w:val="left"/>
            </w:pPr>
            <w:r>
              <w:t xml:space="preserve">DONE in the LLM pipeline</w:t>
            </w:r>
          </w:p>
        </w:tc>
        <w:tc>
          <w:tcPr/>
          <w:p>
            <w:pPr>
              <w:pStyle w:val="Compact"/>
              <w:jc w:val="left"/>
            </w:pPr>
            <w:r>
              <w:t xml:space="preserve">Migrated to</w:t>
            </w:r>
            <w:r>
              <w:t xml:space="preserve"> </w:t>
            </w:r>
            <w:r>
              <w:rPr>
                <w:rStyle w:val="VerbatimChar"/>
              </w:rPr>
              <w:t xml:space="preserve">{law_no}/{article}</w:t>
            </w:r>
            <w:r>
              <w:t xml:space="preserve">, normalised (13.1, 13.6). Regex pipeline still emits the old</w:t>
            </w:r>
            <w:r>
              <w:t xml:space="preserve"> </w:t>
            </w:r>
            <w:r>
              <w:rPr>
                <w:rStyle w:val="VerbatimChar"/>
              </w:rPr>
              <w:t xml:space="preserve">law-{no}-art-{article}</w:t>
            </w:r>
            <w:r>
              <w:t xml:space="preserve"> </w:t>
            </w:r>
            <w:r>
              <w:t xml:space="preserve">format.</w:t>
            </w:r>
          </w:p>
        </w:tc>
      </w:tr>
    </w:tbl>
    <w:p>
      <w:pPr>
        <w:spacing w:before="0" w:after="0" w:line="120" w:lineRule="exact"/>
      </w:pPr>
    </w:p>
    <w:bookmarkEnd w:id="36"/>
    <w:bookmarkStart w:id="37" w:name="still-open"/>
    <w:p>
      <w:pPr>
        <w:pStyle w:val="Heading2"/>
      </w:pPr>
      <w:r>
        <w:t xml:space="preserve">9.2 Still open</w:t>
      </w:r>
    </w:p>
    <w:tbl>
      <w:tblPr>
        <w:tblStyle w:val="Table"/>
        <w:tblW w:type="pct" w:w="5000"/>
        <w:tblLook w:firstRow="1" w:lastRow="0" w:firstColumn="0" w:lastColumn="0" w:noHBand="0" w:noVBand="1" w:val="0420"/>
        <w:jc w:val="start"/>
      </w:tblPr>
      <w:tblGrid>
        <w:gridCol w:w="2406"/>
        <w:gridCol w:w="2406"/>
        <w:gridCol w:w="3107"/>
      </w:tblGrid>
      <w:tr>
        <w:trPr>
          <w:tblHeader w:val="true"/>
        </w:trPr>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Next step</w:t>
            </w:r>
          </w:p>
        </w:tc>
      </w:tr>
      <w:tr>
        <w:tc>
          <w:tcPr/>
          <w:p>
            <w:pPr>
              <w:pStyle w:val="Compact"/>
              <w:jc w:val="left"/>
            </w:pPr>
            <w:r>
              <w:rPr>
                <w:rStyle w:val="VerbatimChar"/>
              </w:rPr>
              <w:t xml:space="preserve">firac_role</w:t>
            </w:r>
            <w:r>
              <w:t xml:space="preserve"> </w:t>
            </w:r>
            <w:r>
              <w:t xml:space="preserve">tagging validation</w:t>
            </w:r>
          </w:p>
        </w:tc>
        <w:tc>
          <w:tcPr/>
          <w:p>
            <w:pPr>
              <w:pStyle w:val="Compact"/>
              <w:jc w:val="left"/>
            </w:pPr>
            <w:r>
              <w:t xml:space="preserve">Heuristic (section headings), spot-checked by hand on one document — 2 mislabels found and fixed</w:t>
            </w:r>
          </w:p>
        </w:tc>
        <w:tc>
          <w:tcPr/>
          <w:p>
            <w:pPr>
              <w:pStyle w:val="Compact"/>
              <w:jc w:val="left"/>
            </w:pPr>
            <w:r>
              <w:t xml:space="preserve">Systematic validation across the full corpus; long-term, a content-based LLM classifier.</w:t>
            </w:r>
          </w:p>
        </w:tc>
      </w:tr>
      <w:tr>
        <w:tc>
          <w:tcPr/>
          <w:p>
            <w:pPr>
              <w:pStyle w:val="Compact"/>
              <w:jc w:val="left"/>
            </w:pPr>
            <w:r>
              <w:t xml:space="preserve">Treaty / Constitution row type</w:t>
            </w:r>
          </w:p>
        </w:tc>
        <w:tc>
          <w:tcPr/>
          <w:p>
            <w:pPr>
              <w:pStyle w:val="Compact"/>
              <w:jc w:val="left"/>
            </w:pPr>
            <w:r>
              <w:t xml:space="preserve">The legislation store has no row type for treaties or for the Constitution, yet AYM cites the ECHR directly</w:t>
            </w:r>
          </w:p>
        </w:tc>
        <w:tc>
          <w:tcPr/>
          <w:p>
            <w:pPr>
              <w:pStyle w:val="Compact"/>
              <w:jc w:val="left"/>
            </w:pPr>
            <w:r>
              <w:t xml:space="preserve">Agree a row type with the legislation store. Until then the model’s</w:t>
            </w:r>
            <w:r>
              <w:t xml:space="preserve"> </w:t>
            </w:r>
            <w:r>
              <w:rPr>
                <w:rStyle w:val="VerbatimChar"/>
              </w:rPr>
              <w:t xml:space="preserve">treaty</w:t>
            </w:r>
            <w:r>
              <w:t xml:space="preserve"> </w:t>
            </w:r>
            <w:r>
              <w:t xml:space="preserve">and</w:t>
            </w:r>
            <w:r>
              <w:t xml:space="preserve"> </w:t>
            </w:r>
            <w:r>
              <w:rPr>
                <w:rStyle w:val="VerbatimChar"/>
              </w:rPr>
              <w:t xml:space="preserve">other</w:t>
            </w:r>
            <w:r>
              <w:t xml:space="preserve"> </w:t>
            </w:r>
            <w:r>
              <w:t xml:space="preserve">values are flagged, not merged.</w:t>
            </w:r>
          </w:p>
        </w:tc>
      </w:tr>
      <w:tr>
        <w:tc>
          <w:tcPr/>
          <w:p>
            <w:pPr>
              <w:pStyle w:val="Compact"/>
              <w:jc w:val="left"/>
            </w:pPr>
            <w:r>
              <w:rPr>
                <w:rStyle w:val="VerbatimChar"/>
              </w:rPr>
              <w:t xml:space="preserve">141/A</w:t>
            </w:r>
            <w:r>
              <w:t xml:space="preserve"> </w:t>
            </w:r>
            <w:r>
              <w:t xml:space="preserve">key encoding</w:t>
            </w:r>
          </w:p>
        </w:tc>
        <w:tc>
          <w:tcPr/>
          <w:p>
            <w:pPr>
              <w:pStyle w:val="Compact"/>
              <w:jc w:val="left"/>
            </w:pPr>
            <w:r>
              <w:t xml:space="preserve">Letter-suffixed articles are currently written</w:t>
            </w:r>
            <w:r>
              <w:t xml:space="preserve"> </w:t>
            </w:r>
            <w:r>
              <w:rPr>
                <w:rStyle w:val="VerbatimChar"/>
              </w:rPr>
              <w:t xml:space="preserve">141/a</w:t>
            </w:r>
            <w:r>
              <w:t xml:space="preserve"> </w:t>
            </w:r>
            <w:r>
              <w:t xml:space="preserve">as a placeholder (B1)</w:t>
            </w:r>
          </w:p>
        </w:tc>
        <w:tc>
          <w:tcPr/>
          <w:p>
            <w:pPr>
              <w:pStyle w:val="Compact"/>
              <w:jc w:val="left"/>
            </w:pPr>
            <w:r>
              <w:t xml:space="preserve">Agree the encoding with the legislation store’s</w:t>
            </w:r>
            <w:r>
              <w:t xml:space="preserve"> </w:t>
            </w:r>
            <w:r>
              <w:rPr>
                <w:rStyle w:val="VerbatimChar"/>
              </w:rPr>
              <w:t xml:space="preserve">article_key</w:t>
            </w:r>
            <w:r>
              <w:t xml:space="preserve">, then normalise both sides to it.</w:t>
            </w:r>
          </w:p>
        </w:tc>
      </w:tr>
      <w:tr>
        <w:tc>
          <w:tcPr/>
          <w:p>
            <w:pPr>
              <w:pStyle w:val="Compact"/>
              <w:jc w:val="left"/>
            </w:pPr>
            <w:r>
              <w:rPr>
                <w:rStyle w:val="VerbatimChar"/>
              </w:rPr>
              <w:t xml:space="preserve">legislation_type</w:t>
            </w:r>
            <w:r>
              <w:t xml:space="preserve"> </w:t>
            </w:r>
            <w:r>
              <w:t xml:space="preserve">vocabulary mismatch</w:t>
            </w:r>
          </w:p>
        </w:tc>
        <w:tc>
          <w:tcPr/>
          <w:p>
            <w:pPr>
              <w:pStyle w:val="Compact"/>
              <w:jc w:val="left"/>
            </w:pPr>
            <w:r>
              <w:t xml:space="preserve">The store uses</w:t>
            </w:r>
            <w:r>
              <w:t xml:space="preserve"> </w:t>
            </w:r>
            <w:r>
              <w:rPr>
                <w:rStyle w:val="VerbatimChar"/>
              </w:rPr>
              <w:t xml:space="preserve">law</w:t>
            </w:r>
            <w:r>
              <w:t xml:space="preserve"> </w:t>
            </w:r>
            <w:r>
              <w:t xml:space="preserve">|</w:t>
            </w:r>
            <w:r>
              <w:t xml:space="preserve"> </w:t>
            </w:r>
            <w:r>
              <w:rPr>
                <w:rStyle w:val="VerbatimChar"/>
              </w:rPr>
              <w:t xml:space="preserve">decree-law</w:t>
            </w:r>
            <w:r>
              <w:t xml:space="preserve"> </w:t>
            </w:r>
            <w:r>
              <w:t xml:space="preserve">|</w:t>
            </w:r>
            <w:r>
              <w:t xml:space="preserve"> </w:t>
            </w:r>
            <w:r>
              <w:rPr>
                <w:rStyle w:val="VerbatimChar"/>
              </w:rPr>
              <w:t xml:space="preserve">regulation</w:t>
            </w:r>
            <w:r>
              <w:t xml:space="preserve"> </w:t>
            </w:r>
            <w:r>
              <w:t xml:space="preserve">|</w:t>
            </w:r>
            <w:r>
              <w:t xml:space="preserve"> </w:t>
            </w:r>
            <w:r>
              <w:rPr>
                <w:rStyle w:val="VerbatimChar"/>
              </w:rPr>
              <w:t xml:space="preserve">communiqué</w:t>
            </w:r>
            <w:r>
              <w:t xml:space="preserve"> </w:t>
            </w:r>
            <w:r>
              <w:t xml:space="preserve">|</w:t>
            </w:r>
            <w:r>
              <w:t xml:space="preserve"> </w:t>
            </w:r>
            <w:r>
              <w:rPr>
                <w:rStyle w:val="VerbatimChar"/>
              </w:rPr>
              <w:t xml:space="preserve">presidential decision</w:t>
            </w:r>
            <w:r>
              <w:t xml:space="preserve">; ours differs</w:t>
            </w:r>
          </w:p>
        </w:tc>
        <w:tc>
          <w:tcPr/>
          <w:p>
            <w:pPr>
              <w:pStyle w:val="Compact"/>
              <w:jc w:val="left"/>
            </w:pPr>
            <w:r>
              <w:t xml:space="preserve">Reconcile the two vocabularies into one mapping table before joining.</w:t>
            </w:r>
          </w:p>
        </w:tc>
      </w:tr>
      <w:tr>
        <w:tc>
          <w:tcPr/>
          <w:p>
            <w:pPr>
              <w:pStyle w:val="Compact"/>
              <w:jc w:val="left"/>
            </w:pPr>
            <w:r>
              <w:t xml:space="preserve">danistay</w:t>
            </w:r>
            <w:r>
              <w:t xml:space="preserve"> </w:t>
            </w:r>
            <w:r>
              <w:rPr>
                <w:rStyle w:val="VerbatimChar"/>
              </w:rPr>
              <w:t xml:space="preserve">decision_date</w:t>
            </w:r>
          </w:p>
        </w:tc>
        <w:tc>
          <w:tcPr/>
          <w:p>
            <w:pPr>
              <w:pStyle w:val="Compact"/>
              <w:jc w:val="left"/>
            </w:pPr>
            <w:r>
              <w:t>Largely CLOSED. Widening the ruling-sentence pattern to accept 'gununde' and dot separators took danistay from 150/200 to 199/200. One record still has no recoverable date and is flagged.</w:t>
            </w:r>
          </w:p>
        </w:tc>
        <w:tc>
          <w:tcPr/>
          <w:p>
            <w:pPr>
              <w:pStyle w:val="Compact"/>
              <w:jc w:val="left"/>
            </w:pPr>
            <w:r>
              <w:t>Accept the single null + flag, or inspect that one record.</w:t>
            </w:r>
          </w:p>
        </w:tc>
      </w:tr>
      <w:tr>
        <w:tc>
          <w:tcPr/>
          <w:p>
            <w:pPr>
              <w:pStyle w:val="Compact"/>
              <w:jc w:val="left"/>
            </w:pPr>
            <w:r>
              <w:t xml:space="preserve">aym segmentation too coarse</w:t>
            </w:r>
          </w:p>
        </w:tc>
        <w:tc>
          <w:tcPr/>
          <w:p>
            <w:pPr>
              <w:pStyle w:val="Compact"/>
              <w:jc w:val="left"/>
            </w:pPr>
            <w:r>
              <w:t xml:space="preserve">aym chunks are large merges, which is why aym Stage 2 scored 3/6 in 7.4</w:t>
            </w:r>
          </w:p>
        </w:tc>
        <w:tc>
          <w:tcPr/>
          <w:p>
            <w:pPr>
              <w:pStyle w:val="Compact"/>
              <w:jc w:val="left"/>
            </w:pPr>
            <w:r>
              <w:t xml:space="preserve">Re-segment aym with a lower size cap, then re-run 7.4 on the same answer key (which is paragraph-based and survives re-segmentation).</w:t>
            </w:r>
          </w:p>
        </w:tc>
      </w:tr>
      <w:tr>
        <w:tc>
          <w:tcPr/>
          <w:p>
            <w:pPr>
              <w:pStyle w:val="Compact"/>
              <w:jc w:val="left"/>
            </w:pPr>
            <w:r>
              <w:rPr>
                <w:rStyle w:val="VerbatimChar"/>
              </w:rPr>
              <w:t xml:space="preserve">first_degree/442551100</w:t>
            </w:r>
            <w:r>
              <w:t xml:space="preserve"> </w:t>
            </w:r>
            <w:r>
              <w:t xml:space="preserve">metadata mismatch</w:t>
            </w:r>
          </w:p>
        </w:tc>
        <w:tc>
          <w:tcPr/>
          <w:p>
            <w:pPr>
              <w:pStyle w:val="Compact"/>
              <w:jc w:val="left"/>
            </w:pPr>
            <w:r>
              <w:t xml:space="preserve">Metadata says 2017/395, the document itself says 2016/1359</w:t>
            </w:r>
          </w:p>
        </w:tc>
        <w:tc>
          <w:tcPr/>
          <w:p>
            <w:pPr>
              <w:pStyle w:val="Compact"/>
              <w:jc w:val="left"/>
            </w:pPr>
            <w:r>
              <w:t xml:space="preserve">Decide which side is authoritative; check whether the same mismatch pattern exists elsewhere in first_degree.</w:t>
            </w:r>
          </w:p>
        </w:tc>
      </w:tr>
      <w:tr>
        <w:tc>
          <w:tcPr/>
          <w:p>
            <w:pPr>
              <w:pStyle w:val="Compact"/>
              <w:jc w:val="left"/>
            </w:pPr>
            <w:r>
              <w:t>2 blocked sources (was 3)</w:t>
            </w:r>
          </w:p>
        </w:tc>
        <w:tc>
          <w:tcPr/>
          <w:p>
            <w:pPr>
              <w:pStyle w:val="Compact"/>
              <w:jc w:val="left"/>
            </w:pPr>
            <w:r>
              <w:t>Re-verified Sept 2026 against the DATABASE, not a sample: all 10,367 rekabet rows are status=pending_extraction and a `content_text &lt;&gt; ''` filter returns zero rows. uyusmazlik looks the same on disk (350/350 empty). A second export of 50 rows per source added 50 new decisions each — rekabet 250, uyusmazlik 350 — and not one carries text; the bodies are PDFs at metadata.data.pdf_url. YARGITAY IS NO LONGER BLOCKED — a SQL export supplied 45 usable decisions, merged to 345 records / 48 with text, chunked and verified. The database holds 7,617,378 completed yargitay records, so what we have is 0.0006% of what exists.</w:t>
            </w:r>
          </w:p>
        </w:tc>
        <w:tc>
          <w:tcPr/>
          <w:p>
            <w:pPr>
              <w:pStyle w:val="Compact"/>
              <w:jc w:val="left"/>
            </w:pPr>
            <w:r>
              <w:t>Both are now REGISTERED as sources 7 and 8: every metadata-derived field (case_no, decision_date, subject_type) is wired and tested against all 600 rows, while text_field, the paragraph strategy and the role values are left null until a real body is seen. The blocker is PDF extraction upstream, not chunking. For yargitay the next step is a larger targeted pull.</w:t>
            </w:r>
          </w:p>
        </w:tc>
      </w:tr>
      <w:tr>
        <w:tc>
          <w:tcPr/>
          <w:p>
            <w:pPr>
              <w:pStyle w:val="Compact"/>
              <w:jc w:val="left"/>
            </w:pPr>
            <w:r>
              <w:t xml:space="preserve">danistay template coverage</w:t>
            </w:r>
          </w:p>
        </w:tc>
        <w:tc>
          <w:tcPr/>
          <w:p>
            <w:pPr>
              <w:pStyle w:val="Compact"/>
              <w:jc w:val="left"/>
            </w:pPr>
            <w:r>
              <w:t xml:space="preserve">59/200 real documents fail template detection entirely and are skipped</w:t>
            </w:r>
          </w:p>
        </w:tc>
        <w:tc>
          <w:tcPr/>
          <w:p>
            <w:pPr>
              <w:pStyle w:val="Compact"/>
              <w:jc w:val="left"/>
            </w:pPr>
            <w:r>
              <w:t xml:space="preserve">Concrete benchmark for the LLM pipeline — these are exactly the documents a semantic reader should handle better than marker matching.</w:t>
            </w:r>
          </w:p>
        </w:tc>
      </w:tr>
      <w:tr>
        <w:tc>
          <w:tcPr/>
          <w:p>
            <w:pPr>
              <w:pStyle w:val="Compact"/>
              <w:jc w:val="left"/>
            </w:pPr>
            <w:r>
              <w:t xml:space="preserve">Embeddings</w:t>
            </w:r>
          </w:p>
        </w:tc>
        <w:tc>
          <w:tcPr/>
          <w:p>
            <w:pPr>
              <w:pStyle w:val="Compact"/>
              <w:jc w:val="left"/>
            </w:pPr>
            <w:r>
              <w:t xml:space="preserve">Storage compatibility confirmed (12.4); real embeddings are not</w:t>
            </w:r>
          </w:p>
        </w:tc>
        <w:tc>
          <w:tcPr/>
          <w:p>
            <w:pPr>
              <w:pStyle w:val="Compact"/>
              <w:jc w:val="left"/>
            </w:pPr>
            <w:r>
              <w:t xml:space="preserve">Every chunk’s text still needs to be run through an embedding model before semantic search in Qdrant actually works.</w:t>
            </w:r>
          </w:p>
        </w:tc>
      </w:tr>
    </w:tbl>
    <w:p>
      <w:pPr>
        <w:spacing w:before="0" w:after="0" w:line="120" w:lineRule="exact"/>
      </w:pPr>
    </w:p>
    <w:p>
      <w:pPr>
        <w:pStyle w:val="BlockText"/>
      </w:pPr>
      <w:r>
        <w:rPr>
          <w:bCs/>
          <w:b/>
        </w:rPr>
        <w:t xml:space="preserve">Closed for history.</w:t>
      </w:r>
      <w:r>
        <w:t xml:space="preserve"> </w:t>
      </w:r>
      <w:r>
        <w:rPr>
          <w:iCs/>
          <w:i/>
        </w:rPr>
        <w:t xml:space="preserve">5-source pipeline status</w:t>
      </w:r>
      <w:r>
        <w:t xml:space="preserve"> </w:t>
      </w:r>
      <w:r>
        <w:t xml:space="preserve">— DONE (was: untested). bam, danistay, first_degree, kvkk unified with aym across two scripts, verified by repeated full-corpus runs (Sept 2026).</w:t>
      </w:r>
      <w:r>
        <w:t xml:space="preserve"> </w:t>
      </w:r>
      <w:r>
        <w:rPr>
          <w:iCs/>
          <w:i/>
        </w:rPr>
        <w:t xml:space="preserve">Top-1 retrieval accuracy</w:t>
      </w:r>
      <w:r>
        <w:t xml:space="preserve"> </w:t>
      </w:r>
      <w:r>
        <w:t xml:space="preserve">— superseded, see 7.3 and 7.4.</w:t>
      </w:r>
    </w:p>
    <w:bookmarkEnd w:id="37"/>
    <w:bookmarkEnd w:id="38"/>
    <w:bookmarkStart w:id="39" w:name="summary"/>
    <w:p>
      <w:pPr>
        <w:pStyle w:val="Heading1"/>
      </w:pPr>
      <w:r>
        <w:t xml:space="preserve">10. Summary</w:t>
      </w:r>
    </w:p>
    <w:p>
      <w:pPr>
        <w:pStyle w:val="BlockText"/>
      </w:pPr>
      <w:r>
        <w:rPr>
          <w:bCs/>
          <w:b/>
        </w:rPr>
        <w:t xml:space="preserve">For the product owner.</w:t>
      </w:r>
      <w:r>
        <w:t xml:space="preserve"> </w:t>
      </w:r>
      <w:r>
        <w:t xml:space="preserve">A lawyer asks a question. The system finds the right case summary (Stage 1 — fast, small index). If they need more detail, it drills into specific paragraphs of that case (Stage 2 — filtered, never a full-corpus search). They see the verdict first, the reasoning second, the source paragraphs third. Every claim is citable back to a real paragraph number.</w:t>
      </w:r>
    </w:p>
    <w:p>
      <w:pPr>
        <w:pStyle w:val="BlockText"/>
      </w:pPr>
      <w:r>
        <w:rPr>
          <w:bCs/>
          <w:b/>
        </w:rPr>
        <w:t xml:space="preserve">For the engineering team.</w:t>
      </w:r>
      <w:r>
        <w:t xml:space="preserve"> </w:t>
      </w:r>
      <w:r>
        <w:rPr>
          <w:rStyle w:val="VerbatimChar"/>
        </w:rPr>
        <w:t xml:space="preserve">chunks[]</w:t>
      </w:r>
      <w:r>
        <w:t xml:space="preserve"> </w:t>
      </w:r>
      <w:r>
        <w:t xml:space="preserve">feeds Meilisearch (text field) and Qdrant (text embedded to vector).</w:t>
      </w:r>
      <w:r>
        <w:t xml:space="preserve"> </w:t>
      </w:r>
      <w:r>
        <w:rPr>
          <w:rStyle w:val="VerbatimChar"/>
        </w:rPr>
        <w:t xml:space="preserve">case_no</w:t>
      </w:r>
      <w:r>
        <w:t xml:space="preserve"> </w:t>
      </w:r>
      <w:r>
        <w:t xml:space="preserve">is a mandatory hard filter, not a soft hint.</w:t>
      </w:r>
      <w:r>
        <w:t xml:space="preserve"> </w:t>
      </w:r>
      <w:r>
        <w:rPr>
          <w:rStyle w:val="VerbatimChar"/>
        </w:rPr>
        <w:t xml:space="preserve">conclusion</w:t>
      </w:r>
      <w:r>
        <w:t xml:space="preserve"> </w:t>
      </w:r>
      <w:r>
        <w:t xml:space="preserve">chunks are excluded from search indexing — they’re cited, not retrieved.</w:t>
      </w:r>
      <w:r>
        <w:t xml:space="preserve"> </w:t>
      </w:r>
      <w:r>
        <w:rPr>
          <w:rStyle w:val="VerbatimChar"/>
        </w:rPr>
        <w:t xml:space="preserve">reasoning_capsules[]</w:t>
      </w:r>
      <w:r>
        <w:t xml:space="preserve"> </w:t>
      </w:r>
      <w:r>
        <w:t xml:space="preserve">is a separate small index, searched first. No TOC stored — section labels are not needed by either system.</w:t>
      </w:r>
    </w:p>
    <w:bookmarkEnd w:id="39"/>
    <w:bookmarkStart w:id="45" w:name="extending-to-other-court-types"/>
    <w:p>
      <w:pPr>
        <w:pStyle w:val="Heading1"/>
      </w:pPr>
      <w:r>
        <w:t xml:space="preserve">11. Extending to Other Court Types</w:t>
      </w:r>
    </w:p>
    <w:p>
      <w:pPr>
        <w:pStyle w:val="FirstParagraph"/>
      </w:pPr>
      <w:r>
        <w:t>Seven additional data sources exist beyond AYM: bam, danistay, first_degree, kvkk, rekabet, uyusmazlik, and yargitay. Two of these (rekabet, uyusmazlik) still have no real content: every row is marked pending_extraction at the source and the decision bodies exist only as PDFs. Both are nevertheless registered as sources 7 and 8, with everything derivable from metadata wired and verified and everything requiring text deliberately left null — so the day extraction runs, three decisions remain (paragraph strategy, role values, prompt) rather than a fresh integration. Yargitay was in that group until September 2026, when a SQL export supplied 45 usable decisions — see 15.9. That is a data-pipeline matter, not a chunking design issue, and is out of scope for this document.</w:t>
      </w:r>
    </w:p>
    <w:p>
      <w:pPr>
        <w:pStyle w:val="BodyText"/>
      </w:pPr>
      <w:r>
        <w:t xml:space="preserve">The other four (kvkk, bam, danistay, first_degree) were read directly, one real document from each, and the findings below are grounded in that real text.</w:t>
      </w:r>
    </w:p>
    <w:bookmarkStart w:id="40" w:name="what-changes-two-new-universal-fields"/>
    <w:p>
      <w:pPr>
        <w:pStyle w:val="Heading2"/>
      </w:pPr>
      <w:r>
        <w:t xml:space="preserve">11.1 What changes: two new universal fields</w:t>
      </w:r>
    </w:p>
    <w:tbl>
      <w:tblPr>
        <w:tblStyle w:val="Table"/>
        <w:tblW w:type="pct" w:w="5000"/>
        <w:tblLook w:firstRow="1" w:lastRow="0" w:firstColumn="0" w:lastColumn="0" w:noHBand="0" w:noVBand="1" w:val="0420"/>
        <w:jc w:val="start"/>
      </w:tblPr>
      <w:tblGrid>
        <w:gridCol w:w="2168"/>
        <w:gridCol w:w="5751"/>
      </w:tblGrid>
      <w:tr>
        <w:trPr>
          <w:tblHeader w:val="true"/>
        </w:trPr>
        <w:tc>
          <w:tcPr/>
          <w:p>
            <w:pPr>
              <w:pStyle w:val="Compact"/>
              <w:jc w:val="left"/>
            </w:pPr>
            <w:r>
              <w:rPr>
                <w:bCs/>
                <w:b/>
              </w:rPr>
              <w:t xml:space="preserve">Field</w:t>
            </w:r>
          </w:p>
        </w:tc>
        <w:tc>
          <w:tcPr/>
          <w:p>
            <w:pPr>
              <w:pStyle w:val="Compact"/>
              <w:jc w:val="left"/>
            </w:pPr>
            <w:r>
              <w:rPr>
                <w:bCs/>
                <w:b/>
              </w:rPr>
              <w:t xml:space="preserve">Why it is needed</w:t>
            </w:r>
          </w:p>
        </w:tc>
      </w:tr>
      <w:tr>
        <w:tc>
          <w:tcPr/>
          <w:p>
            <w:pPr>
              <w:pStyle w:val="Compact"/>
              <w:jc w:val="left"/>
            </w:pPr>
            <w:r>
              <w:rPr>
                <w:rStyle w:val="VerbatimChar"/>
              </w:rPr>
              <w:t xml:space="preserve">source_type</w:t>
            </w:r>
          </w:p>
        </w:tc>
        <w:tc>
          <w:tcPr/>
          <w:p>
            <w:pPr>
              <w:pStyle w:val="Compact"/>
              <w:jc w:val="left"/>
            </w:pPr>
            <w:r>
              <w:t xml:space="preserve">Every chunk now needs to say which court family it came from. Filtering and retrieval logic needs this once more than one source sits in the same index.</w:t>
            </w:r>
          </w:p>
        </w:tc>
      </w:tr>
      <w:tr>
        <w:tc>
          <w:tcPr/>
          <w:p>
            <w:pPr>
              <w:pStyle w:val="Compact"/>
              <w:jc w:val="left"/>
            </w:pPr>
            <w:r>
              <w:rPr>
                <w:rStyle w:val="VerbatimChar"/>
              </w:rPr>
              <w:t xml:space="preserve">citation_granularity</w:t>
            </w:r>
          </w:p>
        </w:tc>
        <w:tc>
          <w:tcPr/>
          <w:p>
            <w:pPr>
              <w:pStyle w:val="Compact"/>
              <w:jc w:val="left"/>
            </w:pPr>
            <w:r>
              <w:t xml:space="preserve">AYM has real court-numbered paragraphs (</w:t>
            </w:r>
            <w:r>
              <w:rPr>
                <w:rStyle w:val="VerbatimChar"/>
              </w:rPr>
              <w:t xml:space="preserve">court_paragraph</w:t>
            </w:r>
            <w:r>
              <w:t xml:space="preserve">). None of the four new sources do. Their chunks are tagged</w:t>
            </w:r>
            <w:r>
              <w:t xml:space="preserve"> </w:t>
            </w:r>
            <w:r>
              <w:rPr>
                <w:rStyle w:val="VerbatimChar"/>
              </w:rPr>
              <w:t xml:space="preserve">synthetic_segment</w:t>
            </w:r>
            <w:r>
              <w:t xml:space="preserve">, meaning the citation trail is a best-effort location marker, not an official court-numbered paragraph. This distinction should be shown to the end user, not hidden.</w:t>
            </w:r>
          </w:p>
        </w:tc>
      </w:tr>
    </w:tbl>
    <w:p>
      <w:pPr>
        <w:spacing w:before="0" w:after="0" w:line="120" w:lineRule="exact"/>
      </w:pPr>
    </w:p>
    <w:p>
      <w:pPr>
        <w:pStyle w:val="BlockText"/>
      </w:pPr>
      <w:r>
        <w:rPr>
          <w:bCs/>
          <w:b/>
        </w:rPr>
        <w:t xml:space="preserve">Important.</w:t>
      </w:r>
      <w:r>
        <w:t xml:space="preserve"> </w:t>
      </w:r>
      <w:r>
        <w:rPr>
          <w:rStyle w:val="VerbatimChar"/>
        </w:rPr>
        <w:t xml:space="preserve">case_no</w:t>
      </w:r>
      <w:r>
        <w:t xml:space="preserve"> </w:t>
      </w:r>
      <w:r>
        <w:t xml:space="preserve">and</w:t>
      </w:r>
      <w:r>
        <w:t xml:space="preserve"> </w:t>
      </w:r>
      <w:r>
        <w:rPr>
          <w:rStyle w:val="VerbatimChar"/>
        </w:rPr>
        <w:t xml:space="preserve">rights</w:t>
      </w:r>
      <w:r>
        <w:t xml:space="preserve"> </w:t>
      </w:r>
      <w:r>
        <w:t xml:space="preserve">stay exactly the same field names across every source, with null where a source has no equivalent concept. Filter logic in Meilisearch and Qdrant is written once against those field names. Renaming them per source would silently break filtering for any source using the new name.</w:t>
      </w:r>
    </w:p>
    <w:bookmarkEnd w:id="40"/>
    <w:bookmarkStart w:id="41" w:name="Xd33993978859805df9ef08d5b660512146c2ca1"/>
    <w:p>
      <w:pPr>
        <w:pStyle w:val="Heading2"/>
      </w:pPr>
      <w:r>
        <w:t xml:space="preserve">11.2 What each source’s real structure looks like</w:t>
      </w:r>
    </w:p>
    <w:tbl>
      <w:tblPr>
        <w:tblStyle w:val="Table"/>
        <w:tblW w:type="pct" w:w="5000"/>
        <w:tblLook w:firstRow="1" w:lastRow="0" w:firstColumn="0" w:lastColumn="0" w:noHBand="0" w:noVBand="1" w:val="0420"/>
        <w:jc w:val="start"/>
      </w:tblPr>
      <w:tblGrid>
        <w:gridCol w:w="1478"/>
        <w:gridCol w:w="3696"/>
        <w:gridCol w:w="2745"/>
      </w:tblGrid>
      <w:tr>
        <w:trPr>
          <w:tblHeader w:val="true"/>
        </w:trPr>
        <w:tc>
          <w:tcPr/>
          <w:p>
            <w:pPr>
              <w:pStyle w:val="Compact"/>
              <w:jc w:val="left"/>
            </w:pPr>
            <w:r>
              <w:rPr>
                <w:bCs/>
                <w:b/>
              </w:rPr>
              <w:t xml:space="preserve">Source</w:t>
            </w:r>
          </w:p>
        </w:tc>
        <w:tc>
          <w:tcPr/>
          <w:p>
            <w:pPr>
              <w:pStyle w:val="Compact"/>
              <w:jc w:val="left"/>
            </w:pPr>
            <w:r>
              <w:rPr>
                <w:bCs/>
                <w:b/>
              </w:rPr>
              <w:t xml:space="preserve">Real structure found</w:t>
            </w:r>
          </w:p>
        </w:tc>
        <w:tc>
          <w:tcPr/>
          <w:p>
            <w:pPr>
              <w:pStyle w:val="Compact"/>
              <w:jc w:val="left"/>
            </w:pPr>
            <w:r>
              <w:rPr>
                <w:bCs/>
                <w:b/>
              </w:rPr>
              <w:t xml:space="preserve">Maps to</w:t>
            </w:r>
          </w:p>
        </w:tc>
      </w:tr>
      <w:tr>
        <w:tc>
          <w:tcPr/>
          <w:p>
            <w:pPr>
              <w:pStyle w:val="Compact"/>
              <w:jc w:val="left"/>
            </w:pPr>
            <w:r>
              <w:t xml:space="preserve">kvkk</w:t>
            </w:r>
          </w:p>
        </w:tc>
        <w:tc>
          <w:tcPr/>
          <w:p>
            <w:pPr>
              <w:pStyle w:val="Compact"/>
              <w:jc w:val="left"/>
            </w:pPr>
            <w:r>
              <w:t xml:space="preserve">No section headings at all. Short decision summary, plain narrative.</w:t>
            </w:r>
          </w:p>
        </w:tc>
        <w:tc>
          <w:tcPr/>
          <w:p>
            <w:pPr>
              <w:pStyle w:val="Compact"/>
              <w:jc w:val="left"/>
            </w:pPr>
            <w:r>
              <w:t xml:space="preserve">background, analysis, outcome (3 stages only, via a new</w:t>
            </w:r>
            <w:r>
              <w:t xml:space="preserve"> </w:t>
            </w:r>
            <w:r>
              <w:rPr>
                <w:rStyle w:val="VerbatimChar"/>
              </w:rPr>
              <w:t xml:space="preserve">regulatory_role</w:t>
            </w:r>
            <w:r>
              <w:t xml:space="preserve"> </w:t>
            </w:r>
            <w:r>
              <w:t xml:space="preserve">field)</w:t>
            </w:r>
          </w:p>
        </w:tc>
      </w:tr>
      <w:tr>
        <w:tc>
          <w:tcPr/>
          <w:p>
            <w:pPr>
              <w:pStyle w:val="Compact"/>
              <w:jc w:val="left"/>
            </w:pPr>
            <w:r>
              <w:t xml:space="preserve">danistay</w:t>
            </w:r>
          </w:p>
        </w:tc>
        <w:tc>
          <w:tcPr/>
          <w:p>
            <w:pPr>
              <w:pStyle w:val="Compact"/>
              <w:jc w:val="left"/>
            </w:pPr>
            <w:r>
              <w:t xml:space="preserve">Keyword markers: ISTEMIN KONUSU, YARGILAMA SURECI, TEMYIZ EDENIN IDDIALARI, KARSI TARAFIN SAVUNMASI, HUKUKI DEGERLENDIRME, KARAR SONUCU. A real dissent marker (KARSI OY) was also found.</w:t>
            </w:r>
          </w:p>
        </w:tc>
        <w:tc>
          <w:tcPr/>
          <w:p>
            <w:pPr>
              <w:pStyle w:val="Compact"/>
              <w:jc w:val="left"/>
            </w:pPr>
            <w:r>
              <w:t xml:space="preserve">Close to FIRAC, but Rule and Application are fused into one HUKUKI DEGERLENDIRME block, not separable</w:t>
            </w:r>
          </w:p>
        </w:tc>
      </w:tr>
      <w:tr>
        <w:tc>
          <w:tcPr/>
          <w:p>
            <w:pPr>
              <w:pStyle w:val="Compact"/>
              <w:jc w:val="left"/>
            </w:pPr>
            <w:r>
              <w:t xml:space="preserve">bam</w:t>
            </w:r>
          </w:p>
        </w:tc>
        <w:tc>
          <w:tcPr/>
          <w:p>
            <w:pPr>
              <w:pStyle w:val="Compact"/>
              <w:jc w:val="left"/>
            </w:pPr>
            <w:r>
              <w:t xml:space="preserve">Keyword markers: DAVA, CEVAP, ILK DERECE MAHKEMESI KARARININ OZETI, ISTINAF NEDENLERI, GEREKCE, HUKUM. Uses the exact word HUKUM that AYM also uses.</w:t>
            </w:r>
          </w:p>
        </w:tc>
        <w:tc>
          <w:tcPr/>
          <w:p>
            <w:pPr>
              <w:pStyle w:val="Compact"/>
              <w:jc w:val="left"/>
            </w:pPr>
            <w:r>
              <w:t xml:space="preserve">The richest of the four. Closest structural match to full FIRAC</w:t>
            </w:r>
          </w:p>
        </w:tc>
      </w:tr>
      <w:tr>
        <w:tc>
          <w:tcPr/>
          <w:p>
            <w:pPr>
              <w:pStyle w:val="Compact"/>
              <w:jc w:val="left"/>
            </w:pPr>
            <w:r>
              <w:t xml:space="preserve">first_degree</w:t>
            </w:r>
          </w:p>
        </w:tc>
        <w:tc>
          <w:tcPr/>
          <w:p>
            <w:pPr>
              <w:pStyle w:val="Compact"/>
              <w:jc w:val="left"/>
            </w:pPr>
            <w:r>
              <w:t xml:space="preserve">DAVA, then GEREGI DUSUNULDU, then one long undifferentiated block, then H U K U M (letter-spaced, same convention AYM uses).</w:t>
            </w:r>
          </w:p>
        </w:tc>
        <w:tc>
          <w:tcPr/>
          <w:p>
            <w:pPr>
              <w:pStyle w:val="Compact"/>
              <w:jc w:val="left"/>
            </w:pPr>
            <w:r>
              <w:t xml:space="preserve">Thinnest structure. No internal markers exist inside the reasoning block, so role tagging there has low confidence without a real content classifier</w:t>
            </w:r>
          </w:p>
        </w:tc>
      </w:tr>
    </w:tbl>
    <w:p>
      <w:pPr>
        <w:spacing w:before="0" w:after="0" w:line="120" w:lineRule="exact"/>
      </w:pPr>
    </w:p>
    <w:bookmarkEnd w:id="41"/>
    <w:bookmarkStart w:id="42" w:name="Xc5d47b54c5a0b5665e6da6cdd2472714cc132aa"/>
    <w:p>
      <w:pPr>
        <w:pStyle w:val="Heading2"/>
      </w:pPr>
      <w:r>
        <w:t xml:space="preserve">11.3 A real problem found: several sections are far over the size cap</w:t>
      </w:r>
    </w:p>
    <w:p>
      <w:pPr>
        <w:pStyle w:val="FirstParagraph"/>
      </w:pPr>
      <w:r>
        <w:t xml:space="preserve">Two real sections were found well over the roughly 2,000-character cap: bam’s GEREKCE (8,038 characters) and danistay’s YARGILAMA SURECI (8,747 characters, which also contains the lower court’s entire prior ruling embedded inside it).</w:t>
      </w:r>
    </w:p>
    <w:p>
      <w:pPr>
        <w:pStyle w:val="BodyText"/>
      </w:pPr>
      <w:r>
        <w:t xml:space="preserve">The size-cap splitter itself already exists and is already working code — the same one used to build all 851 AYM chunks in section 8. It was not run against these two sections because this section’s examples were built by hand, reading the real text directly, without running any code. Both are flagged with</w:t>
      </w:r>
      <w:r>
        <w:t xml:space="preserve"> </w:t>
      </w:r>
      <w:r>
        <w:rPr>
          <w:rStyle w:val="VerbatimChar"/>
        </w:rPr>
        <w:t xml:space="preserve">over_size_cap: true</w:t>
      </w:r>
      <w:r>
        <w:t xml:space="preserve"> </w:t>
      </w:r>
      <w:r>
        <w:t xml:space="preserve">so this is visible rather than silently left oversized. Running the existing splitter against these two sections, and then against the full bam and danistay corpora, is the next concrete step, not a new mechanism that still needs to be built.</w:t>
      </w:r>
    </w:p>
    <w:bookmarkEnd w:id="42"/>
    <w:bookmarkStart w:id="43" w:name="real-example-a-kvkk-chunk"/>
    <w:p>
      <w:pPr>
        <w:pStyle w:val="Heading2"/>
      </w:pPr>
      <w:r>
        <w:t xml:space="preserve">11.4 Real example: a KVKK chunk</w:t>
      </w:r>
    </w:p>
    <w:p>
      <w:pPr>
        <w:pStyle w:val="FirstParagraph"/>
      </w:pPr>
      <w:r>
        <w:t xml:space="preserve">KVKK decisions have no section headings and no court paragraph numbers. The example below is real, complete text pulled directly from an actual KVKK decision summary.</w:t>
      </w:r>
    </w:p>
    <w:p>
      <w:pPr>
        <w:pStyle w:val="SourceCode"/>
      </w:pPr>
      <w:r>
        <w:rPr>
          <w:rStyle w:val="FunctionTok"/>
        </w:rPr>
        <w:t xml:space="preserve">{</w:t>
      </w:r>
      <w:r>
        <w:br/>
      </w:r>
      <w:r>
        <w:rPr>
          <w:rStyle w:val="NormalTok"/>
        </w:rPr>
        <w:t xml:space="preserve">  </w:t>
      </w:r>
      <w:r>
        <w:rPr>
          <w:rStyle w:val="DataTypeTok"/>
        </w:rPr>
        <w:t xml:space="preserve">"chunk_id"</w:t>
      </w:r>
      <w:r>
        <w:rPr>
          <w:rStyle w:val="FunctionTok"/>
        </w:rPr>
        <w:t xml:space="preserve">:</w:t>
      </w:r>
      <w:r>
        <w:rPr>
          <w:rStyle w:val="NormalTok"/>
        </w:rPr>
        <w:t xml:space="preserve"> </w:t>
      </w:r>
      <w:r>
        <w:rPr>
          <w:rStyle w:val="StringTok"/>
        </w:rPr>
        <w:t xml:space="preserve">"kvkk-2024-2196-seg3"</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"kvkk"</w:t>
      </w:r>
      <w:r>
        <w:rPr>
          <w:rStyle w:val="FunctionTok"/>
        </w:rPr>
        <w:t xml:space="preserve">,</w:t>
      </w:r>
      <w:r>
        <w:br/>
      </w:r>
      <w:r>
        <w:rPr>
          <w:rStyle w:val="NormalTok"/>
        </w:rPr>
        <w:t xml:space="preserve">  </w:t>
      </w:r>
      <w:r>
        <w:rPr>
          <w:rStyle w:val="DataTypeTok"/>
        </w:rPr>
        <w:t xml:space="preserve">"case_no"</w:t>
      </w:r>
      <w:r>
        <w:rPr>
          <w:rStyle w:val="FunctionTok"/>
        </w:rPr>
        <w:t xml:space="preserve">:</w:t>
      </w:r>
      <w:r>
        <w:rPr>
          <w:rStyle w:val="NormalTok"/>
        </w:rPr>
        <w:t xml:space="preserve"> </w:t>
      </w:r>
      <w:r>
        <w:rPr>
          <w:rStyle w:val="StringTok"/>
        </w:rPr>
        <w:t xml:space="preserve">"2024/2196"</w:t>
      </w:r>
      <w:r>
        <w:rPr>
          <w:rStyle w:val="FunctionTok"/>
        </w:rPr>
        <w:t xml:space="preserve">,</w:t>
      </w:r>
      <w:r>
        <w:br/>
      </w:r>
      <w:r>
        <w:rPr>
          <w:rStyle w:val="NormalTok"/>
        </w:rPr>
        <w:t xml:space="preserve">  </w:t>
      </w:r>
      <w:r>
        <w:rPr>
          <w:rStyle w:val="DataTypeTok"/>
        </w:rPr>
        <w:t xml:space="preserve">"citation_granularity"</w:t>
      </w:r>
      <w:r>
        <w:rPr>
          <w:rStyle w:val="FunctionTok"/>
        </w:rPr>
        <w:t xml:space="preserve">:</w:t>
      </w:r>
      <w:r>
        <w:rPr>
          <w:rStyle w:val="NormalTok"/>
        </w:rPr>
        <w:t xml:space="preserve"> </w:t>
      </w:r>
      <w:r>
        <w:rPr>
          <w:rStyle w:val="StringTok"/>
        </w:rPr>
        <w:t xml:space="preserve">"synthetic_segment"</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"hususları dikkate alındığında, Kanunun 12 nci maddesinin</w:t>
      </w:r>
      <w:r>
        <w:br/>
      </w:r>
      <w:r>
        <w:rPr>
          <w:rStyle w:val="StringTok"/>
        </w:rPr>
        <w:t xml:space="preserve">           (1) numaralı fıkrasında yer alan şu hükmü çerçevesinde...</w:t>
      </w:r>
      <w:r>
        <w:br/>
      </w:r>
      <w:r>
        <w:rPr>
          <w:rStyle w:val="StringTok"/>
        </w:rPr>
        <w:t xml:space="preserve">           250.000 TL idari para cezası uygulanmasına karar verilmiştir."</w:t>
      </w:r>
      <w:r>
        <w:rPr>
          <w:rStyle w:val="FunctionTok"/>
        </w:rPr>
        <w:t xml:space="preserve">,</w:t>
      </w:r>
      <w:r>
        <w:br/>
      </w:r>
      <w:r>
        <w:rPr>
          <w:rStyle w:val="NormalTok"/>
        </w:rPr>
        <w:t xml:space="preserve">  </w:t>
      </w:r>
      <w:r>
        <w:rPr>
          <w:rStyle w:val="DataTypeTok"/>
        </w:rPr>
        <w:t xml:space="preserve">"char_length"</w:t>
      </w:r>
      <w:r>
        <w:rPr>
          <w:rStyle w:val="FunctionTok"/>
        </w:rPr>
        <w:t xml:space="preserve">:</w:t>
      </w:r>
      <w:r>
        <w:rPr>
          <w:rStyle w:val="NormalTok"/>
        </w:rPr>
        <w:t xml:space="preserve"> </w:t>
      </w:r>
      <w:r>
        <w:rPr>
          <w:rStyle w:val="DecValTok"/>
        </w:rPr>
        <w:t xml:space="preserve">638</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"ruling"</w:t>
      </w:r>
      <w:r>
        <w:rPr>
          <w:rStyle w:val="FunctionTok"/>
        </w:rPr>
        <w:t xml:space="preserve">,</w:t>
      </w:r>
      <w:r>
        <w:br/>
      </w:r>
      <w:r>
        <w:rPr>
          <w:rStyle w:val="NormalTok"/>
        </w:rPr>
        <w:t xml:space="preserve">  </w:t>
      </w:r>
      <w:r>
        <w:rPr>
          <w:rStyle w:val="DataTypeTok"/>
        </w:rPr>
        <w:t xml:space="preserve">"regulatory_role"</w:t>
      </w:r>
      <w:r>
        <w:rPr>
          <w:rStyle w:val="FunctionTok"/>
        </w:rPr>
        <w:t xml:space="preserve">:</w:t>
      </w:r>
      <w:r>
        <w:rPr>
          <w:rStyle w:val="NormalTok"/>
        </w:rPr>
        <w:t xml:space="preserve"> </w:t>
      </w:r>
      <w:r>
        <w:rPr>
          <w:rStyle w:val="StringTok"/>
        </w:rPr>
        <w:t xml:space="preserve">"outcome"</w:t>
      </w:r>
      <w:r>
        <w:rPr>
          <w:rStyle w:val="FunctionTok"/>
        </w:rPr>
        <w:t xml:space="preserve">,</w:t>
      </w:r>
      <w:r>
        <w:br/>
      </w:r>
      <w:r>
        <w:rPr>
          <w:rStyle w:val="NormalTok"/>
        </w:rPr>
        <w:t xml:space="preserve">  </w:t>
      </w:r>
      <w:r>
        <w:rPr>
          <w:rStyle w:val="DataTypeTok"/>
        </w:rPr>
        <w:t xml:space="preserve">"reasoning_stage"</w:t>
      </w:r>
      <w:r>
        <w:rPr>
          <w:rStyle w:val="FunctionTok"/>
        </w:rPr>
        <w:t xml:space="preserve">:</w:t>
      </w:r>
      <w:r>
        <w:rPr>
          <w:rStyle w:val="NormalTok"/>
        </w:rPr>
        <w:t xml:space="preserve"> </w:t>
      </w:r>
      <w:r>
        <w:rPr>
          <w:rStyle w:val="StringTok"/>
        </w:rPr>
        <w:t xml:space="preserve">"outcome"</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FunctionTok"/>
        </w:rPr>
        <w:t xml:space="preserve">}</w:t>
      </w:r>
    </w:p>
    <w:p>
      <w:pPr>
        <w:pStyle w:val="BlockText"/>
      </w:pPr>
      <w:r>
        <w:rPr>
          <w:bCs/>
          <w:b/>
        </w:rPr>
        <w:t xml:space="preserve">Honest note.</w:t>
      </w:r>
      <w:r>
        <w:t xml:space="preserve"> </w:t>
      </w:r>
      <w:r>
        <w:rPr>
          <w:rStyle w:val="VerbatimChar"/>
        </w:rPr>
        <w:t xml:space="preserve">reasoning_summary</w:t>
      </w:r>
      <w:r>
        <w:t xml:space="preserve"> </w:t>
      </w:r>
      <w:r>
        <w:t xml:space="preserve">in every one of these capsules is explicitly marked</w:t>
      </w:r>
      <w:r>
        <w:t xml:space="preserve"> </w:t>
      </w:r>
      <w:r>
        <w:rPr>
          <w:rStyle w:val="VerbatimChar"/>
        </w:rPr>
        <w:t xml:space="preserve">not_generated_no_llm_access</w:t>
      </w:r>
      <w:r>
        <w:t xml:space="preserve"> </w:t>
      </w:r>
      <w:r>
        <w:t xml:space="preserve">rather than faked.</w:t>
      </w:r>
      <w:r>
        <w:t xml:space="preserve"> </w:t>
      </w:r>
      <w:r>
        <w:rPr>
          <w:rStyle w:val="VerbatimChar"/>
        </w:rPr>
        <w:t xml:space="preserve">supporting_chunk_ids</w:t>
      </w:r>
      <w:r>
        <w:t xml:space="preserve"> </w:t>
      </w:r>
      <w:r>
        <w:t xml:space="preserve">still points to the real chunks so the actual reasoning can be read directly.</w:t>
      </w:r>
    </w:p>
    <w:bookmarkEnd w:id="43"/>
    <w:bookmarkStart w:id="44" w:name="build-order-recommendation"/>
    <w:p>
      <w:pPr>
        <w:pStyle w:val="Heading2"/>
      </w:pPr>
      <w:r>
        <w:t xml:space="preserve">11.5 Build order recommendation</w:t>
      </w:r>
    </w:p>
    <w:p>
      <w:pPr>
        <w:pStyle w:val="FirstParagraph"/>
      </w:pPr>
      <w:r>
        <w:t xml:space="preserve">Based on how much real structure each source actually has, richest first:</w:t>
      </w:r>
      <w:r>
        <w:t xml:space="preserve"> </w:t>
      </w:r>
      <w:r>
        <w:rPr>
          <w:bCs/>
          <w:b/>
        </w:rPr>
        <w:t xml:space="preserve">bam</w:t>
      </w:r>
      <w:r>
        <w:t xml:space="preserve"> </w:t>
      </w:r>
      <w:r>
        <w:t xml:space="preserve">first, since it shares AYM’s HUKUM keyword and has the most complete section breakdown.</w:t>
      </w:r>
      <w:r>
        <w:t xml:space="preserve"> </w:t>
      </w:r>
      <w:r>
        <w:rPr>
          <w:bCs/>
          <w:b/>
        </w:rPr>
        <w:t xml:space="preserve">danistay</w:t>
      </w:r>
      <w:r>
        <w:t xml:space="preserve"> </w:t>
      </w:r>
      <w:r>
        <w:t xml:space="preserve">second, once the fused Rule and Application block is handled correctly.</w:t>
      </w:r>
      <w:r>
        <w:t xml:space="preserve"> </w:t>
      </w:r>
      <w:r>
        <w:rPr>
          <w:bCs/>
          <w:b/>
        </w:rPr>
        <w:t xml:space="preserve">kvkk</w:t>
      </w:r>
      <w:r>
        <w:t xml:space="preserve"> </w:t>
      </w:r>
      <w:r>
        <w:t xml:space="preserve">third, since its structure is thin but consistent.</w:t>
      </w:r>
      <w:r>
        <w:t xml:space="preserve"> </w:t>
      </w:r>
      <w:r>
        <w:rPr>
          <w:bCs/>
          <w:b/>
        </w:rPr>
        <w:t xml:space="preserve">first_degree</w:t>
      </w:r>
      <w:r>
        <w:t xml:space="preserve"> </w:t>
      </w:r>
      <w:r>
        <w:t xml:space="preserve">last, since its main reasoning block likely needs a real content classifier before role tagging there can be trusted.</w:t>
      </w:r>
    </w:p>
    <w:bookmarkEnd w:id="44"/>
    <w:bookmarkEnd w:id="45"/>
    <w:bookmarkStart w:id="51" w:name="X256cd1c345046af5c272c03ff644d62332a082d"/>
    <w:p>
      <w:pPr>
        <w:pStyle w:val="Heading1"/>
      </w:pPr>
      <w:r>
        <w:t xml:space="preserve">12. Full Corpus Results: All 5 Sources, One Unified Pipeline</w:t>
      </w:r>
    </w:p>
    <w:p>
      <w:pPr>
        <w:pStyle w:val="FirstParagraph"/>
      </w:pPr>
      <w:r>
        <w:t xml:space="preserve">Section 11 covered single hand-built examples, one document per source. That work is now done for real: a single unified pipeline (</w:t>
      </w:r>
      <w:r>
        <w:rPr>
          <w:rStyle w:val="VerbatimChar"/>
        </w:rPr>
        <w:t xml:space="preserve">multi_court_chunker.py</w:t>
      </w:r>
      <w:r>
        <w:t xml:space="preserve"> </w:t>
      </w:r>
      <w:r>
        <w:t xml:space="preserve">and</w:t>
      </w:r>
      <w:r>
        <w:t xml:space="preserve"> </w:t>
      </w:r>
      <w:r>
        <w:rPr>
          <w:rStyle w:val="VerbatimChar"/>
        </w:rPr>
        <w:t xml:space="preserve">build_multi_court.py</w:t>
      </w:r>
      <w:r>
        <w:t xml:space="preserve">) processes all 5 sources including AYM in one run, with real code, not manual demonstration.</w:t>
      </w:r>
    </w:p>
    <w:bookmarkStart w:id="46" w:name="real-results-full-corpus"/>
    <w:p>
      <w:pPr>
        <w:pStyle w:val="Heading2"/>
      </w:pPr>
      <w:r>
        <w:t xml:space="preserve">12.1 Real results, full corpus</w:t>
      </w:r>
    </w:p>
    <w:tbl>
      <w:tblPr>
        <w:tblStyle w:val="Table"/>
        <w:tblW w:type="pct" w:w="5000"/>
        <w:tblLook w:firstRow="1" w:lastRow="0" w:firstColumn="0" w:lastColumn="0" w:noHBand="0" w:noVBand="1" w:val="0420"/>
        <w:jc w:val="start"/>
      </w:tblPr>
      <w:tblGrid>
        <w:gridCol w:w="1760"/>
        <w:gridCol w:w="2860"/>
        <w:gridCol w:w="1540"/>
        <w:gridCol w:w="1760"/>
      </w:tblGrid>
      <w:tr>
        <w:trPr>
          <w:tblHeader w:val="true"/>
        </w:trPr>
        <w:tc>
          <w:tcPr/>
          <w:p>
            <w:pPr>
              <w:pStyle w:val="Compact"/>
              <w:jc w:val="left"/>
            </w:pPr>
            <w:r>
              <w:rPr>
                <w:bCs/>
                <w:b/>
              </w:rPr>
              <w:t xml:space="preserve">Source</w:t>
            </w:r>
          </w:p>
        </w:tc>
        <w:tc>
          <w:tcPr/>
          <w:p>
            <w:pPr>
              <w:pStyle w:val="Compact"/>
              <w:jc w:val="left"/>
            </w:pPr>
            <w:r>
              <w:rPr>
                <w:bCs/>
                <w:b/>
              </w:rPr>
              <w:t xml:space="preserve">Documents processed</w:t>
            </w:r>
          </w:p>
        </w:tc>
        <w:tc>
          <w:tcPr/>
          <w:p>
            <w:pPr>
              <w:pStyle w:val="Compact"/>
              <w:jc w:val="left"/>
            </w:pPr>
            <w:r>
              <w:rPr>
                <w:bCs/>
                <w:b/>
              </w:rPr>
              <w:t xml:space="preserve">Chunks</w:t>
            </w:r>
          </w:p>
        </w:tc>
        <w:tc>
          <w:tcPr/>
          <w:p>
            <w:pPr>
              <w:pStyle w:val="Compact"/>
              <w:jc w:val="left"/>
            </w:pPr>
            <w:r>
              <w:rPr>
                <w:bCs/>
                <w:b/>
              </w:rPr>
              <w:t xml:space="preserve">Capsules</w:t>
            </w:r>
          </w:p>
        </w:tc>
      </w:tr>
      <w:tr>
        <w:tc>
          <w:tcPr/>
          <w:p>
            <w:pPr>
              <w:pStyle w:val="Compact"/>
              <w:jc w:val="left"/>
            </w:pPr>
            <w:r>
              <w:t xml:space="preserve">aym</w:t>
            </w:r>
          </w:p>
        </w:tc>
        <w:tc>
          <w:tcPr/>
          <w:p>
            <w:pPr>
              <w:pStyle w:val="Compact"/>
              <w:jc w:val="left"/>
            </w:pPr>
            <w:r>
              <w:t xml:space="preserve">200 of 200</w:t>
            </w:r>
          </w:p>
        </w:tc>
        <w:tc>
          <w:tcPr/>
          <w:p>
            <w:pPr>
              <w:pStyle w:val="Compact"/>
              <w:jc w:val="left"/>
            </w:pPr>
            <w:r>
              <w:t xml:space="preserve">3,422</w:t>
            </w:r>
          </w:p>
        </w:tc>
        <w:tc>
          <w:tcPr/>
          <w:p>
            <w:pPr>
              <w:pStyle w:val="Compact"/>
              <w:jc w:val="left"/>
            </w:pPr>
            <w:r>
              <w:t xml:space="preserve">282</w:t>
            </w:r>
          </w:p>
        </w:tc>
      </w:tr>
      <w:tr>
        <w:tc>
          <w:tcPr/>
          <w:p>
            <w:pPr>
              <w:pStyle w:val="Compact"/>
              <w:jc w:val="left"/>
            </w:pPr>
            <w:r>
              <w:t xml:space="preserve">bam</w:t>
            </w:r>
          </w:p>
        </w:tc>
        <w:tc>
          <w:tcPr/>
          <w:p>
            <w:pPr>
              <w:pStyle w:val="Compact"/>
              <w:jc w:val="left"/>
            </w:pPr>
            <w:r>
              <w:t xml:space="preserve">195 of 200</w:t>
            </w:r>
          </w:p>
        </w:tc>
        <w:tc>
          <w:tcPr/>
          <w:p>
            <w:pPr>
              <w:pStyle w:val="Compact"/>
              <w:jc w:val="left"/>
            </w:pPr>
            <w:r>
              <w:t xml:space="preserve">1,366</w:t>
            </w:r>
          </w:p>
        </w:tc>
        <w:tc>
          <w:tcPr/>
          <w:p>
            <w:pPr>
              <w:pStyle w:val="Compact"/>
              <w:jc w:val="left"/>
            </w:pPr>
            <w:r>
              <w:t xml:space="preserve">195</w:t>
            </w:r>
          </w:p>
        </w:tc>
      </w:tr>
      <w:tr>
        <w:tc>
          <w:tcPr/>
          <w:p>
            <w:pPr>
              <w:pStyle w:val="Compact"/>
              <w:jc w:val="left"/>
            </w:pPr>
            <w:r>
              <w:t xml:space="preserve">danistay</w:t>
            </w:r>
          </w:p>
        </w:tc>
        <w:tc>
          <w:tcPr/>
          <w:p>
            <w:pPr>
              <w:pStyle w:val="Compact"/>
              <w:jc w:val="left"/>
            </w:pPr>
            <w:r>
              <w:t xml:space="preserve">141 of 200</w:t>
            </w:r>
          </w:p>
        </w:tc>
        <w:tc>
          <w:tcPr/>
          <w:p>
            <w:pPr>
              <w:pStyle w:val="Compact"/>
              <w:jc w:val="left"/>
            </w:pPr>
            <w:r>
              <w:t xml:space="preserve">1,079</w:t>
            </w:r>
          </w:p>
        </w:tc>
        <w:tc>
          <w:tcPr/>
          <w:p>
            <w:pPr>
              <w:pStyle w:val="Compact"/>
              <w:jc w:val="left"/>
            </w:pPr>
            <w:r>
              <w:t xml:space="preserve">141</w:t>
            </w:r>
          </w:p>
        </w:tc>
      </w:tr>
      <w:tr>
        <w:tc>
          <w:tcPr/>
          <w:p>
            <w:pPr>
              <w:pStyle w:val="Compact"/>
              <w:jc w:val="left"/>
            </w:pPr>
            <w:r>
              <w:t xml:space="preserve">first_degree</w:t>
            </w:r>
          </w:p>
        </w:tc>
        <w:tc>
          <w:tcPr/>
          <w:p>
            <w:pPr>
              <w:pStyle w:val="Compact"/>
              <w:jc w:val="left"/>
            </w:pPr>
            <w:r>
              <w:t xml:space="preserve">200 of 200</w:t>
            </w:r>
          </w:p>
        </w:tc>
        <w:tc>
          <w:tcPr/>
          <w:p>
            <w:pPr>
              <w:pStyle w:val="Compact"/>
              <w:jc w:val="left"/>
            </w:pPr>
            <w:r>
              <w:t xml:space="preserve">1,385</w:t>
            </w:r>
          </w:p>
        </w:tc>
        <w:tc>
          <w:tcPr/>
          <w:p>
            <w:pPr>
              <w:pStyle w:val="Compact"/>
              <w:jc w:val="left"/>
            </w:pPr>
            <w:r>
              <w:t xml:space="preserve">200</w:t>
            </w:r>
          </w:p>
        </w:tc>
      </w:tr>
      <w:tr>
        <w:tc>
          <w:tcPr/>
          <w:p>
            <w:pPr>
              <w:pStyle w:val="Compact"/>
              <w:jc w:val="left"/>
            </w:pPr>
            <w:r>
              <w:t xml:space="preserve">kvkk</w:t>
            </w:r>
          </w:p>
        </w:tc>
        <w:tc>
          <w:tcPr/>
          <w:p>
            <w:pPr>
              <w:pStyle w:val="Compact"/>
              <w:jc w:val="left"/>
            </w:pPr>
            <w:r>
              <w:t xml:space="preserve">189 of 200</w:t>
            </w:r>
          </w:p>
        </w:tc>
        <w:tc>
          <w:tcPr/>
          <w:p>
            <w:pPr>
              <w:pStyle w:val="Compact"/>
              <w:jc w:val="left"/>
            </w:pPr>
            <w:r>
              <w:t xml:space="preserve">674</w:t>
            </w:r>
          </w:p>
        </w:tc>
        <w:tc>
          <w:tcPr/>
          <w:p>
            <w:pPr>
              <w:pStyle w:val="Compact"/>
              <w:jc w:val="left"/>
            </w:pPr>
            <w:r>
              <w:t xml:space="preserve">189</w:t>
            </w:r>
          </w:p>
        </w:tc>
      </w:tr>
    </w:tbl>
    <w:p>
      <w:pPr>
        <w:spacing w:before="0" w:after="0" w:line="120" w:lineRule="exact"/>
      </w:pPr>
    </w:p>
    <w:p>
      <w:pPr>
        <w:pStyle w:val="BodyText"/>
      </w:pPr>
      <w:r>
        <w:t xml:space="preserve">AYM is no longer a separate pipeline. It runs as a fifth source inside the same two files used for the other four, reusing the proven section-detection logic but producing the same final schema as everything else.</w:t>
      </w:r>
    </w:p>
    <w:bookmarkEnd w:id="46"/>
    <w:bookmarkStart w:id="47" w:name="X348cf3861d47358fd03140d975151b4ad7840af"/>
    <w:p>
      <w:pPr>
        <w:pStyle w:val="Heading2"/>
      </w:pPr>
      <w:r>
        <w:t xml:space="preserve">12.2 Real bugs found while unifying AYM into the pipeline</w:t>
      </w:r>
    </w:p>
    <w:p>
      <w:pPr>
        <w:numPr>
          <w:ilvl w:val="0"/>
          <w:numId w:val="1005"/>
        </w:numPr>
        <w:pStyle w:val="Compact"/>
      </w:pPr>
      <w:r>
        <w:t xml:space="preserve">The</w:t>
      </w:r>
      <w:r>
        <w:t xml:space="preserve"> </w:t>
      </w:r>
      <w:r>
        <w:rPr>
          <w:bCs/>
          <w:b/>
        </w:rPr>
        <w:t xml:space="preserve">dissent chunk ID collision</w:t>
      </w:r>
      <w:r>
        <w:t xml:space="preserve"> </w:t>
      </w:r>
      <w:r>
        <w:t xml:space="preserve">from the very start of this project (multiple dissenting judges numbering their own paragraphs from 1 independently) had been re-introduced when AYM’s logic was ported into the new pipeline. Found and fixed with a per-dissent-heading section counter.</w:t>
      </w:r>
    </w:p>
    <w:p>
      <w:pPr>
        <w:numPr>
          <w:ilvl w:val="0"/>
          <w:numId w:val="1005"/>
        </w:numPr>
        <w:pStyle w:val="Compact"/>
      </w:pPr>
      <w:r>
        <w:t xml:space="preserve">A single real document’s HÜKÜM section</w:t>
      </w:r>
      <w:r>
        <w:t xml:space="preserve"> </w:t>
      </w:r>
      <w:r>
        <w:rPr>
          <w:bCs/>
          <w:b/>
        </w:rPr>
        <w:t xml:space="preserve">repeated the letter A twice</w:t>
      </w:r>
      <w:r>
        <w:t xml:space="preserve">, for two separate legal provisions, causing a chunk ID collision within one document. Fixed with an occurrence counter.</w:t>
      </w:r>
    </w:p>
    <w:p>
      <w:pPr>
        <w:numPr>
          <w:ilvl w:val="0"/>
          <w:numId w:val="1005"/>
        </w:numPr>
        <w:pStyle w:val="Compact"/>
      </w:pPr>
      <w:r>
        <w:t xml:space="preserve">A</w:t>
      </w:r>
      <w:r>
        <w:t xml:space="preserve"> </w:t>
      </w:r>
      <w:r>
        <w:rPr>
          <w:bCs/>
          <w:b/>
        </w:rPr>
        <w:t xml:space="preserve">cross-document</w:t>
      </w:r>
      <w:r>
        <w:rPr>
          <w:bCs/>
          <w:b/>
        </w:rPr>
        <w:t xml:space="preserve"> </w:t>
      </w:r>
      <w:r>
        <w:rPr>
          <w:rStyle w:val="VerbatimChar"/>
          <w:bCs/>
          <w:b/>
        </w:rPr>
        <w:t xml:space="preserve">case_no</w:t>
      </w:r>
      <w:r>
        <w:rPr>
          <w:bCs/>
          <w:b/>
        </w:rPr>
        <w:t xml:space="preserve"> </w:t>
      </w:r>
      <w:r>
        <w:rPr>
          <w:bCs/>
          <w:b/>
        </w:rPr>
        <w:t xml:space="preserve">collision</w:t>
      </w:r>
      <w:r>
        <w:t xml:space="preserve">: two different court panels independently assigned the same case number to unrelated cases (seen in both first_degree and AYM data). Fixed by keying every</w:t>
      </w:r>
      <w:r>
        <w:t xml:space="preserve"> </w:t>
      </w:r>
      <w:r>
        <w:rPr>
          <w:rStyle w:val="VerbatimChar"/>
        </w:rPr>
        <w:t xml:space="preserve">chunk_id</w:t>
      </w:r>
      <w:r>
        <w:t xml:space="preserve"> </w:t>
      </w:r>
      <w:r>
        <w:t xml:space="preserve">on the record’s real</w:t>
      </w:r>
      <w:r>
        <w:t xml:space="preserve"> </w:t>
      </w:r>
      <w:r>
        <w:rPr>
          <w:rStyle w:val="VerbatimChar"/>
        </w:rPr>
        <w:t xml:space="preserve">doc_id</w:t>
      </w:r>
      <w:r>
        <w:t xml:space="preserve"> </w:t>
      </w:r>
      <w:r>
        <w:t xml:space="preserve">instead of</w:t>
      </w:r>
      <w:r>
        <w:t xml:space="preserve"> </w:t>
      </w:r>
      <w:r>
        <w:rPr>
          <w:rStyle w:val="VerbatimChar"/>
        </w:rPr>
        <w:t xml:space="preserve">case_no</w:t>
      </w:r>
      <w:r>
        <w:t xml:space="preserve">, which is not globally unique across different panels.</w:t>
      </w:r>
    </w:p>
    <w:p>
      <w:pPr>
        <w:numPr>
          <w:ilvl w:val="0"/>
          <w:numId w:val="1005"/>
        </w:numPr>
        <w:pStyle w:val="Compact"/>
      </w:pPr>
      <w:r>
        <w:t xml:space="preserve">A</w:t>
      </w:r>
      <w:r>
        <w:t xml:space="preserve"> </w:t>
      </w:r>
      <w:r>
        <w:rPr>
          <w:bCs/>
          <w:b/>
        </w:rPr>
        <w:t xml:space="preserve">Turkish uppercase bug</w:t>
      </w:r>
      <w:r>
        <w:t xml:space="preserve"> </w:t>
      </w:r>
      <w:r>
        <w:t xml:space="preserve">affected outcome extraction the same way it once affected section role detection. Python’s built-in case conversion does not handle Turkish i and ı correctly, which silently broke pattern matching until fixed with the same</w:t>
      </w:r>
      <w:r>
        <w:t xml:space="preserve"> </w:t>
      </w:r>
      <w:r>
        <w:rPr>
          <w:rStyle w:val="VerbatimChar"/>
        </w:rPr>
        <w:t xml:space="preserve">tr_upper</w:t>
      </w:r>
      <w:r>
        <w:t xml:space="preserve"> </w:t>
      </w:r>
      <w:r>
        <w:t xml:space="preserve">approach used earlier in the project.</w:t>
      </w:r>
    </w:p>
    <w:p>
      <w:pPr>
        <w:numPr>
          <w:ilvl w:val="0"/>
          <w:numId w:val="1005"/>
        </w:numPr>
        <w:pStyle w:val="Compact"/>
      </w:pPr>
      <w:r>
        <w:rPr>
          <w:bCs/>
          <w:b/>
        </w:rPr>
        <w:t xml:space="preserve">The dotted-i variant, found in the LLM pipeline (15.8).</w:t>
      </w:r>
      <w:r>
        <w:t xml:space="preserve"> </w:t>
      </w:r>
      <w:r>
        <w:t xml:space="preserve">The model’s own labels come back with</w:t>
      </w:r>
      <w:r>
        <w:t xml:space="preserve"> </w:t>
      </w:r>
      <w:r>
        <w:rPr>
          <w:rStyle w:val="VerbatimChar"/>
        </w:rPr>
        <w:t xml:space="preserve">İ</w:t>
      </w:r>
      <w:r>
        <w:t xml:space="preserve"> </w:t>
      </w:r>
      <w:r>
        <w:t xml:space="preserve">decomposed as</w:t>
      </w:r>
      <w:r>
        <w:t xml:space="preserve"> </w:t>
      </w:r>
      <w:r>
        <w:rPr>
          <w:rStyle w:val="VerbatimChar"/>
        </w:rPr>
        <w:t xml:space="preserve">i</w:t>
      </w:r>
      <w:r>
        <w:t xml:space="preserve"> </w:t>
      </w:r>
      <w:r>
        <w:t xml:space="preserve">+ U+0307 (combining dot above). Same Turkish-casing family as the bug above, different mechanism. Fix: strip U+0307 only. A full NFD-strip would destroy</w:t>
      </w:r>
      <w:r>
        <w:t xml:space="preserve"> </w:t>
      </w:r>
      <w:r>
        <w:rPr>
          <w:rStyle w:val="VerbatimChar"/>
        </w:rPr>
        <w:t xml:space="preserve">ş</w:t>
      </w:r>
      <w:r>
        <w:t xml:space="preserve">,</w:t>
      </w:r>
      <w:r>
        <w:t xml:space="preserve"> </w:t>
      </w:r>
      <w:r>
        <w:rPr>
          <w:rStyle w:val="VerbatimChar"/>
        </w:rPr>
        <w:t xml:space="preserve">ğ</w:t>
      </w:r>
      <w:r>
        <w:t xml:space="preserve"> </w:t>
      </w:r>
      <w:r>
        <w:t xml:space="preserve">and</w:t>
      </w:r>
      <w:r>
        <w:t xml:space="preserve"> </w:t>
      </w:r>
      <w:r>
        <w:rPr>
          <w:rStyle w:val="VerbatimChar"/>
        </w:rPr>
        <w:t xml:space="preserve">ç</w:t>
      </w:r>
      <w:r>
        <w:t xml:space="preserve">, so the narrow strip is the correct fix, not the general one.</w:t>
      </w:r>
    </w:p>
    <w:bookmarkEnd w:id="47"/>
    <w:bookmarkStart w:id="48" w:name="real-outcome-extraction-match-rates"/>
    <w:p>
      <w:pPr>
        <w:pStyle w:val="Heading2"/>
      </w:pPr>
      <w:r>
        <w:t xml:space="preserve">12.3 Real outcome extraction match rates</w:t>
      </w:r>
    </w:p>
    <w:p>
      <w:pPr>
        <w:pStyle w:val="FirstParagraph"/>
      </w:pPr>
      <w:r>
        <w:t xml:space="preserve">Same approach as AYM’s role tagging: read real conclusion text across many documents, build a keyword vocabulary, map it to a fixed outcome label. Match rates vary by source, honestly reported rather than smoothed over.</w:t>
      </w:r>
    </w:p>
    <w:tbl>
      <w:tblPr>
        <w:tblStyle w:val="Table"/>
        <w:tblW w:type="pct" w:w="5000"/>
        <w:tblLook w:firstRow="1" w:lastRow="0" w:firstColumn="0" w:lastColumn="0" w:noHBand="0" w:noVBand="1" w:val="0420"/>
        <w:jc w:val="start"/>
      </w:tblPr>
      <w:tblGrid>
        <w:gridCol w:w="2169"/>
        <w:gridCol w:w="5750"/>
      </w:tblGrid>
      <w:tr>
        <w:trPr>
          <w:tblHeader w:val="true"/>
        </w:trPr>
        <w:tc>
          <w:tcPr/>
          <w:p>
            <w:pPr>
              <w:pStyle w:val="Compact"/>
              <w:jc w:val="left"/>
            </w:pPr>
            <w:r>
              <w:rPr>
                <w:bCs/>
                <w:b/>
              </w:rPr>
              <w:t xml:space="preserve">Source</w:t>
            </w:r>
          </w:p>
        </w:tc>
        <w:tc>
          <w:tcPr/>
          <w:p>
            <w:pPr>
              <w:pStyle w:val="Compact"/>
              <w:jc w:val="left"/>
            </w:pPr>
            <w:r>
              <w:rPr>
                <w:bCs/>
                <w:b/>
              </w:rPr>
              <w:t xml:space="preserve">Outcomes matched to a real label</w:t>
            </w:r>
          </w:p>
        </w:tc>
      </w:tr>
      <w:tr>
        <w:tc>
          <w:tcPr/>
          <w:p>
            <w:pPr>
              <w:pStyle w:val="Compact"/>
              <w:jc w:val="left"/>
            </w:pPr>
            <w:r>
              <w:t xml:space="preserve">bam</w:t>
            </w:r>
          </w:p>
        </w:tc>
        <w:tc>
          <w:tcPr/>
          <w:p>
            <w:pPr>
              <w:pStyle w:val="Compact"/>
              <w:jc w:val="left"/>
            </w:pPr>
            <w:r>
              <w:t xml:space="preserve">179 of 195 (92%)</w:t>
            </w:r>
          </w:p>
        </w:tc>
      </w:tr>
      <w:tr>
        <w:tc>
          <w:tcPr/>
          <w:p>
            <w:pPr>
              <w:pStyle w:val="Compact"/>
              <w:jc w:val="left"/>
            </w:pPr>
            <w:r>
              <w:t xml:space="preserve">danistay</w:t>
            </w:r>
          </w:p>
        </w:tc>
        <w:tc>
          <w:tcPr/>
          <w:p>
            <w:pPr>
              <w:pStyle w:val="Compact"/>
              <w:jc w:val="left"/>
            </w:pPr>
            <w:r>
              <w:t xml:space="preserve">92 of 141 (65%)</w:t>
            </w:r>
          </w:p>
        </w:tc>
      </w:tr>
      <w:tr>
        <w:tc>
          <w:tcPr/>
          <w:p>
            <w:pPr>
              <w:pStyle w:val="Compact"/>
              <w:jc w:val="left"/>
            </w:pPr>
            <w:r>
              <w:t xml:space="preserve">first_degree</w:t>
            </w:r>
          </w:p>
        </w:tc>
        <w:tc>
          <w:tcPr/>
          <w:p>
            <w:pPr>
              <w:pStyle w:val="Compact"/>
              <w:jc w:val="left"/>
            </w:pPr>
            <w:r>
              <w:t xml:space="preserve">125 of 200 (62%)</w:t>
            </w:r>
          </w:p>
        </w:tc>
      </w:tr>
      <w:tr>
        <w:tc>
          <w:tcPr/>
          <w:p>
            <w:pPr>
              <w:pStyle w:val="Compact"/>
              <w:jc w:val="left"/>
            </w:pPr>
            <w:r>
              <w:t xml:space="preserve">kvkk</w:t>
            </w:r>
          </w:p>
        </w:tc>
        <w:tc>
          <w:tcPr/>
          <w:p>
            <w:pPr>
              <w:pStyle w:val="Compact"/>
              <w:jc w:val="left"/>
            </w:pPr>
            <w:r>
              <w:t xml:space="preserve">79 of 189 (42%), after finding and fixing a real positional error</w:t>
            </w:r>
          </w:p>
        </w:tc>
      </w:tr>
    </w:tbl>
    <w:p>
      <w:pPr>
        <w:spacing w:before="0" w:after="0" w:line="120" w:lineRule="exact"/>
      </w:pPr>
    </w:p>
    <w:p>
      <w:pPr>
        <w:pStyle w:val="BodyText"/>
      </w:pPr>
      <w:r>
        <w:t xml:space="preserve">The kvkk fix is worth naming specifically. The original assumption was that the last paragraph always contains the outcome. Real documents often end with a generic closing phrase instead, with the actual ruling stated one paragraph earlier. Fixing the search to look at the last two roles together, not just the final paragraph, took the match rate from 11 percent to 42 percent.</w:t>
      </w:r>
    </w:p>
    <w:bookmarkEnd w:id="48"/>
    <w:bookmarkStart w:id="49" w:name="X68d332cd95aa6b3a96c99e13807335ea29c4659"/>
    <w:p>
      <w:pPr>
        <w:pStyle w:val="Heading2"/>
      </w:pPr>
      <w:r>
        <w:t xml:space="preserve">12.4 Qdrant and Meilisearch compatibility, actually tested</w:t>
      </w:r>
    </w:p>
    <w:p>
      <w:pPr>
        <w:pStyle w:val="FirstParagraph"/>
      </w:pPr>
      <w:r>
        <w:t xml:space="preserve">This was previously a documentation-based claim. It has now been tested directly against a real, local Qdrant instance, not assumed from reading Qdrant’s documentation alone.</w:t>
      </w:r>
    </w:p>
    <w:p>
      <w:pPr>
        <w:pStyle w:val="BodyText"/>
      </w:pPr>
      <w:r>
        <w:rPr>
          <w:bCs/>
          <w:b/>
        </w:rPr>
        <w:t xml:space="preserve">Real test performed:</w:t>
      </w:r>
    </w:p>
    <w:p>
      <w:pPr>
        <w:numPr>
          <w:ilvl w:val="0"/>
          <w:numId w:val="1006"/>
        </w:numPr>
        <w:pStyle w:val="Compact"/>
      </w:pPr>
      <w:r>
        <w:t xml:space="preserve">Installed</w:t>
      </w:r>
      <w:r>
        <w:t xml:space="preserve"> </w:t>
      </w:r>
      <w:r>
        <w:rPr>
          <w:rStyle w:val="VerbatimChar"/>
        </w:rPr>
        <w:t xml:space="preserve">qdrant-client</w:t>
      </w:r>
      <w:r>
        <w:t xml:space="preserve">, ran a real local Qdrant instance (in-memory mode, no server needed for this test).</w:t>
      </w:r>
    </w:p>
    <w:p>
      <w:pPr>
        <w:numPr>
          <w:ilvl w:val="0"/>
          <w:numId w:val="1006"/>
        </w:numPr>
        <w:pStyle w:val="Compact"/>
      </w:pPr>
      <w:r>
        <w:t xml:space="preserve">Inserted 100 real chunks and 5 real capsules from actual pipeline output, including null fields and array fields.</w:t>
      </w:r>
    </w:p>
    <w:p>
      <w:pPr>
        <w:numPr>
          <w:ilvl w:val="0"/>
          <w:numId w:val="1006"/>
        </w:numPr>
        <w:pStyle w:val="Compact"/>
      </w:pPr>
      <w:r>
        <w:t xml:space="preserve">Retrieved a point back and confirmed every field survived correctly, including</w:t>
      </w:r>
      <w:r>
        <w:t xml:space="preserve"> </w:t>
      </w:r>
      <w:r>
        <w:rPr>
          <w:rStyle w:val="VerbatimChar"/>
        </w:rPr>
        <w:t xml:space="preserve">reasoning_summary</w:t>
      </w:r>
      <w:r>
        <w:t xml:space="preserve"> </w:t>
      </w:r>
      <w:r>
        <w:t xml:space="preserve">as a real</w:t>
      </w:r>
      <w:r>
        <w:t xml:space="preserve"> </w:t>
      </w:r>
      <w:r>
        <w:rPr>
          <w:rStyle w:val="VerbatimChar"/>
        </w:rPr>
        <w:t xml:space="preserve">None</w:t>
      </w:r>
      <w:r>
        <w:t xml:space="preserve"> </w:t>
      </w:r>
      <w:r>
        <w:t xml:space="preserve">value, not a stringified null.</w:t>
      </w:r>
    </w:p>
    <w:p>
      <w:pPr>
        <w:numPr>
          <w:ilvl w:val="0"/>
          <w:numId w:val="1006"/>
        </w:numPr>
        <w:pStyle w:val="Compact"/>
      </w:pPr>
      <w:r>
        <w:t xml:space="preserve">Ran a real metadata filter query for</w:t>
      </w:r>
      <w:r>
        <w:t xml:space="preserve"> </w:t>
      </w:r>
      <w:r>
        <w:rPr>
          <w:rStyle w:val="VerbatimChar"/>
        </w:rPr>
        <w:t xml:space="preserve">case_no = "2019/12951"</w:t>
      </w:r>
      <w:r>
        <w:t xml:space="preserve"> </w:t>
      </w:r>
      <w:r>
        <w:t xml:space="preserve">and confirmed all 22 returned points matched correctly.</w:t>
      </w:r>
    </w:p>
    <w:p>
      <w:pPr>
        <w:pStyle w:val="BlockText"/>
      </w:pPr>
      <w:r>
        <w:rPr>
          <w:bCs/>
          <w:b/>
        </w:rPr>
        <w:t xml:space="preserve">Confirmed.</w:t>
      </w:r>
      <w:r>
        <w:t xml:space="preserve"> </w:t>
      </w:r>
      <w:r>
        <w:rPr>
          <w:rStyle w:val="VerbatimChar"/>
        </w:rPr>
        <w:t xml:space="preserve">chunk_id</w:t>
      </w:r>
      <w:r>
        <w:t xml:space="preserve"> </w:t>
      </w:r>
      <w:r>
        <w:t xml:space="preserve">is not a valid Qdrant point ID on its own (Qdrant requires a plain integer or a bare UUID). The fix is to generate a UUID from</w:t>
      </w:r>
      <w:r>
        <w:t xml:space="preserve"> </w:t>
      </w:r>
      <w:r>
        <w:rPr>
          <w:rStyle w:val="VerbatimChar"/>
        </w:rPr>
        <w:t xml:space="preserve">chunk_id</w:t>
      </w:r>
      <w:r>
        <w:t xml:space="preserve"> </w:t>
      </w:r>
      <w:r>
        <w:t xml:space="preserve">using</w:t>
      </w:r>
      <w:r>
        <w:t xml:space="preserve"> </w:t>
      </w:r>
      <w:r>
        <w:rPr>
          <w:rStyle w:val="VerbatimChar"/>
        </w:rPr>
        <w:t xml:space="preserve">uuid.uuid5</w:t>
      </w:r>
      <w:r>
        <w:t xml:space="preserve">, use that as the point ID, and keep the real</w:t>
      </w:r>
      <w:r>
        <w:t xml:space="preserve"> </w:t>
      </w:r>
      <w:r>
        <w:rPr>
          <w:rStyle w:val="VerbatimChar"/>
        </w:rPr>
        <w:t xml:space="preserve">chunk_id</w:t>
      </w:r>
      <w:r>
        <w:t xml:space="preserve"> </w:t>
      </w:r>
      <w:r>
        <w:t xml:space="preserve">inside the payload. This has now been tested, not just planned — and in the LLM pipeline it is the ID format from the start (15.5).</w:t>
      </w:r>
    </w:p>
    <w:p>
      <w:pPr>
        <w:pStyle w:val="BlockText"/>
      </w:pPr>
      <w:r>
        <w:rPr>
          <w:bCs/>
          <w:b/>
        </w:rPr>
        <w:t xml:space="preserve">Still open.</w:t>
      </w:r>
      <w:r>
        <w:t xml:space="preserve"> </w:t>
      </w:r>
      <w:r>
        <w:t xml:space="preserve">Storage compatibility is confirmed. Real embeddings are not. Every chunk’s text still needs to be run through an embedding model before semantic search in Qdrant will actually work. That step has not been built or tested anywhere in this project so far.</w:t>
      </w:r>
    </w:p>
    <w:bookmarkEnd w:id="49"/>
    <w:bookmarkStart w:id="50" w:name="toc-removal-now-actually-implemented"/>
    <w:p>
      <w:pPr>
        <w:pStyle w:val="Heading2"/>
      </w:pPr>
      <w:r>
        <w:t xml:space="preserve">12.5 TOC removal, now actually implemented</w:t>
      </w:r>
    </w:p>
    <w:p>
      <w:pPr>
        <w:pStyle w:val="FirstParagraph"/>
      </w:pPr>
      <w:r>
        <w:t xml:space="preserve">Earlier sections of this document described the decision to remove</w:t>
      </w:r>
      <w:r>
        <w:t xml:space="preserve"> </w:t>
      </w:r>
      <w:r>
        <w:rPr>
          <w:rStyle w:val="VerbatimChar"/>
        </w:rPr>
        <w:t xml:space="preserve">parent_ids</w:t>
      </w:r>
      <w:r>
        <w:t xml:space="preserve"> </w:t>
      </w:r>
      <w:r>
        <w:t xml:space="preserve">and the table of contents from the chunk schema. That decision is now implemented in the actual code for every source, verified directly: zero chunks across the full corpus carry a</w:t>
      </w:r>
      <w:r>
        <w:t xml:space="preserve"> </w:t>
      </w:r>
      <w:r>
        <w:rPr>
          <w:rStyle w:val="VerbatimChar"/>
        </w:rPr>
        <w:t xml:space="preserve">parent_ids</w:t>
      </w:r>
      <w:r>
        <w:t xml:space="preserve"> </w:t>
      </w:r>
      <w:r>
        <w:t xml:space="preserve">field.</w:t>
      </w:r>
    </w:p>
    <w:p>
      <w:pPr>
        <w:pStyle w:val="BodyText"/>
      </w:pPr>
      <w:r>
        <w:rPr>
          <w:iCs/>
          <w:i/>
        </w:rPr>
        <w:t xml:space="preserve">Version: September 2026 — section 12 added after building and testing the full unified pipeline across all 5 sources.</w:t>
      </w:r>
    </w:p>
    <w:bookmarkEnd w:id="50"/>
    <w:bookmarkEnd w:id="51"/>
    <w:bookmarkStart w:id="58" w:name="legislation-extraction"/>
    <w:p>
      <w:pPr>
        <w:pStyle w:val="Heading1"/>
      </w:pPr>
      <w:r>
        <w:t xml:space="preserve">13. Legislation Extraction</w:t>
      </w:r>
    </w:p>
    <w:p>
      <w:pPr>
        <w:pStyle w:val="FirstParagraph"/>
      </w:pPr>
      <w:r>
        <w:t xml:space="preserve">Every chunk now carries a</w:t>
      </w:r>
      <w:r>
        <w:t xml:space="preserve"> </w:t>
      </w:r>
      <w:r>
        <w:rPr>
          <w:rStyle w:val="VerbatimChar"/>
        </w:rPr>
        <w:t xml:space="preserve">cited_legislations</w:t>
      </w:r>
      <w:r>
        <w:t xml:space="preserve"> </w:t>
      </w:r>
      <w:r>
        <w:t xml:space="preserve">array, extracting the laws and articles the court cites in that chunk’s own text. This serves two product needs: users can search for which decisions cite a specific law and article, and</w:t>
      </w:r>
      <w:r>
        <w:t xml:space="preserve"> </w:t>
      </w:r>
      <w:r>
        <w:t xml:space="preserve">‘</w:t>
      </w:r>
      <w:r>
        <w:t xml:space="preserve">find similar decisions</w:t>
      </w:r>
      <w:r>
        <w:t xml:space="preserve">’</w:t>
      </w:r>
      <w:r>
        <w:t xml:space="preserve"> </w:t>
      </w:r>
      <w:r>
        <w:t xml:space="preserve">can match on shared legislation rather than only on similar wording.</w:t>
      </w:r>
    </w:p>
    <w:bookmarkStart w:id="52" w:name="the-new-field"/>
    <w:p>
      <w:pPr>
        <w:pStyle w:val="Heading2"/>
      </w:pPr>
      <w:r>
        <w:t xml:space="preserve">13.1 The new field</w:t>
      </w:r>
    </w:p>
    <w:tbl>
      <w:tblPr>
        <w:tblStyle w:val="Table"/>
        <w:tblW w:type="pct" w:w="5000"/>
        <w:tblLook w:firstRow="1" w:lastRow="0" w:firstColumn="0" w:lastColumn="0" w:noHBand="0" w:noVBand="1" w:val="0420"/>
        <w:jc w:val="start"/>
      </w:tblPr>
      <w:tblGrid>
        <w:gridCol w:w="1931"/>
        <w:gridCol w:w="5988"/>
      </w:tblGrid>
      <w:tr>
        <w:trPr>
          <w:tblHeader w:val="true"/>
        </w:trPr>
        <w:tc>
          <w:tcPr/>
          <w:p>
            <w:pPr>
              <w:pStyle w:val="Compact"/>
              <w:jc w:val="left"/>
            </w:pPr>
            <w:r>
              <w:rPr>
                <w:bCs/>
                <w:b/>
              </w:rPr>
              <w:t xml:space="preserve">Field</w:t>
            </w:r>
          </w:p>
        </w:tc>
        <w:tc>
          <w:tcPr/>
          <w:p>
            <w:pPr>
              <w:pStyle w:val="Compact"/>
              <w:jc w:val="left"/>
            </w:pPr>
            <w:r>
              <w:rPr>
                <w:bCs/>
                <w:b/>
              </w:rPr>
              <w:t xml:space="preserve">Meaning</w:t>
            </w:r>
          </w:p>
        </w:tc>
      </w:tr>
      <w:tr>
        <w:tc>
          <w:tcPr/>
          <w:p>
            <w:pPr>
              <w:pStyle w:val="Compact"/>
              <w:jc w:val="left"/>
            </w:pPr>
            <w:r>
              <w:rPr>
                <w:rStyle w:val="VerbatimChar"/>
              </w:rPr>
              <w:t xml:space="preserve">canonical_id</w:t>
            </w:r>
          </w:p>
        </w:tc>
        <w:tc>
          <w:tcPr/>
          <w:p>
            <w:pPr>
              <w:pStyle w:val="Compact"/>
              <w:jc w:val="left"/>
            </w:pPr>
            <w:r>
              <w:t xml:space="preserve">Stable deduplication key. Two chunks citing the same provision share this exact value — this is what makes</w:t>
            </w:r>
            <w:r>
              <w:t xml:space="preserve"> </w:t>
            </w:r>
            <w:r>
              <w:t xml:space="preserve">‘</w:t>
            </w:r>
            <w:r>
              <w:t xml:space="preserve">find every decision citing this law</w:t>
            </w:r>
            <w:r>
              <w:t xml:space="preserve">’</w:t>
            </w:r>
            <w:r>
              <w:t xml:space="preserve"> </w:t>
            </w:r>
            <w:r>
              <w:t xml:space="preserve">possible as a direct filter.</w:t>
            </w:r>
            <w:r>
              <w:t xml:space="preserve"> </w:t>
            </w:r>
            <w:r>
              <w:rPr>
                <w:bCs/>
                <w:b/>
              </w:rPr>
              <w:t xml:space="preserve">Regex pipeline format:</w:t>
            </w:r>
            <w:r>
              <w:t xml:space="preserve"> </w:t>
            </w:r>
            <w:r>
              <w:rPr>
                <w:rStyle w:val="VerbatimChar"/>
              </w:rPr>
              <w:t xml:space="preserve">law-5393-art-15</w:t>
            </w:r>
            <w:r>
              <w:t xml:space="preserve">,</w:t>
            </w:r>
            <w:r>
              <w:t xml:space="preserve"> </w:t>
            </w:r>
            <w:r>
              <w:rPr>
                <w:rStyle w:val="VerbatimChar"/>
              </w:rPr>
              <w:t xml:space="preserve">constitution-art-35</w:t>
            </w:r>
            <w:r>
              <w:t xml:space="preserve">.</w:t>
            </w:r>
            <w:r>
              <w:t xml:space="preserve"> </w:t>
            </w:r>
            <w:r>
              <w:rPr>
                <w:bCs/>
                <w:b/>
              </w:rPr>
              <w:t xml:space="preserve">LLM pipeline format:</w:t>
            </w:r>
            <w:r>
              <w:t xml:space="preserve"> </w:t>
            </w:r>
            <w:r>
              <w:rPr>
                <w:rStyle w:val="VerbatimChar"/>
              </w:rPr>
              <w:t xml:space="preserve">5393/15</w:t>
            </w:r>
            <w:r>
              <w:t xml:space="preserve">,</w:t>
            </w:r>
            <w:r>
              <w:t xml:space="preserve"> </w:t>
            </w:r>
            <w:r>
              <w:rPr>
                <w:rStyle w:val="VerbatimChar"/>
              </w:rPr>
              <w:t xml:space="preserve">constitution/35</w:t>
            </w:r>
            <w:r>
              <w:t xml:space="preserve">. The article part is normalised:</w:t>
            </w:r>
            <w:r>
              <w:t xml:space="preserve"> </w:t>
            </w:r>
            <w:r>
              <w:rPr>
                <w:rStyle w:val="VerbatimChar"/>
              </w:rPr>
              <w:t xml:space="preserve">Geçici 3</w:t>
            </w:r>
            <w:r>
              <w:t xml:space="preserve"> </w:t>
            </w:r>
            <w:r>
              <w:t xml:space="preserve">/</w:t>
            </w:r>
            <w:r>
              <w:t xml:space="preserve"> </w:t>
            </w:r>
            <w:r>
              <w:rPr>
                <w:rStyle w:val="VerbatimChar"/>
              </w:rPr>
              <w:t xml:space="preserve">geçici madde 3</w:t>
            </w:r>
            <w:r>
              <w:t xml:space="preserve"> </w:t>
            </w:r>
            <w:r>
              <w:t xml:space="preserve">/</w:t>
            </w:r>
            <w:r>
              <w:t xml:space="preserve"> </w:t>
            </w:r>
            <w:r>
              <w:rPr>
                <w:rStyle w:val="VerbatimChar"/>
              </w:rPr>
              <w:t xml:space="preserve">GEÇİCİ MADDE 3</w:t>
            </w:r>
            <w:r>
              <w:t xml:space="preserve"> </w:t>
            </w:r>
            <w:r>
              <w:t xml:space="preserve">all collapse to the single key</w:t>
            </w:r>
            <w:r>
              <w:t xml:space="preserve"> </w:t>
            </w:r>
            <w:r>
              <w:rPr>
                <w:rStyle w:val="VerbatimChar"/>
              </w:rPr>
              <w:t xml:space="preserve">geçici-3</w:t>
            </w:r>
            <w:r>
              <w:t xml:space="preserve">;</w:t>
            </w:r>
            <w:r>
              <w:t xml:space="preserve"> </w:t>
            </w:r>
            <w:r>
              <w:rPr>
                <w:rStyle w:val="VerbatimChar"/>
              </w:rPr>
              <w:t xml:space="preserve">Ek 5</w:t>
            </w:r>
            <w:r>
              <w:t xml:space="preserve"> </w:t>
            </w:r>
            <w:r>
              <w:t xml:space="preserve">becomes</w:t>
            </w:r>
            <w:r>
              <w:t xml:space="preserve"> </w:t>
            </w:r>
            <w:r>
              <w:rPr>
                <w:rStyle w:val="VerbatimChar"/>
              </w:rPr>
              <w:t xml:space="preserve">ek-5</w:t>
            </w:r>
            <w:r>
              <w:t xml:space="preserve">.</w:t>
            </w:r>
            <w:r>
              <w:t xml:space="preserve"> </w:t>
            </w:r>
            <w:r>
              <w:rPr>
                <w:rStyle w:val="VerbatimChar"/>
              </w:rPr>
              <w:t xml:space="preserve">141/A</w:t>
            </w:r>
            <w:r>
              <w:t xml:space="preserve"> </w:t>
            </w:r>
            <w:r>
              <w:t xml:space="preserve">is written</w:t>
            </w:r>
            <w:r>
              <w:t xml:space="preserve"> </w:t>
            </w:r>
            <w:r>
              <w:rPr>
                <w:rStyle w:val="VerbatimChar"/>
              </w:rPr>
              <w:t xml:space="preserve">141/a</w:t>
            </w:r>
            <w:r>
              <w:t xml:space="preserve"> </w:t>
            </w:r>
            <w:r>
              <w:t xml:space="preserve">as a placeholder until the legislation store confirms how a letter-suffix article appears in its</w:t>
            </w:r>
            <w:r>
              <w:t xml:space="preserve"> </w:t>
            </w:r>
            <w:r>
              <w:rPr>
                <w:rStyle w:val="VerbatimChar"/>
              </w:rPr>
              <w:t xml:space="preserve">article_key</w:t>
            </w:r>
            <w:r>
              <w:t xml:space="preserve">.</w:t>
            </w:r>
          </w:p>
        </w:tc>
      </w:tr>
      <w:tr>
        <w:tc>
          <w:tcPr/>
          <w:p>
            <w:pPr>
              <w:pStyle w:val="Compact"/>
              <w:jc w:val="left"/>
            </w:pPr>
            <w:r>
              <w:rPr>
                <w:rStyle w:val="VerbatimChar"/>
              </w:rPr>
              <w:t xml:space="preserve">legislation_type</w:t>
            </w:r>
          </w:p>
        </w:tc>
        <w:tc>
          <w:tcPr/>
          <w:p>
            <w:pPr>
              <w:pStyle w:val="Compact"/>
              <w:jc w:val="left"/>
            </w:pPr>
            <w:r>
              <w:rPr>
                <w:rStyle w:val="VerbatimChar"/>
              </w:rPr>
              <w:t xml:space="preserve">statute</w:t>
            </w:r>
            <w:r>
              <w:t xml:space="preserve">,</w:t>
            </w:r>
            <w:r>
              <w:t xml:space="preserve"> </w:t>
            </w:r>
            <w:r>
              <w:rPr>
                <w:rStyle w:val="VerbatimChar"/>
              </w:rPr>
              <w:t xml:space="preserve">decree_law</w:t>
            </w:r>
            <w:r>
              <w:t xml:space="preserve">, or</w:t>
            </w:r>
            <w:r>
              <w:t xml:space="preserve"> </w:t>
            </w:r>
            <w:r>
              <w:rPr>
                <w:rStyle w:val="VerbatimChar"/>
              </w:rPr>
              <w:t xml:space="preserve">constitution</w:t>
            </w:r>
            <w:r>
              <w:t xml:space="preserve">.</w:t>
            </w:r>
            <w:r>
              <w:t xml:space="preserve"> </w:t>
            </w:r>
            <w:r>
              <w:rPr>
                <w:rStyle w:val="VerbatimChar"/>
              </w:rPr>
              <w:t xml:space="preserve">regulation</w:t>
            </w:r>
            <w:r>
              <w:t xml:space="preserve"> </w:t>
            </w:r>
            <w:r>
              <w:t xml:space="preserve">and</w:t>
            </w:r>
            <w:r>
              <w:t xml:space="preserve"> </w:t>
            </w:r>
            <w:r>
              <w:rPr>
                <w:rStyle w:val="VerbatimChar"/>
              </w:rPr>
              <w:t xml:space="preserve">directive</w:t>
            </w:r>
            <w:r>
              <w:t xml:space="preserve"> </w:t>
            </w:r>
            <w:r>
              <w:t xml:space="preserve">are recognized categories (real KVKK citations need them); they are not produced by the regex extractor, but</w:t>
            </w:r>
            <w:r>
              <w:t xml:space="preserve"> </w:t>
            </w:r>
            <w:r>
              <w:rPr>
                <w:bCs/>
                <w:b/>
              </w:rPr>
              <w:t xml:space="preserve">are produced by the LLM pipeline</w:t>
            </w:r>
            <w:r>
              <w:t xml:space="preserve">. Known gap: the vocabulary has no</w:t>
            </w:r>
            <w:r>
              <w:t xml:space="preserve"> </w:t>
            </w:r>
            <w:r>
              <w:rPr>
                <w:rStyle w:val="VerbatimChar"/>
              </w:rPr>
              <w:t xml:space="preserve">treaty</w:t>
            </w:r>
            <w:r>
              <w:t xml:space="preserve"> </w:t>
            </w:r>
            <w:r>
              <w:t xml:space="preserve">category, yet AYM cites the ECHR directly. The model has returned both</w:t>
            </w:r>
            <w:r>
              <w:t xml:space="preserve"> </w:t>
            </w:r>
            <w:r>
              <w:rPr>
                <w:rStyle w:val="VerbatimChar"/>
              </w:rPr>
              <w:t xml:space="preserve">treaty</w:t>
            </w:r>
            <w:r>
              <w:t xml:space="preserve"> </w:t>
            </w:r>
            <w:r>
              <w:t xml:space="preserve">and</w:t>
            </w:r>
            <w:r>
              <w:t xml:space="preserve"> </w:t>
            </w:r>
            <w:r>
              <w:rPr>
                <w:rStyle w:val="VerbatimChar"/>
              </w:rPr>
              <w:t xml:space="preserve">other</w:t>
            </w:r>
            <w:r>
              <w:t xml:space="preserve">; both are flagged, pending a decision (see section 9).</w:t>
            </w:r>
          </w:p>
        </w:tc>
      </w:tr>
      <w:tr>
        <w:tc>
          <w:tcPr/>
          <w:p>
            <w:pPr>
              <w:pStyle w:val="Compact"/>
              <w:jc w:val="left"/>
            </w:pPr>
            <w:r>
              <w:rPr>
                <w:rStyle w:val="VerbatimChar"/>
              </w:rPr>
              <w:t xml:space="preserve">law_short</w:t>
            </w:r>
          </w:p>
        </w:tc>
        <w:tc>
          <w:tcPr/>
          <w:p>
            <w:pPr>
              <w:pStyle w:val="Compact"/>
              <w:jc w:val="left"/>
            </w:pPr>
            <w:r>
              <w:t xml:space="preserve">The abbreviation as the court wrote it, normalised (</w:t>
            </w:r>
            <w:r>
              <w:rPr>
                <w:rStyle w:val="VerbatimChar"/>
              </w:rPr>
              <w:t xml:space="preserve">T.B.K.</w:t>
            </w:r>
            <w:r>
              <w:t xml:space="preserve"> </w:t>
            </w:r>
            <w:r>
              <w:t xml:space="preserve">→</w:t>
            </w:r>
            <w:r>
              <w:t xml:space="preserve"> </w:t>
            </w:r>
            <w:r>
              <w:rPr>
                <w:rStyle w:val="VerbatimChar"/>
              </w:rPr>
              <w:t xml:space="preserve">TBK</w:t>
            </w:r>
            <w:r>
              <w:t xml:space="preserve">). Turkish citation is almost entirely by abbreviation, and</w:t>
            </w:r>
            <w:r>
              <w:t xml:space="preserve"> </w:t>
            </w:r>
            <w:r>
              <w:rPr>
                <w:rStyle w:val="VerbatimChar"/>
              </w:rPr>
              <w:t xml:space="preserve">T.B.K. madde 56</w:t>
            </w:r>
            <w:r>
              <w:t xml:space="preserve"> </w:t>
            </w:r>
            <w:r>
              <w:t xml:space="preserve">carries no law number at all. Never resolved to a number here — BK is Law 818 before 2012 and 6098 after, TMK is usually 4721 but sometimes 3713. Resolution belongs to the legislation store’s alias table, which is date-aware.</w:t>
            </w:r>
          </w:p>
        </w:tc>
      </w:tr>
      <w:tr>
        <w:tc>
          <w:tcPr/>
          <w:p>
            <w:pPr>
              <w:pStyle w:val="Compact"/>
              <w:jc w:val="left"/>
            </w:pPr>
            <w:r>
              <w:rPr>
                <w:rStyle w:val="VerbatimChar"/>
              </w:rPr>
              <w:t xml:space="preserve">law_no</w:t>
            </w:r>
          </w:p>
        </w:tc>
        <w:tc>
          <w:tcPr/>
          <w:p>
            <w:pPr>
              <w:pStyle w:val="Compact"/>
              <w:jc w:val="left"/>
            </w:pPr>
            <w:r>
              <w:t xml:space="preserve">Law number such as 5393. Null for constitution citations.</w:t>
            </w:r>
          </w:p>
        </w:tc>
      </w:tr>
      <w:tr>
        <w:tc>
          <w:tcPr/>
          <w:p>
            <w:pPr>
              <w:pStyle w:val="Compact"/>
              <w:jc w:val="left"/>
            </w:pPr>
            <w:r>
              <w:rPr>
                <w:rStyle w:val="VerbatimChar"/>
              </w:rPr>
              <w:t xml:space="preserve">law_name</w:t>
            </w:r>
          </w:p>
        </w:tc>
        <w:tc>
          <w:tcPr/>
          <w:p>
            <w:pPr>
              <w:pStyle w:val="Compact"/>
              <w:jc w:val="left"/>
            </w:pPr>
            <w:r>
              <w:t xml:space="preserve">The law’s name if stated at that specific mention, otherwise null.</w:t>
            </w:r>
          </w:p>
        </w:tc>
      </w:tr>
      <w:tr>
        <w:tc>
          <w:tcPr/>
          <w:p>
            <w:pPr>
              <w:pStyle w:val="Compact"/>
              <w:jc w:val="left"/>
            </w:pPr>
            <w:r>
              <w:rPr>
                <w:rStyle w:val="VerbatimChar"/>
              </w:rPr>
              <w:t xml:space="preserve">article_no</w:t>
            </w:r>
          </w:p>
        </w:tc>
        <w:tc>
          <w:tcPr/>
          <w:p>
            <w:pPr>
              <w:pStyle w:val="Compact"/>
              <w:jc w:val="left"/>
            </w:pPr>
            <w:r>
              <w:t xml:space="preserve">Article number if stated at that mention, otherwise null.</w:t>
            </w:r>
          </w:p>
        </w:tc>
      </w:tr>
      <w:tr>
        <w:tc>
          <w:tcPr/>
          <w:p>
            <w:pPr>
              <w:pStyle w:val="Compact"/>
              <w:jc w:val="left"/>
            </w:pPr>
            <w:r>
              <w:rPr>
                <w:rStyle w:val="VerbatimChar"/>
              </w:rPr>
              <w:t xml:space="preserve">paragraph_no</w:t>
            </w:r>
          </w:p>
        </w:tc>
        <w:tc>
          <w:tcPr/>
          <w:p>
            <w:pPr>
              <w:pStyle w:val="Compact"/>
              <w:jc w:val="left"/>
            </w:pPr>
            <w:r>
              <w:t xml:space="preserve">Sub-paragraph (fıkra) if stated, otherwise null.</w:t>
            </w:r>
          </w:p>
        </w:tc>
      </w:tr>
      <w:tr>
        <w:tc>
          <w:tcPr/>
          <w:p>
            <w:pPr>
              <w:pStyle w:val="Compact"/>
              <w:jc w:val="left"/>
            </w:pPr>
            <w:r>
              <w:rPr>
                <w:rStyle w:val="VerbatimChar"/>
              </w:rPr>
              <w:t xml:space="preserve">verbatim_mention</w:t>
            </w:r>
          </w:p>
        </w:tc>
        <w:tc>
          <w:tcPr/>
          <w:p>
            <w:pPr>
              <w:pStyle w:val="Compact"/>
              <w:jc w:val="left"/>
            </w:pPr>
            <w:r>
              <w:t xml:space="preserve">The exact source text of the citation, for display and verification.</w:t>
            </w:r>
          </w:p>
        </w:tc>
      </w:tr>
      <w:tr>
        <w:tc>
          <w:tcPr/>
          <w:p>
            <w:pPr>
              <w:pStyle w:val="Compact"/>
              <w:jc w:val="left"/>
            </w:pPr>
            <w:r>
              <w:rPr>
                <w:rStyle w:val="VerbatimChar"/>
              </w:rPr>
              <w:t xml:space="preserve">law_date</w:t>
            </w:r>
          </w:p>
        </w:tc>
        <w:tc>
          <w:tcPr/>
          <w:p>
            <w:pPr>
              <w:pStyle w:val="Compact"/>
              <w:jc w:val="left"/>
            </w:pPr>
            <w:r>
              <w:t xml:space="preserve">ISO date if the court text gave one, for example</w:t>
            </w:r>
            <w:r>
              <w:t xml:space="preserve"> </w:t>
            </w:r>
            <w:r>
              <w:rPr>
                <w:rStyle w:val="VerbatimChar"/>
              </w:rPr>
              <w:t xml:space="preserve">1994-12-07</w:t>
            </w:r>
            <w:r>
              <w:t xml:space="preserve">, otherwise null.</w:t>
            </w:r>
          </w:p>
        </w:tc>
      </w:tr>
      <w:tr>
        <w:tc>
          <w:tcPr/>
          <w:p>
            <w:pPr>
              <w:pStyle w:val="Compact"/>
              <w:jc w:val="left"/>
            </w:pPr>
            <w:r>
              <w:rPr>
                <w:rStyle w:val="VerbatimChar"/>
              </w:rPr>
              <w:t xml:space="preserve">confidence</w:t>
            </w:r>
          </w:p>
        </w:tc>
        <w:tc>
          <w:tcPr/>
          <w:p>
            <w:pPr>
              <w:pStyle w:val="Compact"/>
              <w:jc w:val="left"/>
            </w:pPr>
            <w:r>
              <w:rPr>
                <w:rStyle w:val="VerbatimChar"/>
              </w:rPr>
              <w:t xml:space="preserve">high</w:t>
            </w:r>
            <w:r>
              <w:t xml:space="preserve"> </w:t>
            </w:r>
            <w:r>
              <w:t xml:space="preserve">when a specific article was identified,</w:t>
            </w:r>
            <w:r>
              <w:t xml:space="preserve"> </w:t>
            </w:r>
            <w:r>
              <w:rPr>
                <w:rStyle w:val="VerbatimChar"/>
              </w:rPr>
              <w:t xml:space="preserve">low</w:t>
            </w:r>
            <w:r>
              <w:t xml:space="preserve"> </w:t>
            </w:r>
            <w:r>
              <w:t xml:space="preserve">when only the law was named without an article.</w:t>
            </w:r>
          </w:p>
        </w:tc>
      </w:tr>
    </w:tbl>
    <w:p>
      <w:pPr>
        <w:spacing w:before="0" w:after="0" w:line="120" w:lineRule="exact"/>
      </w:pPr>
    </w:p>
    <w:bookmarkEnd w:id="52"/>
    <w:bookmarkStart w:id="53" w:name="real-extraction-results-full-corpus"/>
    <w:p>
      <w:pPr>
        <w:pStyle w:val="Heading2"/>
      </w:pPr>
      <w:r>
        <w:t xml:space="preserve">13.2 Real extraction results, full corpus</w:t>
      </w:r>
    </w:p>
    <w:tbl>
      <w:tblPr>
        <w:tblStyle w:val="Table"/>
        <w:tblW w:type="pct" w:w="5000"/>
        <w:tblLook w:firstRow="1" w:lastRow="0" w:firstColumn="0" w:lastColumn="0" w:noHBand="0" w:noVBand="1" w:val="0420"/>
        <w:jc w:val="start"/>
      </w:tblPr>
      <w:tblGrid>
        <w:gridCol w:w="1348"/>
        <w:gridCol w:w="2780"/>
        <w:gridCol w:w="1432"/>
        <w:gridCol w:w="2359"/>
      </w:tblGrid>
      <w:tr>
        <w:trPr>
          <w:tblHeader w:val="true"/>
        </w:trPr>
        <w:tc>
          <w:tcPr/>
          <w:p>
            <w:pPr>
              <w:pStyle w:val="Compact"/>
              <w:jc w:val="left"/>
            </w:pPr>
            <w:r>
              <w:rPr>
                <w:bCs/>
                <w:b/>
              </w:rPr>
              <w:t xml:space="preserve">Source</w:t>
            </w:r>
          </w:p>
        </w:tc>
        <w:tc>
          <w:tcPr/>
          <w:p>
            <w:pPr>
              <w:pStyle w:val="Compact"/>
              <w:jc w:val="left"/>
            </w:pPr>
            <w:r>
              <w:rPr>
                <w:bCs/>
                <w:b/>
              </w:rPr>
              <w:t xml:space="preserve">Chunks citing legislation</w:t>
            </w:r>
          </w:p>
        </w:tc>
        <w:tc>
          <w:tcPr/>
          <w:p>
            <w:pPr>
              <w:pStyle w:val="Compact"/>
              <w:jc w:val="left"/>
            </w:pPr>
            <w:r>
              <w:rPr>
                <w:bCs/>
                <w:b/>
              </w:rPr>
              <w:t xml:space="preserve">Citations</w:t>
            </w:r>
          </w:p>
        </w:tc>
        <w:tc>
          <w:tcPr/>
          <w:p>
            <w:pPr>
              <w:pStyle w:val="Compact"/>
              <w:jc w:val="left"/>
            </w:pPr>
            <w:r>
              <w:rPr>
                <w:bCs/>
                <w:b/>
              </w:rPr>
              <w:t xml:space="preserve">Unique laws/articles</w:t>
            </w:r>
          </w:p>
        </w:tc>
      </w:tr>
      <w:tr>
        <w:tc>
          <w:tcPr/>
          <w:p>
            <w:pPr>
              <w:pStyle w:val="Compact"/>
              <w:jc w:val="left"/>
            </w:pPr>
            <w:r>
              <w:t xml:space="preserve">aym</w:t>
            </w:r>
          </w:p>
        </w:tc>
        <w:tc>
          <w:tcPr/>
          <w:p>
            <w:pPr>
              <w:pStyle w:val="Compact"/>
              <w:jc w:val="left"/>
            </w:pPr>
            <w:r>
              <w:t xml:space="preserve">1,280 of 3,422 (37%)</w:t>
            </w:r>
          </w:p>
        </w:tc>
        <w:tc>
          <w:tcPr/>
          <w:p>
            <w:pPr>
              <w:pStyle w:val="Compact"/>
              <w:jc w:val="left"/>
            </w:pPr>
            <w:r>
              <w:t xml:space="preserve">2,116</w:t>
            </w:r>
          </w:p>
        </w:tc>
        <w:tc>
          <w:tcPr/>
          <w:p>
            <w:pPr>
              <w:pStyle w:val="Compact"/>
              <w:jc w:val="left"/>
            </w:pPr>
            <w:r>
              <w:t xml:space="preserve">769</w:t>
            </w:r>
          </w:p>
        </w:tc>
      </w:tr>
      <w:tr>
        <w:tc>
          <w:tcPr/>
          <w:p>
            <w:pPr>
              <w:pStyle w:val="Compact"/>
              <w:jc w:val="left"/>
            </w:pPr>
            <w:r>
              <w:t xml:space="preserve">danistay</w:t>
            </w:r>
          </w:p>
        </w:tc>
        <w:tc>
          <w:tcPr/>
          <w:p>
            <w:pPr>
              <w:pStyle w:val="Compact"/>
              <w:jc w:val="left"/>
            </w:pPr>
            <w:r>
              <w:t xml:space="preserve">514 of 1,094 (47%)</w:t>
            </w:r>
          </w:p>
        </w:tc>
        <w:tc>
          <w:tcPr/>
          <w:p>
            <w:pPr>
              <w:pStyle w:val="Compact"/>
              <w:jc w:val="left"/>
            </w:pPr>
            <w:r>
              <w:t xml:space="preserve">855</w:t>
            </w:r>
          </w:p>
        </w:tc>
        <w:tc>
          <w:tcPr/>
          <w:p>
            <w:pPr>
              <w:pStyle w:val="Compact"/>
              <w:jc w:val="left"/>
            </w:pPr>
            <w:r>
              <w:t xml:space="preserve">287</w:t>
            </w:r>
          </w:p>
        </w:tc>
      </w:tr>
      <w:tr>
        <w:tc>
          <w:tcPr/>
          <w:p>
            <w:pPr>
              <w:pStyle w:val="Compact"/>
              <w:jc w:val="left"/>
            </w:pPr>
            <w:r>
              <w:t xml:space="preserve">kvkk</w:t>
            </w:r>
          </w:p>
        </w:tc>
        <w:tc>
          <w:tcPr/>
          <w:p>
            <w:pPr>
              <w:pStyle w:val="Compact"/>
              <w:jc w:val="left"/>
            </w:pPr>
            <w:r>
              <w:t xml:space="preserve">173 of 674 (26%)</w:t>
            </w:r>
          </w:p>
        </w:tc>
        <w:tc>
          <w:tcPr/>
          <w:p>
            <w:pPr>
              <w:pStyle w:val="Compact"/>
              <w:jc w:val="left"/>
            </w:pPr>
            <w:r>
              <w:t xml:space="preserve">210</w:t>
            </w:r>
          </w:p>
        </w:tc>
        <w:tc>
          <w:tcPr/>
          <w:p>
            <w:pPr>
              <w:pStyle w:val="Compact"/>
              <w:jc w:val="left"/>
            </w:pPr>
            <w:r>
              <w:t xml:space="preserve">54</w:t>
            </w:r>
          </w:p>
        </w:tc>
      </w:tr>
      <w:tr>
        <w:tc>
          <w:tcPr/>
          <w:p>
            <w:pPr>
              <w:pStyle w:val="Compact"/>
              <w:jc w:val="left"/>
            </w:pPr>
            <w:r>
              <w:t xml:space="preserve">bam</w:t>
            </w:r>
          </w:p>
        </w:tc>
        <w:tc>
          <w:tcPr/>
          <w:p>
            <w:pPr>
              <w:pStyle w:val="Compact"/>
              <w:jc w:val="left"/>
            </w:pPr>
            <w:r>
              <w:t xml:space="preserve">195 of 1,366 (14%)</w:t>
            </w:r>
          </w:p>
        </w:tc>
        <w:tc>
          <w:tcPr/>
          <w:p>
            <w:pPr>
              <w:pStyle w:val="Compact"/>
              <w:jc w:val="left"/>
            </w:pPr>
            <w:r>
              <w:t xml:space="preserve">262</w:t>
            </w:r>
          </w:p>
        </w:tc>
        <w:tc>
          <w:tcPr/>
          <w:p>
            <w:pPr>
              <w:pStyle w:val="Compact"/>
              <w:jc w:val="left"/>
            </w:pPr>
            <w:r>
              <w:t xml:space="preserve">119</w:t>
            </w:r>
          </w:p>
        </w:tc>
      </w:tr>
      <w:tr>
        <w:tc>
          <w:tcPr/>
          <w:p>
            <w:pPr>
              <w:pStyle w:val="Compact"/>
              <w:jc w:val="left"/>
            </w:pPr>
            <w:r>
              <w:t xml:space="preserve">first_degree</w:t>
            </w:r>
          </w:p>
        </w:tc>
        <w:tc>
          <w:tcPr/>
          <w:p>
            <w:pPr>
              <w:pStyle w:val="Compact"/>
              <w:jc w:val="left"/>
            </w:pPr>
            <w:r>
              <w:t xml:space="preserve">174 of 1,385 (13%)</w:t>
            </w:r>
          </w:p>
        </w:tc>
        <w:tc>
          <w:tcPr/>
          <w:p>
            <w:pPr>
              <w:pStyle w:val="Compact"/>
              <w:jc w:val="left"/>
            </w:pPr>
            <w:r>
              <w:t xml:space="preserve">264</w:t>
            </w:r>
          </w:p>
        </w:tc>
        <w:tc>
          <w:tcPr/>
          <w:p>
            <w:pPr>
              <w:pStyle w:val="Compact"/>
              <w:jc w:val="left"/>
            </w:pPr>
            <w:r>
              <w:t xml:space="preserve">136</w:t>
            </w:r>
          </w:p>
        </w:tc>
      </w:tr>
    </w:tbl>
    <w:p>
      <w:pPr>
        <w:spacing w:before="0" w:after="0" w:line="120" w:lineRule="exact"/>
      </w:pPr>
    </w:p>
    <w:p>
      <w:pPr>
        <w:pStyle w:val="BodyText"/>
      </w:pPr>
      <w:r>
        <w:t xml:space="preserve">3,707 citations extracted in total (re-run after the fixes in 13.6; was 3,596). Two real citation conventions are detected: statute citations in the form</w:t>
      </w:r>
      <w:r>
        <w:t xml:space="preserve"> </w:t>
      </w:r>
      <w:r>
        <w:t xml:space="preserve">‘</w:t>
      </w:r>
      <w:r>
        <w:t xml:space="preserve">[number] sayılı [Law Name] Kanun’un [N]. maddesi</w:t>
      </w:r>
      <w:r>
        <w:t xml:space="preserve">’</w:t>
      </w:r>
      <w:r>
        <w:t xml:space="preserve">, and constitution citations in the form</w:t>
      </w:r>
      <w:r>
        <w:t xml:space="preserve"> </w:t>
      </w:r>
      <w:r>
        <w:t xml:space="preserve">‘</w:t>
      </w:r>
      <w:r>
        <w:t xml:space="preserve">Anayasa’nın [N]. maddesi</w:t>
      </w:r>
      <w:r>
        <w:t xml:space="preserve">’</w:t>
      </w:r>
      <w:r>
        <w:t xml:space="preserve">. Both were verified against real court text before the extractor was built.</w:t>
      </w:r>
    </w:p>
    <w:bookmarkEnd w:id="53"/>
    <w:bookmarkStart w:id="54" w:name="X80ad179c0d37f86c8b7b6ba30e41b4c9f46fa0f"/>
    <w:p>
      <w:pPr>
        <w:pStyle w:val="Heading2"/>
      </w:pPr>
      <w:r>
        <w:t xml:space="preserve">13.3 Why temporal_context was considered and rejected</w:t>
      </w:r>
    </w:p>
    <w:p>
      <w:pPr>
        <w:pStyle w:val="BlockText"/>
      </w:pPr>
      <w:r>
        <w:rPr>
          <w:bCs/>
          <w:b/>
        </w:rPr>
        <w:t xml:space="preserve">The risk.</w:t>
      </w:r>
      <w:r>
        <w:t xml:space="preserve"> </w:t>
      </w:r>
      <w:r>
        <w:t xml:space="preserve">For nearly every real citation, the court text does not contain the information needed to fill</w:t>
      </w:r>
      <w:r>
        <w:t xml:space="preserve"> </w:t>
      </w:r>
      <w:r>
        <w:rPr>
          <w:rStyle w:val="VerbatimChar"/>
        </w:rPr>
        <w:t xml:space="preserve">has_special_transition_rule</w:t>
      </w:r>
      <w:r>
        <w:t xml:space="preserve"> </w:t>
      </w:r>
      <w:r>
        <w:t xml:space="preserve">or</w:t>
      </w:r>
      <w:r>
        <w:t xml:space="preserve"> </w:t>
      </w:r>
      <w:r>
        <w:rPr>
          <w:rStyle w:val="VerbatimChar"/>
        </w:rPr>
        <w:t xml:space="preserve">transition_note</w:t>
      </w:r>
      <w:r>
        <w:t xml:space="preserve">. An LLM asked to extract those fields would be guessing rather than extracting, which is the exact hallucination risk the proposal exists to prevent.</w:t>
      </w:r>
    </w:p>
    <w:p>
      <w:pPr>
        <w:pStyle w:val="FirstParagraph"/>
      </w:pPr>
      <w:r>
        <w:t xml:space="preserve">A proposal was raised to capture temporal context on each citation: which version of a law applied at the time, whether a special transition rule existed, and a transition note. The reasoning was sound in principle. Laws change, courts apply the version valid at the time of the dispute, and showing today’s version of a statute next to an older decision would mislead.</w:t>
      </w:r>
    </w:p>
    <w:p>
      <w:pPr>
        <w:pStyle w:val="BodyText"/>
      </w:pPr>
      <w:r>
        <w:t xml:space="preserve">It was checked against real data before any decision. A search across 1,452 real rule and application chunks for version-timing language returned essentially zero genuine matches. For nearly every real citation, the court text simply does not contain the information those fields would need. An extractor filling them would be guessing, which is the exact hallucination risk the proposal existed to prevent. Separately, a</w:t>
      </w:r>
      <w:r>
        <w:t xml:space="preserve"> </w:t>
      </w:r>
      <w:r>
        <w:t xml:space="preserve">‘</w:t>
      </w:r>
      <w:r>
        <w:t xml:space="preserve">view today’s version</w:t>
      </w:r>
      <w:r>
        <w:t xml:space="preserve">’</w:t>
      </w:r>
      <w:r>
        <w:t xml:space="preserve"> </w:t>
      </w:r>
      <w:r>
        <w:t xml:space="preserve">feature would require an external, maintained Turkish legislative database that this project does not have.</w:t>
      </w:r>
    </w:p>
    <w:p>
      <w:pPr>
        <w:pStyle w:val="BodyText"/>
      </w:pPr>
      <w:r>
        <w:rPr>
          <w:bCs/>
          <w:b/>
        </w:rPr>
        <w:t xml:space="preserve">Decision:</w:t>
      </w:r>
      <w:r>
        <w:t xml:space="preserve"> </w:t>
      </w:r>
      <w:r>
        <w:rPr>
          <w:rStyle w:val="VerbatimChar"/>
        </w:rPr>
        <w:t xml:space="preserve">temporal_context</w:t>
      </w:r>
      <w:r>
        <w:t xml:space="preserve"> </w:t>
      </w:r>
      <w:r>
        <w:t xml:space="preserve">is not included. The field is intentionally absent from the schema, not left null and not pending. If an external legislative database becomes available in future, this can be revisited as a separate piece of work, but it is out of scope for the chunk structure as it stands.</w:t>
      </w:r>
    </w:p>
    <w:p>
      <w:pPr>
        <w:pStyle w:val="BlockText"/>
      </w:pPr>
      <w:r>
        <w:rPr>
          <w:bCs/>
          <w:b/>
        </w:rPr>
        <w:t xml:space="preserve">Open question.</w:t>
      </w:r>
      <w:r>
        <w:t xml:space="preserve"> </w:t>
      </w:r>
      <w:r>
        <w:t xml:space="preserve">Do we have, or plan to have, access to an external Turkish legislative database with amendment history? If yes,</w:t>
      </w:r>
      <w:r>
        <w:t xml:space="preserve"> </w:t>
      </w:r>
      <w:r>
        <w:rPr>
          <w:rStyle w:val="VerbatimChar"/>
        </w:rPr>
        <w:t xml:space="preserve">temporal_context</w:t>
      </w:r>
      <w:r>
        <w:t xml:space="preserve"> </w:t>
      </w:r>
      <w:r>
        <w:t xml:space="preserve">and the version comparison UI become buildable. If no, the honest position is to ship citation extraction as it stands with</w:t>
      </w:r>
      <w:r>
        <w:t xml:space="preserve"> </w:t>
      </w:r>
      <w:r>
        <w:rPr>
          <w:rStyle w:val="VerbatimChar"/>
        </w:rPr>
        <w:t xml:space="preserve">temporal_context</w:t>
      </w:r>
      <w:r>
        <w:t xml:space="preserve"> </w:t>
      </w:r>
      <w:r>
        <w:t xml:space="preserve">left null, and treat the versioning layer as a separate piece of work gated on that data source.</w:t>
      </w:r>
    </w:p>
    <w:bookmarkEnd w:id="54"/>
    <w:bookmarkStart w:id="55" w:name="phased-plan"/>
    <w:p>
      <w:pPr>
        <w:pStyle w:val="Heading2"/>
      </w:pPr>
      <w:r>
        <w:t xml:space="preserve">13.4 Phased plan</w:t>
      </w:r>
    </w:p>
    <w:tbl>
      <w:tblPr>
        <w:tblStyle w:val="Table"/>
        <w:tblW w:type="pct" w:w="5000"/>
        <w:tblLook w:firstRow="1" w:lastRow="0" w:firstColumn="0" w:lastColumn="0" w:noHBand="0" w:noVBand="1" w:val="0420"/>
        <w:jc w:val="start"/>
      </w:tblPr>
      <w:tblGrid>
        <w:gridCol w:w="1320"/>
        <w:gridCol w:w="4061"/>
        <w:gridCol w:w="2538"/>
      </w:tblGrid>
      <w:tr>
        <w:trPr>
          <w:tblHeader w:val="true"/>
        </w:trPr>
        <w:tc>
          <w:tcPr/>
          <w:p>
            <w:pPr>
              <w:pStyle w:val="Compact"/>
              <w:jc w:val="left"/>
            </w:pPr>
            <w:r>
              <w:rPr>
                <w:bCs/>
                <w:b/>
              </w:rPr>
              <w:t xml:space="preserve">Phase</w:t>
            </w:r>
          </w:p>
        </w:tc>
        <w:tc>
          <w:tcPr/>
          <w:p>
            <w:pPr>
              <w:pStyle w:val="Compact"/>
              <w:jc w:val="left"/>
            </w:pPr>
            <w:r>
              <w:rPr>
                <w:bCs/>
                <w:b/>
              </w:rPr>
              <w:t xml:space="preserve">Scope</w:t>
            </w:r>
          </w:p>
        </w:tc>
        <w:tc>
          <w:tcPr/>
          <w:p>
            <w:pPr>
              <w:pStyle w:val="Compact"/>
              <w:jc w:val="left"/>
            </w:pPr>
            <w:r>
              <w:rPr>
                <w:bCs/>
                <w:b/>
              </w:rPr>
              <w:t xml:space="preserve">Status</w:t>
            </w:r>
          </w:p>
        </w:tc>
      </w:tr>
      <w:tr>
        <w:tc>
          <w:tcPr/>
          <w:p>
            <w:pPr>
              <w:pStyle w:val="Compact"/>
              <w:jc w:val="left"/>
            </w:pPr>
            <w:r>
              <w:t xml:space="preserve">Phase 1</w:t>
            </w:r>
          </w:p>
        </w:tc>
        <w:tc>
          <w:tcPr/>
          <w:p>
            <w:pPr>
              <w:pStyle w:val="Compact"/>
              <w:jc w:val="left"/>
            </w:pPr>
            <w:r>
              <w:rPr>
                <w:rStyle w:val="VerbatimChar"/>
              </w:rPr>
              <w:t xml:space="preserve">cited_legislations</w:t>
            </w:r>
            <w:r>
              <w:t xml:space="preserve"> </w:t>
            </w:r>
            <w:r>
              <w:t xml:space="preserve">with</w:t>
            </w:r>
            <w:r>
              <w:t xml:space="preserve"> </w:t>
            </w:r>
            <w:r>
              <w:rPr>
                <w:rStyle w:val="VerbatimChar"/>
              </w:rPr>
              <w:t xml:space="preserve">canonical_id</w:t>
            </w:r>
            <w:r>
              <w:t xml:space="preserve">,</w:t>
            </w:r>
            <w:r>
              <w:t xml:space="preserve"> </w:t>
            </w:r>
            <w:r>
              <w:rPr>
                <w:rStyle w:val="VerbatimChar"/>
              </w:rPr>
              <w:t xml:space="preserve">law_no</w:t>
            </w:r>
            <w:r>
              <w:t xml:space="preserve">,</w:t>
            </w:r>
            <w:r>
              <w:t xml:space="preserve"> </w:t>
            </w:r>
            <w:r>
              <w:rPr>
                <w:rStyle w:val="VerbatimChar"/>
              </w:rPr>
              <w:t xml:space="preserve">law_name</w:t>
            </w:r>
            <w:r>
              <w:t xml:space="preserve">,</w:t>
            </w:r>
            <w:r>
              <w:t xml:space="preserve"> </w:t>
            </w:r>
            <w:r>
              <w:rPr>
                <w:rStyle w:val="VerbatimChar"/>
              </w:rPr>
              <w:t xml:space="preserve">article_no</w:t>
            </w:r>
            <w:r>
              <w:t xml:space="preserve">,</w:t>
            </w:r>
            <w:r>
              <w:t xml:space="preserve"> </w:t>
            </w:r>
            <w:r>
              <w:rPr>
                <w:rStyle w:val="VerbatimChar"/>
              </w:rPr>
              <w:t xml:space="preserve">paragraph_no</w:t>
            </w:r>
            <w:r>
              <w:t xml:space="preserve">,</w:t>
            </w:r>
            <w:r>
              <w:t xml:space="preserve"> </w:t>
            </w:r>
            <w:r>
              <w:rPr>
                <w:rStyle w:val="VerbatimChar"/>
              </w:rPr>
              <w:t xml:space="preserve">verbatim_mention</w:t>
            </w:r>
            <w:r>
              <w:t xml:space="preserve">,</w:t>
            </w:r>
            <w:r>
              <w:t xml:space="preserve"> </w:t>
            </w:r>
            <w:r>
              <w:rPr>
                <w:rStyle w:val="VerbatimChar"/>
              </w:rPr>
              <w:t xml:space="preserve">law_date</w:t>
            </w:r>
            <w:r>
              <w:t xml:space="preserve">,</w:t>
            </w:r>
            <w:r>
              <w:t xml:space="preserve"> </w:t>
            </w:r>
            <w:r>
              <w:rPr>
                <w:rStyle w:val="VerbatimChar"/>
              </w:rPr>
              <w:t xml:space="preserve">confidence</w:t>
            </w:r>
            <w:r>
              <w:t xml:space="preserve">. No</w:t>
            </w:r>
            <w:r>
              <w:t xml:space="preserve"> </w:t>
            </w:r>
            <w:r>
              <w:rPr>
                <w:rStyle w:val="VerbatimChar"/>
              </w:rPr>
              <w:t xml:space="preserve">temporal_context</w:t>
            </w:r>
            <w:r>
              <w:t xml:space="preserve">.</w:t>
            </w:r>
          </w:p>
        </w:tc>
        <w:tc>
          <w:tcPr/>
          <w:p>
            <w:pPr>
              <w:pStyle w:val="Compact"/>
              <w:jc w:val="left"/>
            </w:pPr>
            <w:r>
              <w:t xml:space="preserve">Built, run across all 5 sources, 3,596 citations extracted (3,707 after the 13.6 fixes).</w:t>
            </w:r>
          </w:p>
        </w:tc>
      </w:tr>
      <w:tr>
        <w:tc>
          <w:tcPr/>
          <w:p>
            <w:pPr>
              <w:pStyle w:val="Compact"/>
              <w:jc w:val="left"/>
            </w:pPr>
            <w:r>
              <w:t xml:space="preserve">Phase 2</w:t>
            </w:r>
          </w:p>
        </w:tc>
        <w:tc>
          <w:tcPr/>
          <w:p>
            <w:pPr>
              <w:pStyle w:val="Compact"/>
              <w:jc w:val="left"/>
            </w:pPr>
            <w:r>
              <w:rPr>
                <w:rStyle w:val="VerbatimChar"/>
              </w:rPr>
              <w:t xml:space="preserve">temporal_context</w:t>
            </w:r>
            <w:r>
              <w:t xml:space="preserve"> </w:t>
            </w:r>
            <w:r>
              <w:t xml:space="preserve">(which version applied, transition rules)</w:t>
            </w:r>
          </w:p>
        </w:tc>
        <w:tc>
          <w:tcPr/>
          <w:p>
            <w:pPr>
              <w:pStyle w:val="Compact"/>
              <w:jc w:val="left"/>
            </w:pPr>
            <w:r>
              <w:t xml:space="preserve">NOT being built. Evaluated against real data (see 13.3) and rejected: the grounding is absent in nearly all real court text.</w:t>
            </w:r>
          </w:p>
        </w:tc>
      </w:tr>
      <w:tr>
        <w:tc>
          <w:tcPr/>
          <w:p>
            <w:pPr>
              <w:pStyle w:val="Compact"/>
              <w:jc w:val="left"/>
            </w:pPr>
            <w:r>
              <w:t xml:space="preserve">Phase 3</w:t>
            </w:r>
          </w:p>
        </w:tc>
        <w:tc>
          <w:tcPr/>
          <w:p>
            <w:pPr>
              <w:pStyle w:val="Compact"/>
              <w:jc w:val="left"/>
            </w:pPr>
            <w:r>
              <w:t xml:space="preserve">Version comparison UI (today’s version vs version applied, diff viewer)</w:t>
            </w:r>
          </w:p>
        </w:tc>
        <w:tc>
          <w:tcPr/>
          <w:p>
            <w:pPr>
              <w:pStyle w:val="Compact"/>
              <w:jc w:val="left"/>
            </w:pPr>
            <w:r>
              <w:t xml:space="preserve">Out of scope. Requires an external Turkish legislative database that does not exist in this project.</w:t>
            </w:r>
          </w:p>
        </w:tc>
      </w:tr>
    </w:tbl>
    <w:p>
      <w:pPr>
        <w:spacing w:before="0" w:after="0" w:line="120" w:lineRule="exact"/>
      </w:pPr>
    </w:p>
    <w:bookmarkEnd w:id="55"/>
    <w:bookmarkStart w:id="56" w:name="real-example"/>
    <w:p>
      <w:pPr>
        <w:pStyle w:val="Heading2"/>
      </w:pPr>
      <w:r>
        <w:t xml:space="preserve">13.5 Real example</w:t>
      </w:r>
    </w:p>
    <w:p>
      <w:pPr>
        <w:pStyle w:val="FirstParagraph"/>
      </w:pPr>
      <w:r>
        <w:t xml:space="preserve">A real chunk from case 2019/12951, citing the competition law:</w:t>
      </w:r>
    </w:p>
    <w:p>
      <w:pPr>
        <w:pStyle w:val="SourceCode"/>
      </w:pPr>
      <w:r>
        <w:rPr>
          <w:rStyle w:val="ErrorTok"/>
        </w:rPr>
        <w:t xml:space="preserve">"cited_legislations":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"canonical_id"</w:t>
      </w:r>
      <w:r>
        <w:rPr>
          <w:rStyle w:val="FunctionTok"/>
        </w:rPr>
        <w:t xml:space="preserve">:</w:t>
      </w:r>
      <w:r>
        <w:rPr>
          <w:rStyle w:val="NormalTok"/>
        </w:rPr>
        <w:t xml:space="preserve"> </w:t>
      </w:r>
      <w:r>
        <w:rPr>
          <w:rStyle w:val="StringTok"/>
        </w:rPr>
        <w:t xml:space="preserve">"law-4054-unknown-article"</w:t>
      </w:r>
      <w:r>
        <w:rPr>
          <w:rStyle w:val="FunctionTok"/>
        </w:rPr>
        <w:t xml:space="preserve">,</w:t>
      </w:r>
      <w:r>
        <w:br/>
      </w:r>
      <w:r>
        <w:rPr>
          <w:rStyle w:val="NormalTok"/>
        </w:rPr>
        <w:t xml:space="preserve">    </w:t>
      </w:r>
      <w:r>
        <w:rPr>
          <w:rStyle w:val="DataTypeTok"/>
        </w:rPr>
        <w:t xml:space="preserve">"legislation_type"</w:t>
      </w:r>
      <w:r>
        <w:rPr>
          <w:rStyle w:val="FunctionTok"/>
        </w:rPr>
        <w:t xml:space="preserve">:</w:t>
      </w:r>
      <w:r>
        <w:rPr>
          <w:rStyle w:val="NormalTok"/>
        </w:rPr>
        <w:t xml:space="preserve"> </w:t>
      </w:r>
      <w:r>
        <w:rPr>
          <w:rStyle w:val="StringTok"/>
        </w:rPr>
        <w:t xml:space="preserve">"statute"</w:t>
      </w:r>
      <w:r>
        <w:rPr>
          <w:rStyle w:val="FunctionTok"/>
        </w:rPr>
        <w:t xml:space="preserve">,</w:t>
      </w:r>
      <w:r>
        <w:br/>
      </w:r>
      <w:r>
        <w:rPr>
          <w:rStyle w:val="NormalTok"/>
        </w:rPr>
        <w:t xml:space="preserve">    </w:t>
      </w:r>
      <w:r>
        <w:rPr>
          <w:rStyle w:val="DataTypeTok"/>
        </w:rPr>
        <w:t xml:space="preserve">"law_no"</w:t>
      </w:r>
      <w:r>
        <w:rPr>
          <w:rStyle w:val="FunctionTok"/>
        </w:rPr>
        <w:t xml:space="preserve">:</w:t>
      </w:r>
      <w:r>
        <w:rPr>
          <w:rStyle w:val="NormalTok"/>
        </w:rPr>
        <w:t xml:space="preserve"> </w:t>
      </w:r>
      <w:r>
        <w:rPr>
          <w:rStyle w:val="StringTok"/>
        </w:rPr>
        <w:t xml:space="preserve">"4054"</w:t>
      </w:r>
      <w:r>
        <w:rPr>
          <w:rStyle w:val="FunctionTok"/>
        </w:rPr>
        <w:t xml:space="preserve">,</w:t>
      </w:r>
      <w:r>
        <w:br/>
      </w:r>
      <w:r>
        <w:rPr>
          <w:rStyle w:val="NormalTok"/>
        </w:rPr>
        <w:t xml:space="preserve">    </w:t>
      </w:r>
      <w:r>
        <w:rPr>
          <w:rStyle w:val="DataTypeTok"/>
        </w:rPr>
        <w:t xml:space="preserve">"law_name"</w:t>
      </w:r>
      <w:r>
        <w:rPr>
          <w:rStyle w:val="FunctionTok"/>
        </w:rPr>
        <w:t xml:space="preserve">:</w:t>
      </w:r>
      <w:r>
        <w:rPr>
          <w:rStyle w:val="NormalTok"/>
        </w:rPr>
        <w:t xml:space="preserve"> </w:t>
      </w:r>
      <w:r>
        <w:rPr>
          <w:rStyle w:val="StringTok"/>
        </w:rPr>
        <w:t xml:space="preserve">"Rekabetin Korunması Hakkında"</w:t>
      </w:r>
      <w:r>
        <w:rPr>
          <w:rStyle w:val="FunctionTok"/>
        </w:rPr>
        <w:t xml:space="preserve">,</w:t>
      </w:r>
      <w:r>
        <w:br/>
      </w:r>
      <w:r>
        <w:rPr>
          <w:rStyle w:val="NormalTok"/>
        </w:rPr>
        <w:t xml:space="preserve">    </w:t>
      </w:r>
      <w:r>
        <w:rPr>
          <w:rStyle w:val="DataTypeTok"/>
        </w:rPr>
        <w:t xml:space="preserve">"article_no"</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not</w:t>
      </w:r>
      <w:r>
        <w:rPr>
          <w:rStyle w:val="NormalTok"/>
        </w:rPr>
        <w:t xml:space="preserve"> </w:t>
      </w:r>
      <w:r>
        <w:rPr>
          <w:rStyle w:val="ErrorTok"/>
        </w:rPr>
        <w:t xml:space="preserve">stated</w:t>
      </w:r>
      <w:r>
        <w:rPr>
          <w:rStyle w:val="NormalTok"/>
        </w:rPr>
        <w:t xml:space="preserve"> </w:t>
      </w:r>
      <w:r>
        <w:rPr>
          <w:rStyle w:val="ErrorTok"/>
        </w:rPr>
        <w:t xml:space="preserve">at</w:t>
      </w:r>
      <w:r>
        <w:rPr>
          <w:rStyle w:val="NormalTok"/>
        </w:rPr>
        <w:t xml:space="preserve"> </w:t>
      </w:r>
      <w:r>
        <w:rPr>
          <w:rStyle w:val="ErrorTok"/>
        </w:rPr>
        <w:t xml:space="preserve">this</w:t>
      </w:r>
      <w:r>
        <w:rPr>
          <w:rStyle w:val="NormalTok"/>
        </w:rPr>
        <w:t xml:space="preserve"> </w:t>
      </w:r>
      <w:r>
        <w:rPr>
          <w:rStyle w:val="ErrorTok"/>
        </w:rPr>
        <w:t xml:space="preserve">mention</w:t>
      </w:r>
      <w:r>
        <w:rPr>
          <w:rStyle w:val="FunctionTok"/>
        </w:rPr>
        <w:t xml:space="preserve">,</w:t>
      </w:r>
      <w:r>
        <w:rPr>
          <w:rStyle w:val="NormalTok"/>
        </w:rPr>
        <w:t xml:space="preserve"> </w:t>
      </w:r>
      <w:r>
        <w:rPr>
          <w:rStyle w:val="ErrorTok"/>
        </w:rPr>
        <w:t xml:space="preserve">left</w:t>
      </w:r>
      <w:r>
        <w:rPr>
          <w:rStyle w:val="NormalTok"/>
        </w:rPr>
        <w:t xml:space="preserve"> </w:t>
      </w:r>
      <w:r>
        <w:rPr>
          <w:rStyle w:val="ErrorTok"/>
        </w:rPr>
        <w:t xml:space="preserve">null</w:t>
      </w:r>
      <w:r>
        <w:br/>
      </w:r>
      <w:r>
        <w:rPr>
          <w:rStyle w:val="NormalTok"/>
        </w:rPr>
        <w:t xml:space="preserve">    </w:t>
      </w:r>
      <w:r>
        <w:rPr>
          <w:rStyle w:val="DataTypeTok"/>
        </w:rPr>
        <w:t xml:space="preserve">"paragraph_no"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"verbatim_mention"</w:t>
      </w:r>
      <w:r>
        <w:rPr>
          <w:rStyle w:val="FunctionTok"/>
        </w:rPr>
        <w:t xml:space="preserve">:</w:t>
      </w:r>
      <w:r>
        <w:rPr>
          <w:rStyle w:val="NormalTok"/>
        </w:rPr>
        <w:t xml:space="preserve"> </w:t>
      </w:r>
      <w:r>
        <w:rPr>
          <w:rStyle w:val="StringTok"/>
        </w:rPr>
        <w:t xml:space="preserve">"7/12/1994 tarihli ve 4054 sayılı</w:t>
      </w:r>
      <w:r>
        <w:br/>
      </w:r>
      <w:r>
        <w:rPr>
          <w:rStyle w:val="StringTok"/>
        </w:rPr>
        <w:t xml:space="preserve">                         Rekabetin Korunması Hakkında Kanun'un"</w:t>
      </w:r>
      <w:r>
        <w:rPr>
          <w:rStyle w:val="FunctionTok"/>
        </w:rPr>
        <w:t xml:space="preserve">,</w:t>
      </w:r>
      <w:r>
        <w:br/>
      </w:r>
      <w:r>
        <w:rPr>
          <w:rStyle w:val="NormalTok"/>
        </w:rPr>
        <w:t xml:space="preserve">    </w:t>
      </w:r>
      <w:r>
        <w:rPr>
          <w:rStyle w:val="DataTypeTok"/>
        </w:rPr>
        <w:t xml:space="preserve">"law_date"</w:t>
      </w:r>
      <w:r>
        <w:rPr>
          <w:rStyle w:val="FunctionTok"/>
        </w:rPr>
        <w:t xml:space="preserve">:</w:t>
      </w:r>
      <w:r>
        <w:rPr>
          <w:rStyle w:val="NormalTok"/>
        </w:rPr>
        <w:t xml:space="preserve"> </w:t>
      </w:r>
      <w:r>
        <w:rPr>
          <w:rStyle w:val="StringTok"/>
        </w:rPr>
        <w:t xml:space="preserve">"1994-12-07"</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"low"</w:t>
      </w:r>
      <w:r>
        <w:rPr>
          <w:rStyle w:val="NormalTok"/>
        </w:rPr>
        <w:t xml:space="preserve">            </w:t>
      </w:r>
      <w:r>
        <w:rPr>
          <w:rStyle w:val="ErrorTok"/>
        </w:rPr>
        <w:t xml:space="preserve">//</w:t>
      </w:r>
      <w:r>
        <w:rPr>
          <w:rStyle w:val="NormalTok"/>
        </w:rPr>
        <w:t xml:space="preserve"> </w:t>
      </w:r>
      <w:r>
        <w:rPr>
          <w:rStyle w:val="ErrorTok"/>
        </w:rPr>
        <w:t xml:space="preserve">low</w:t>
      </w:r>
      <w:r>
        <w:rPr>
          <w:rStyle w:val="NormalTok"/>
        </w:rPr>
        <w:t xml:space="preserve"> </w:t>
      </w:r>
      <w:r>
        <w:rPr>
          <w:rStyle w:val="ErrorTok"/>
        </w:rPr>
        <w:t xml:space="preserve">because</w:t>
      </w:r>
      <w:r>
        <w:rPr>
          <w:rStyle w:val="NormalTok"/>
        </w:rPr>
        <w:t xml:space="preserve"> </w:t>
      </w:r>
      <w:r>
        <w:rPr>
          <w:rStyle w:val="ErrorTok"/>
        </w:rPr>
        <w:t xml:space="preserve">no</w:t>
      </w:r>
      <w:r>
        <w:rPr>
          <w:rStyle w:val="NormalTok"/>
        </w:rPr>
        <w:t xml:space="preserve"> </w:t>
      </w:r>
      <w:r>
        <w:rPr>
          <w:rStyle w:val="ErrorTok"/>
        </w:rPr>
        <w:t xml:space="preserve">article</w:t>
      </w:r>
      <w:r>
        <w:rPr>
          <w:rStyle w:val="NormalTok"/>
        </w:rPr>
        <w:t xml:space="preserve"> </w:t>
      </w:r>
      <w:r>
        <w:rPr>
          <w:rStyle w:val="ErrorTok"/>
        </w:rPr>
        <w:t xml:space="preserve">number</w:t>
      </w:r>
      <w:r>
        <w:rPr>
          <w:rStyle w:val="NormalTok"/>
        </w:rPr>
        <w:t xml:space="preserve"> </w:t>
      </w:r>
      <w:r>
        <w:rPr>
          <w:rStyle w:val="ErrorTok"/>
        </w:rPr>
        <w:t xml:space="preserve">given</w:t>
      </w:r>
      <w:r>
        <w:br/>
      </w:r>
      <w:r>
        <w:rPr>
          <w:rStyle w:val="NormalTok"/>
        </w:rPr>
        <w:t xml:space="preserve">  </w:t>
      </w:r>
      <w:r>
        <w:rPr>
          <w:rStyle w:val="FunctionTok"/>
        </w:rPr>
        <w:t xml:space="preserve">}</w:t>
      </w:r>
      <w:r>
        <w:br/>
      </w:r>
      <w:r>
        <w:rPr>
          <w:rStyle w:val="OtherTok"/>
        </w:rPr>
        <w:t xml:space="preserve">]</w:t>
      </w:r>
    </w:p>
    <w:p>
      <w:pPr>
        <w:pStyle w:val="FirstParagraph"/>
      </w:pPr>
      <w:r>
        <w:t xml:space="preserve">Every field is either directly grounded in the source text or explicitly null. Nothing is inferred. The confidence value drops to</w:t>
      </w:r>
      <w:r>
        <w:t xml:space="preserve"> </w:t>
      </w:r>
      <w:r>
        <w:rPr>
          <w:rStyle w:val="VerbatimChar"/>
        </w:rPr>
        <w:t xml:space="preserve">low</w:t>
      </w:r>
      <w:r>
        <w:t xml:space="preserve"> </w:t>
      </w:r>
      <w:r>
        <w:t xml:space="preserve">when a citation names a law without identifying a specific article, since the citation then refers to a whole statute rather than a specific provision.</w:t>
      </w:r>
    </w:p>
    <w:bookmarkEnd w:id="56"/>
    <w:bookmarkStart w:id="57" w:name="Xfeefbf950bc4ccf11ca5bf2e433de5a272bb3d5"/>
    <w:p>
      <w:pPr>
        <w:pStyle w:val="Heading2"/>
      </w:pPr>
      <w:r>
        <w:t xml:space="preserve">13.6 Fixes and known remaining gaps (second pass)</w:t>
      </w:r>
    </w:p>
    <w:p>
      <w:pPr>
        <w:pStyle w:val="FirstParagraph"/>
      </w:pPr>
      <w:r>
        <w:t xml:space="preserve">Everything below was checked against real documents in the corpus, not assumed. Each item states what was verified, not just what was theorized.</w:t>
      </w:r>
    </w:p>
    <w:p>
      <w:pPr>
        <w:pStyle w:val="BodyText"/>
      </w:pPr>
      <w:r>
        <w:rPr>
          <w:bCs/>
          <w:b/>
        </w:rPr>
        <w:t xml:space="preserve">Fixed and verified against real data:</w:t>
      </w:r>
    </w:p>
    <w:p>
      <w:pPr>
        <w:numPr>
          <w:ilvl w:val="0"/>
          <w:numId w:val="1007"/>
        </w:numPr>
        <w:pStyle w:val="Compact"/>
      </w:pPr>
      <w:r>
        <w:rPr>
          <w:rStyle w:val="VerbatimChar"/>
        </w:rPr>
        <w:t xml:space="preserve">legislation_type</w:t>
      </w:r>
      <w:r>
        <w:t xml:space="preserve"> </w:t>
      </w:r>
      <w:r>
        <w:t xml:space="preserve">was hardcoded to</w:t>
      </w:r>
      <w:r>
        <w:t xml:space="preserve"> </w:t>
      </w:r>
      <w:r>
        <w:rPr>
          <w:rStyle w:val="VerbatimChar"/>
        </w:rPr>
        <w:t xml:space="preserve">statute</w:t>
      </w:r>
      <w:r>
        <w:t xml:space="preserve"> </w:t>
      </w:r>
      <w:r>
        <w:t xml:space="preserve">for every match, including KHK (decree-law) citations. Now correctly distinguishes</w:t>
      </w:r>
      <w:r>
        <w:t xml:space="preserve"> </w:t>
      </w:r>
      <w:r>
        <w:rPr>
          <w:rStyle w:val="VerbatimChar"/>
        </w:rPr>
        <w:t xml:space="preserve">statute</w:t>
      </w:r>
      <w:r>
        <w:t xml:space="preserve"> </w:t>
      </w:r>
      <w:r>
        <w:t xml:space="preserve">vs</w:t>
      </w:r>
      <w:r>
        <w:t xml:space="preserve"> </w:t>
      </w:r>
      <w:r>
        <w:rPr>
          <w:rStyle w:val="VerbatimChar"/>
        </w:rPr>
        <w:t xml:space="preserve">decree_law</w:t>
      </w:r>
      <w:r>
        <w:t xml:space="preserve">.</w:t>
      </w:r>
    </w:p>
    <w:p>
      <w:pPr>
        <w:numPr>
          <w:ilvl w:val="0"/>
          <w:numId w:val="1007"/>
        </w:numPr>
        <w:pStyle w:val="Compact"/>
      </w:pPr>
      <w:r>
        <w:t xml:space="preserve">Geçici (provisional) and Ek (additional) articles, and letter-suffixed insertions (141/A), were either dropped entirely or silently collided with a same-numbered plain article (Geçici Madde 3 recorded as if it were Article 3). Now captured as written, each with its own</w:t>
      </w:r>
      <w:r>
        <w:t xml:space="preserve"> </w:t>
      </w:r>
      <w:r>
        <w:rPr>
          <w:rStyle w:val="VerbatimChar"/>
        </w:rPr>
        <w:t xml:space="preserve">canonical_id</w:t>
      </w:r>
      <w:r>
        <w:t xml:space="preserve">.</w:t>
      </w:r>
    </w:p>
    <w:p>
      <w:pPr>
        <w:numPr>
          <w:ilvl w:val="0"/>
          <w:numId w:val="1007"/>
        </w:numPr>
        <w:pStyle w:val="Compact"/>
      </w:pPr>
      <w:r>
        <w:t xml:space="preserve">Article numbers written with an apostrophe + Turkish ordinal suffix (23’üncü, 6’ıncı, 341’inci) were not recognized at all — only digit+dot form (23.) was. Verified on a real document where the SAME article was cited both ways, by the majority and by the dissent. Now recognized.</w:t>
      </w:r>
    </w:p>
    <w:p>
      <w:pPr>
        <w:numPr>
          <w:ilvl w:val="0"/>
          <w:numId w:val="1007"/>
        </w:numPr>
        <w:pStyle w:val="Compact"/>
      </w:pPr>
      <w:r>
        <w:t xml:space="preserve">Paragraph numbers written as a Turkish ordinal word (ikinci, üçüncü) instead of a digit were not recognized. Now converted to the matching digit.</w:t>
      </w:r>
    </w:p>
    <w:p>
      <w:pPr>
        <w:numPr>
          <w:ilvl w:val="0"/>
          <w:numId w:val="1007"/>
        </w:numPr>
        <w:pStyle w:val="Compact"/>
      </w:pPr>
      <w:r>
        <w:t xml:space="preserve">A string-concatenation bug inserted an artificial space when searching for a paragraph number, which silently broke</w:t>
      </w:r>
      <w:r>
        <w:t xml:space="preserve"> </w:t>
      </w:r>
      <w:r>
        <w:rPr>
          <w:rStyle w:val="VerbatimChar"/>
        </w:rPr>
        <w:t xml:space="preserve">paragraph_no</w:t>
      </w:r>
      <w:r>
        <w:t xml:space="preserve"> </w:t>
      </w:r>
      <w:r>
        <w:t xml:space="preserve">on the very common phrasing</w:t>
      </w:r>
      <w:r>
        <w:t xml:space="preserve"> </w:t>
      </w:r>
      <w:r>
        <w:t xml:space="preserve">“</w:t>
      </w:r>
      <w:r>
        <w:t xml:space="preserve">[article]. maddesinin [N]. fıkrası</w:t>
      </w:r>
      <w:r>
        <w:t xml:space="preserve">”</w:t>
      </w:r>
      <w:r>
        <w:t xml:space="preserve"> </w:t>
      </w:r>
      <w:r>
        <w:t xml:space="preserve">whenever the match landed mid-word. Verified null</w:t>
      </w:r>
      <w:r>
        <w:t xml:space="preserve"> </w:t>
      </w:r>
      <w:r>
        <w:rPr>
          <w:rStyle w:val="VerbatimChar"/>
        </w:rPr>
        <w:t xml:space="preserve">paragraph_no</w:t>
      </w:r>
      <w:r>
        <w:t xml:space="preserve"> </w:t>
      </w:r>
      <w:r>
        <w:t xml:space="preserve">on two separate real citations before the fix.</w:t>
      </w:r>
    </w:p>
    <w:p>
      <w:pPr>
        <w:numPr>
          <w:ilvl w:val="0"/>
          <w:numId w:val="1007"/>
        </w:numPr>
        <w:pStyle w:val="Compact"/>
      </w:pPr>
      <w:r>
        <w:t xml:space="preserve">Dissenting opinions (KARŞI OY) had no marker in danistay/bam/first_degree, so dissent text was silently absorbed into</w:t>
      </w:r>
      <w:r>
        <w:t xml:space="preserve"> </w:t>
      </w:r>
      <w:r>
        <w:rPr>
          <w:rStyle w:val="VerbatimChar"/>
        </w:rPr>
        <w:t xml:space="preserve">conclusion</w:t>
      </w:r>
      <w:r>
        <w:t xml:space="preserve"> </w:t>
      </w:r>
      <w:r>
        <w:t xml:space="preserve">and marked</w:t>
      </w:r>
      <w:r>
        <w:t xml:space="preserve"> </w:t>
      </w:r>
      <w:r>
        <w:rPr>
          <w:rStyle w:val="VerbatimChar"/>
        </w:rPr>
        <w:t xml:space="preserve">content_type: ruling</w:t>
      </w:r>
      <w:r>
        <w:t xml:space="preserve"> </w:t>
      </w:r>
      <w:r>
        <w:t xml:space="preserve">alongside the actual majority holding. Verified on a real danistay document (conclusion dropped from 1,810 to 431 real characters once dissent was split out correctly). Full-corpus dissent counts: danistay 21, bam 1, first_degree 0 so far (marker added defensively, not yet observed firing).</w:t>
      </w:r>
    </w:p>
    <w:p>
      <w:pPr>
        <w:pStyle w:val="FirstParagraph"/>
      </w:pPr>
      <w:r>
        <w:rPr>
          <w:bCs/>
          <w:b/>
        </w:rPr>
        <w:t xml:space="preserve">Found, not yet fixed — real, verified gaps:</w:t>
      </w:r>
    </w:p>
    <w:p>
      <w:pPr>
        <w:numPr>
          <w:ilvl w:val="0"/>
          <w:numId w:val="1008"/>
        </w:numPr>
        <w:pStyle w:val="Compact"/>
      </w:pPr>
      <w:r>
        <w:rPr>
          <w:bCs/>
          <w:b/>
        </w:rPr>
        <w:t xml:space="preserve">Regulations (Yönetmelik) and directives (Yönerge):</w:t>
      </w:r>
      <w:r>
        <w:t xml:space="preserve"> </w:t>
      </w:r>
      <w:r>
        <w:t xml:space="preserve">KVKK decisions cite these constantly, and they have no</w:t>
      </w:r>
      <w:r>
        <w:t xml:space="preserve"> </w:t>
      </w:r>
      <w:r>
        <w:rPr>
          <w:rStyle w:val="VerbatimChar"/>
        </w:rPr>
        <w:t xml:space="preserve">law_no</w:t>
      </w:r>
      <w:r>
        <w:t xml:space="preserve"> </w:t>
      </w:r>
      <w:r>
        <w:t xml:space="preserve">at all (named, not numbered), so they never match the regex extractor. Verified on one real KVKK document where 8 of 10 real legislation citations were of this type — the single largest known gap in the regex pipeline.</w:t>
      </w:r>
    </w:p>
    <w:p>
      <w:pPr>
        <w:numPr>
          <w:ilvl w:val="0"/>
          <w:numId w:val="1008"/>
        </w:numPr>
        <w:pStyle w:val="Compact"/>
      </w:pPr>
      <w:r>
        <w:rPr>
          <w:bCs/>
          <w:b/>
        </w:rPr>
        <w:t xml:space="preserve">“</w:t>
      </w:r>
      <w:r>
        <w:rPr>
          <w:bCs/>
          <w:b/>
        </w:rPr>
        <w:t xml:space="preserve">Yasası</w:t>
      </w:r>
      <w:r>
        <w:rPr>
          <w:bCs/>
          <w:b/>
        </w:rPr>
        <w:t xml:space="preserve">”</w:t>
      </w:r>
      <w:r>
        <w:rPr>
          <w:bCs/>
          <w:b/>
        </w:rPr>
        <w:t xml:space="preserve"> </w:t>
      </w:r>
      <w:r>
        <w:rPr>
          <w:bCs/>
          <w:b/>
        </w:rPr>
        <w:t xml:space="preserve">as a synonym for</w:t>
      </w:r>
      <w:r>
        <w:rPr>
          <w:bCs/>
          <w:b/>
        </w:rPr>
        <w:t xml:space="preserve"> </w:t>
      </w:r>
      <w:r>
        <w:rPr>
          <w:bCs/>
          <w:b/>
        </w:rPr>
        <w:t xml:space="preserve">“</w:t>
      </w:r>
      <w:r>
        <w:rPr>
          <w:bCs/>
          <w:b/>
        </w:rPr>
        <w:t xml:space="preserve">Kanun</w:t>
      </w:r>
      <w:r>
        <w:rPr>
          <w:bCs/>
          <w:b/>
        </w:rPr>
        <w:t xml:space="preserve">”</w:t>
      </w:r>
      <w:r>
        <w:rPr>
          <w:bCs/>
          <w:b/>
        </w:rPr>
        <w:t xml:space="preserve">:</w:t>
      </w:r>
      <w:r>
        <w:t xml:space="preserve"> </w:t>
      </w:r>
      <w:r>
        <w:t xml:space="preserve">the law-type match only recognizes Kanun/KHK, so a law cited as</w:t>
      </w:r>
      <w:r>
        <w:t xml:space="preserve"> </w:t>
      </w:r>
      <w:r>
        <w:t xml:space="preserve">“</w:t>
      </w:r>
      <w:r>
        <w:t xml:space="preserve">… Yasası</w:t>
      </w:r>
      <w:r>
        <w:t xml:space="preserve">”</w:t>
      </w:r>
      <w:r>
        <w:t xml:space="preserve"> </w:t>
      </w:r>
      <w:r>
        <w:t xml:space="preserve">is invisible to the extractor, not just mis-parsed.</w:t>
      </w:r>
    </w:p>
    <w:p>
      <w:pPr>
        <w:numPr>
          <w:ilvl w:val="0"/>
          <w:numId w:val="1008"/>
        </w:numPr>
        <w:pStyle w:val="Compact"/>
      </w:pPr>
      <w:r>
        <w:rPr>
          <w:bCs/>
          <w:b/>
        </w:rPr>
        <w:t xml:space="preserve">Parenthesized article numbers,</w:t>
      </w:r>
      <w:r>
        <w:t xml:space="preserve"> </w:t>
      </w:r>
      <w:r>
        <w:t xml:space="preserve">e.g. </w:t>
      </w:r>
      <w:r>
        <w:t xml:space="preserve">“</w:t>
      </w:r>
      <w:r>
        <w:t xml:space="preserve">( 23. ) maddesi</w:t>
      </w:r>
      <w:r>
        <w:t xml:space="preserve">”</w:t>
      </w:r>
      <w:r>
        <w:t xml:space="preserve"> </w:t>
      </w:r>
      <w:r>
        <w:t xml:space="preserve">— the parenthesis breaks the gap the plain-article pattern allows between the digit and the word</w:t>
      </w:r>
      <w:r>
        <w:t xml:space="preserve"> </w:t>
      </w:r>
      <w:r>
        <w:t xml:space="preserve">“</w:t>
      </w:r>
      <w:r>
        <w:t xml:space="preserve">madde</w:t>
      </w:r>
      <w:r>
        <w:t xml:space="preserve">”</w:t>
      </w:r>
      <w:r>
        <w:t xml:space="preserve">.</w:t>
      </w:r>
    </w:p>
    <w:p>
      <w:pPr>
        <w:numPr>
          <w:ilvl w:val="0"/>
          <w:numId w:val="1008"/>
        </w:numPr>
        <w:pStyle w:val="Compact"/>
      </w:pPr>
      <w:r>
        <w:rPr>
          <w:bCs/>
          <w:b/>
        </w:rPr>
        <w:t xml:space="preserve">Multiple articles cited together</w:t>
      </w:r>
      <w:r>
        <w:t xml:space="preserve"> </w:t>
      </w:r>
      <w:r>
        <w:t xml:space="preserve">via the plural</w:t>
      </w:r>
      <w:r>
        <w:t xml:space="preserve"> </w:t>
      </w:r>
      <w:r>
        <w:t xml:space="preserve">“</w:t>
      </w:r>
      <w:r>
        <w:t xml:space="preserve">maddeleri</w:t>
      </w:r>
      <w:r>
        <w:t xml:space="preserve">”</w:t>
      </w:r>
      <w:r>
        <w:t xml:space="preserve"> </w:t>
      </w:r>
      <w:r>
        <w:t xml:space="preserve">(</w:t>
      </w:r>
      <w:r>
        <w:t xml:space="preserve">“</w:t>
      </w:r>
      <w:r>
        <w:t xml:space="preserve">114 (2) ve 115. maddeleri</w:t>
      </w:r>
      <w:r>
        <w:t xml:space="preserve">”</w:t>
      </w:r>
      <w:r>
        <w:t xml:space="preserve">) — only the first article is captured.</w:t>
      </w:r>
    </w:p>
    <w:p>
      <w:pPr>
        <w:numPr>
          <w:ilvl w:val="0"/>
          <w:numId w:val="1008"/>
        </w:numPr>
        <w:pStyle w:val="Compact"/>
      </w:pPr>
      <w:r>
        <w:rPr>
          <w:bCs/>
          <w:b/>
        </w:rPr>
        <w:t xml:space="preserve">Cross-sentence coreference:</w:t>
      </w:r>
      <w:r>
        <w:t xml:space="preserve"> </w:t>
      </w:r>
      <w:r>
        <w:t xml:space="preserve">citations that depend on a law named in an earlier sentence (</w:t>
      </w:r>
      <w:r>
        <w:t xml:space="preserve">“</w:t>
      </w:r>
      <w:r>
        <w:t xml:space="preserve">Kanun’un … maddesinde</w:t>
      </w:r>
      <w:r>
        <w:t xml:space="preserve">”</w:t>
      </w:r>
      <w:r>
        <w:t xml:space="preserve">, or a bare</w:t>
      </w:r>
      <w:r>
        <w:t xml:space="preserve"> </w:t>
      </w:r>
      <w:r>
        <w:t xml:space="preserve">“</w:t>
      </w:r>
      <w:r>
        <w:t xml:space="preserve">359’uncu maddede</w:t>
      </w:r>
      <w:r>
        <w:t xml:space="preserve">”</w:t>
      </w:r>
      <w:r>
        <w:t xml:space="preserve"> </w:t>
      </w:r>
      <w:r>
        <w:t xml:space="preserve">with no law restated) are invisible. This needs the extractor to track</w:t>
      </w:r>
      <w:r>
        <w:t xml:space="preserve"> </w:t>
      </w:r>
      <w:r>
        <w:t xml:space="preserve">“</w:t>
      </w:r>
      <w:r>
        <w:t xml:space="preserve">the law most recently mentioned</w:t>
      </w:r>
      <w:r>
        <w:t xml:space="preserve">”</w:t>
      </w:r>
      <w:r>
        <w:t xml:space="preserve"> </w:t>
      </w:r>
      <w:r>
        <w:t xml:space="preserve">as running state across a document, which is a design change, not a regex fix.</w:t>
      </w:r>
    </w:p>
    <w:p>
      <w:pPr>
        <w:numPr>
          <w:ilvl w:val="0"/>
          <w:numId w:val="1008"/>
        </w:numPr>
        <w:pStyle w:val="Compact"/>
      </w:pPr>
      <w:r>
        <w:rPr>
          <w:bCs/>
          <w:b/>
        </w:rPr>
        <w:t xml:space="preserve">Scraping/transcription noise</w:t>
      </w:r>
      <w:r>
        <w:t xml:space="preserve"> </w:t>
      </w:r>
      <w:r>
        <w:t xml:space="preserve">occasionally splits a word mid-string (e.g. </w:t>
      </w:r>
      <w:r>
        <w:t xml:space="preserve">“</w:t>
      </w:r>
      <w:r>
        <w:t xml:space="preserve">maddesiyle</w:t>
      </w:r>
      <w:r>
        <w:t xml:space="preserve">”</w:t>
      </w:r>
      <w:r>
        <w:t xml:space="preserve"> </w:t>
      </w:r>
      <w:r>
        <w:t xml:space="preserve">became</w:t>
      </w:r>
      <w:r>
        <w:t xml:space="preserve"> </w:t>
      </w:r>
      <w:r>
        <w:t xml:space="preserve">“</w:t>
      </w:r>
      <w:r>
        <w:t xml:space="preserve">ma ff8 ddesiyle</w:t>
      </w:r>
      <w:r>
        <w:t xml:space="preserve">”</w:t>
      </w:r>
      <w:r>
        <w:t xml:space="preserve"> </w:t>
      </w:r>
      <w:r>
        <w:t xml:space="preserve">in one real document), which breaks the literal</w:t>
      </w:r>
      <w:r>
        <w:t xml:space="preserve"> </w:t>
      </w:r>
      <w:r>
        <w:t xml:space="preserve">“</w:t>
      </w:r>
      <w:r>
        <w:t xml:space="preserve">madde</w:t>
      </w:r>
      <w:r>
        <w:t xml:space="preserve">”</w:t>
      </w:r>
      <w:r>
        <w:t xml:space="preserve"> </w:t>
      </w:r>
      <w:r>
        <w:t xml:space="preserve">match the extractor needs. Confirmed this silently dropped a real citation’s article number.</w:t>
      </w:r>
    </w:p>
    <w:p>
      <w:pPr>
        <w:pStyle w:val="FirstParagraph"/>
      </w:pPr>
      <w:r>
        <w:rPr>
          <w:bCs/>
          <w:b/>
        </w:rPr>
        <w:t xml:space="preserve">Decided and now implemented:</w:t>
      </w:r>
    </w:p>
    <w:p>
      <w:pPr>
        <w:numPr>
          <w:ilvl w:val="0"/>
          <w:numId w:val="1009"/>
        </w:numPr>
        <w:pStyle w:val="Compact"/>
      </w:pPr>
      <w:r>
        <w:rPr>
          <w:rStyle w:val="VerbatimChar"/>
        </w:rPr>
        <w:t xml:space="preserve">canonical_id</w:t>
      </w:r>
      <w:r>
        <w:t xml:space="preserve"> </w:t>
      </w:r>
      <w:r>
        <w:t xml:space="preserve">migrates to the same format as the legislation store’s</w:t>
      </w:r>
      <w:r>
        <w:t xml:space="preserve"> </w:t>
      </w:r>
      <w:r>
        <w:rPr>
          <w:rStyle w:val="VerbatimChar"/>
        </w:rPr>
        <w:t xml:space="preserve">article_key</w:t>
      </w:r>
      <w:r>
        <w:t xml:space="preserve"> </w:t>
      </w:r>
      <w:r>
        <w:t xml:space="preserve">(</w:t>
      </w:r>
      <w:r>
        <w:rPr>
          <w:rStyle w:val="VerbatimChar"/>
        </w:rPr>
        <w:t xml:space="preserve">{law_no}/{article}</w:t>
      </w:r>
      <w:r>
        <w:t xml:space="preserve">, normalised).</w:t>
      </w:r>
      <w:r>
        <w:t xml:space="preserve"> </w:t>
      </w:r>
      <w:r>
        <w:rPr>
          <w:bCs/>
          <w:b/>
        </w:rPr>
        <w:t xml:space="preserve">Implemented in the LLM pipeline.</w:t>
      </w:r>
      <w:r>
        <w:t xml:space="preserve"> </w:t>
      </w:r>
      <w:r>
        <w:t xml:space="preserve">The regex pipeline still emits the old</w:t>
      </w:r>
      <w:r>
        <w:t xml:space="preserve"> </w:t>
      </w:r>
      <w:r>
        <w:rPr>
          <w:rStyle w:val="VerbatimChar"/>
        </w:rPr>
        <w:t xml:space="preserve">law-{no}-art-{article}</w:t>
      </w:r>
      <w:r>
        <w:t xml:space="preserve"> </w:t>
      </w:r>
      <w:r>
        <w:t xml:space="preserve">format, and is the remaining side of the migration.</w:t>
      </w:r>
    </w:p>
    <w:p>
      <w:pPr>
        <w:pStyle w:val="FirstParagraph"/>
      </w:pPr>
      <w:r>
        <w:rPr>
          <w:iCs/>
          <w:i/>
        </w:rPr>
        <w:t xml:space="preserve">Version: September 2026 — section 13.6 added after a second pass of fixes verified against real documents in all 5 sources; updated 11–14 September 2026 with the LLM-pipeline implementation.</w:t>
      </w:r>
    </w:p>
    <w:bookmarkEnd w:id="57"/>
    <w:bookmarkEnd w:id="58"/>
    <w:bookmarkStart w:id="61" w:name="how-each-field-is-extracted"/>
    <w:p>
      <w:pPr>
        <w:pStyle w:val="Heading1"/>
      </w:pPr>
      <w:r>
        <w:t xml:space="preserve">14. How Each Field Is Extracted</w:t>
      </w:r>
    </w:p>
    <w:p>
      <w:pPr>
        <w:pStyle w:val="FirstParagraph"/>
      </w:pPr>
      <w:r>
        <w:t xml:space="preserve">This section explains exactly where every value in a chunk and in</w:t>
      </w:r>
      <w:r>
        <w:t xml:space="preserve"> </w:t>
      </w:r>
      <w:r>
        <w:rPr>
          <w:rStyle w:val="VerbatimChar"/>
        </w:rPr>
        <w:t xml:space="preserve">cited_legislations</w:t>
      </w:r>
      <w:r>
        <w:t xml:space="preserve"> </w:t>
      </w:r>
      <w:r>
        <w:t xml:space="preserve">comes from. The short version: everything is either read directly from the source data, matched by a text pattern, or built by a fixed rule. Nothing is guessed, and in the regex pipeline the only field intended to be AI-generated (</w:t>
      </w:r>
      <w:r>
        <w:rPr>
          <w:rStyle w:val="VerbatimChar"/>
        </w:rPr>
        <w:t xml:space="preserve">reasoning_summary</w:t>
      </w:r>
      <w:r>
        <w:t xml:space="preserve">) is left null rather than faked.</w:t>
      </w:r>
    </w:p>
    <w:bookmarkStart w:id="59" w:name="chunk-fields"/>
    <w:p>
      <w:pPr>
        <w:pStyle w:val="Heading2"/>
      </w:pPr>
      <w:r>
        <w:t xml:space="preserve">14.1 Chunk fields</w:t>
      </w:r>
    </w:p>
    <w:tbl>
      <w:tblPr>
        <w:tblStyle w:val="Table"/>
        <w:tblW w:type="pct" w:w="5000"/>
        <w:tblLook w:firstRow="1" w:lastRow="0" w:firstColumn="0" w:lastColumn="0" w:noHBand="0" w:noVBand="1" w:val="0420"/>
        <w:jc w:val="start"/>
      </w:tblPr>
      <w:tblGrid>
        <w:gridCol w:w="2674"/>
        <w:gridCol w:w="5245"/>
      </w:tblGrid>
      <w:tr>
        <w:trPr>
          <w:tblHeader w:val="true"/>
        </w:trPr>
        <w:tc>
          <w:tcPr/>
          <w:p>
            <w:pPr>
              <w:pStyle w:val="Compact"/>
              <w:jc w:val="left"/>
            </w:pPr>
            <w:r>
              <w:rPr>
                <w:bCs/>
                <w:b/>
              </w:rPr>
              <w:t xml:space="preserve">Field</w:t>
            </w:r>
          </w:p>
        </w:tc>
        <w:tc>
          <w:tcPr/>
          <w:p>
            <w:pPr>
              <w:pStyle w:val="Compact"/>
              <w:jc w:val="left"/>
            </w:pPr>
            <w:r>
              <w:rPr>
                <w:bCs/>
                <w:b/>
              </w:rPr>
              <w:t xml:space="preserve">How it is obtained</w:t>
            </w:r>
          </w:p>
        </w:tc>
      </w:tr>
      <w:tr>
        <w:tc>
          <w:tcPr/>
          <w:p>
            <w:pPr>
              <w:pStyle w:val="Compact"/>
              <w:jc w:val="left"/>
            </w:pPr>
            <w:r>
              <w:rPr>
                <w:rStyle w:val="VerbatimChar"/>
              </w:rPr>
              <w:t xml:space="preserve">chunk_id</w:t>
            </w:r>
          </w:p>
        </w:tc>
        <w:tc>
          <w:tcPr/>
          <w:p>
            <w:pPr>
              <w:pStyle w:val="Compact"/>
              <w:jc w:val="left"/>
            </w:pPr>
            <w:r>
              <w:t xml:space="preserve">Built by rule from the document id and the paragraph range, for example</w:t>
            </w:r>
            <w:r>
              <w:t xml:space="preserve"> </w:t>
            </w:r>
            <w:r>
              <w:rPr>
                <w:rStyle w:val="VerbatimChar"/>
              </w:rPr>
              <w:t xml:space="preserve">&lt;doc_id&gt;-p18_to_p20</w:t>
            </w:r>
            <w:r>
              <w:t xml:space="preserve">. Keyed on</w:t>
            </w:r>
            <w:r>
              <w:t xml:space="preserve"> </w:t>
            </w:r>
            <w:r>
              <w:rPr>
                <w:rStyle w:val="VerbatimChar"/>
              </w:rPr>
              <w:t xml:space="preserve">doc_id</w:t>
            </w:r>
            <w:r>
              <w:t xml:space="preserve">, not</w:t>
            </w:r>
            <w:r>
              <w:t xml:space="preserve"> </w:t>
            </w:r>
            <w:r>
              <w:rPr>
                <w:rStyle w:val="VerbatimChar"/>
              </w:rPr>
              <w:t xml:space="preserve">case_no</w:t>
            </w:r>
            <w:r>
              <w:t xml:space="preserve">, because case numbers repeat across different courts.</w:t>
            </w:r>
          </w:p>
        </w:tc>
      </w:tr>
      <w:tr>
        <w:tc>
          <w:tcPr/>
          <w:p>
            <w:pPr>
              <w:pStyle w:val="Compact"/>
              <w:jc w:val="left"/>
            </w:pPr>
            <w:r>
              <w:rPr>
                <w:rStyle w:val="VerbatimChar"/>
              </w:rPr>
              <w:t xml:space="preserve">chunk_label</w:t>
            </w:r>
          </w:p>
        </w:tc>
        <w:tc>
          <w:tcPr/>
          <w:p>
            <w:pPr>
              <w:pStyle w:val="Compact"/>
              <w:jc w:val="left"/>
            </w:pPr>
            <w:r>
              <w:t xml:space="preserve">Code. The old readable string (</w:t>
            </w:r>
            <w:r>
              <w:rPr>
                <w:rStyle w:val="VerbatimChar"/>
              </w:rPr>
              <w:t xml:space="preserve">{doc_id}-p18_to_p20</w:t>
            </w:r>
            <w:r>
              <w:t xml:space="preserve">). Debug only — referenced nowhere else in the pipeline.</w:t>
            </w:r>
          </w:p>
        </w:tc>
      </w:tr>
      <w:tr>
        <w:tc>
          <w:tcPr/>
          <w:p>
            <w:pPr>
              <w:pStyle w:val="Compact"/>
              <w:jc w:val="left"/>
            </w:pPr>
            <w:r>
              <w:rPr>
                <w:rStyle w:val="VerbatimChar"/>
              </w:rPr>
              <w:t xml:space="preserve">source_type</w:t>
            </w:r>
          </w:p>
        </w:tc>
        <w:tc>
          <w:tcPr/>
          <w:p>
            <w:pPr>
              <w:pStyle w:val="Compact"/>
              <w:jc w:val="left"/>
            </w:pPr>
            <w:r>
              <w:t xml:space="preserve">Set by which source file the document came from (aym, bam, danistay, first_degree, kvkk).</w:t>
            </w:r>
          </w:p>
        </w:tc>
      </w:tr>
      <w:tr>
        <w:tc>
          <w:tcPr/>
          <w:p>
            <w:pPr>
              <w:pStyle w:val="Compact"/>
              <w:jc w:val="left"/>
            </w:pPr>
            <w:r>
              <w:rPr>
                <w:rStyle w:val="VerbatimChar"/>
              </w:rPr>
              <w:t xml:space="preserve">case_no</w:t>
            </w:r>
          </w:p>
        </w:tc>
        <w:tc>
          <w:tcPr/>
          <w:p>
            <w:pPr>
              <w:pStyle w:val="Compact"/>
              <w:jc w:val="left"/>
            </w:pPr>
            <w:r>
              <w:t xml:space="preserve">Read directly from the source record (esas year and number).</w:t>
            </w:r>
          </w:p>
        </w:tc>
      </w:tr>
      <w:tr>
        <w:tc>
          <w:tcPr/>
          <w:p>
            <w:pPr>
              <w:pStyle w:val="Compact"/>
              <w:jc w:val="left"/>
            </w:pPr>
            <w:r>
              <w:rPr>
                <w:rStyle w:val="VerbatimChar"/>
              </w:rPr>
              <w:t xml:space="preserve">decision_date</w:t>
            </w:r>
          </w:p>
        </w:tc>
        <w:tc>
          <w:tcPr/>
          <w:p>
            <w:pPr>
              <w:pStyle w:val="Compact"/>
              <w:jc w:val="left"/>
            </w:pPr>
            <w:r>
              <w:t>Code, ISO format. aym and kvkk from metadata.data; bam and first_degree from metadata in DD.MM.YYYY; yargitay from metadata.karar_tarihi where present, else the ruling sentence. The ruling-sentence pattern accepts BOTH separators (. and /) and BOTH adverbs (tarihinde, gununde) — chambers differ, and the earlier tarihinde-and-slash-only pattern matched just 15 of 45 yargitay documents. Widening it took yargitay to 48/48 and danistay from 150/200 to 199/200, closing a gap this document previously listed as known. Corpus-wide: 1,035 of 1,037.</w:t>
            </w:r>
          </w:p>
        </w:tc>
      </w:tr>
      <w:tr>
        <w:tc>
          <w:tcPr/>
          <w:p>
            <w:pPr>
              <w:pStyle w:val="Compact"/>
              <w:jc w:val="left"/>
            </w:pPr>
            <w:r>
              <w:rPr>
                <w:rStyle w:val="VerbatimChar"/>
              </w:rPr>
              <w:t xml:space="preserve">citation_granularity</w:t>
            </w:r>
          </w:p>
        </w:tc>
        <w:tc>
          <w:tcPr/>
          <w:p>
            <w:pPr>
              <w:pStyle w:val="Compact"/>
              <w:jc w:val="left"/>
            </w:pPr>
            <w:r>
              <w:t xml:space="preserve">Set by rule:</w:t>
            </w:r>
            <w:r>
              <w:t xml:space="preserve"> </w:t>
            </w:r>
            <w:r>
              <w:rPr>
                <w:rStyle w:val="VerbatimChar"/>
              </w:rPr>
              <w:t xml:space="preserve">court_paragraph</w:t>
            </w:r>
            <w:r>
              <w:t xml:space="preserve"> </w:t>
            </w:r>
            <w:r>
              <w:t xml:space="preserve">for AYM because it has real numbered paragraphs,</w:t>
            </w:r>
            <w:r>
              <w:t xml:space="preserve"> </w:t>
            </w:r>
            <w:r>
              <w:rPr>
                <w:rStyle w:val="VerbatimChar"/>
              </w:rPr>
              <w:t xml:space="preserve">synthetic_segment</w:t>
            </w:r>
            <w:r>
              <w:t xml:space="preserve"> </w:t>
            </w:r>
            <w:r>
              <w:t xml:space="preserve">for the other four which do not.</w:t>
            </w:r>
          </w:p>
        </w:tc>
      </w:tr>
      <w:tr>
        <w:tc>
          <w:tcPr/>
          <w:p>
            <w:pPr>
              <w:pStyle w:val="Compact"/>
              <w:jc w:val="left"/>
            </w:pPr>
            <w:r>
              <w:rPr>
                <w:rStyle w:val="VerbatimChar"/>
              </w:rPr>
              <w:t xml:space="preserve">source_paragraph_ids</w:t>
            </w:r>
          </w:p>
        </w:tc>
        <w:tc>
          <w:tcPr/>
          <w:p>
            <w:pPr>
              <w:pStyle w:val="Compact"/>
              <w:jc w:val="left"/>
            </w:pPr>
            <w:r>
              <w:t xml:space="preserve">The original paragraph or segment ids merged into this chunk. Real court paragraph numbers for AYM, segment markers for the others.</w:t>
            </w:r>
          </w:p>
        </w:tc>
      </w:tr>
      <w:tr>
        <w:tc>
          <w:tcPr/>
          <w:p>
            <w:pPr>
              <w:pStyle w:val="Compact"/>
              <w:jc w:val="left"/>
            </w:pPr>
            <w:r>
              <w:rPr>
                <w:rStyle w:val="VerbatimChar"/>
              </w:rPr>
              <w:t xml:space="preserve">text</w:t>
            </w:r>
          </w:p>
        </w:tc>
        <w:tc>
          <w:tcPr/>
          <w:p>
            <w:pPr>
              <w:pStyle w:val="Compact"/>
              <w:jc w:val="left"/>
            </w:pPr>
            <w:r>
              <w:t xml:space="preserve">The actual paragraph text, extracted from</w:t>
            </w:r>
            <w:r>
              <w:t xml:space="preserve"> </w:t>
            </w:r>
            <w:r>
              <w:rPr>
                <w:rStyle w:val="VerbatimChar"/>
              </w:rPr>
              <w:t xml:space="preserve">html_content</w:t>
            </w:r>
            <w:r>
              <w:t xml:space="preserve"> </w:t>
            </w:r>
            <w:r>
              <w:t xml:space="preserve">(AYM, KVKK) or</w:t>
            </w:r>
            <w:r>
              <w:t xml:space="preserve"> </w:t>
            </w:r>
            <w:r>
              <w:rPr>
                <w:rStyle w:val="VerbatimChar"/>
              </w:rPr>
              <w:t xml:space="preserve">content_text</w:t>
            </w:r>
            <w:r>
              <w:t xml:space="preserve"> </w:t>
            </w:r>
            <w:r>
              <w:t xml:space="preserve">(the others), grouped by role and capped at 2,000 characters.</w:t>
            </w:r>
            <w:r>
              <w:t xml:space="preserve"> </w:t>
            </w:r>
            <w:r>
              <w:rPr>
                <w:bCs/>
                <w:b/>
              </w:rPr>
              <w:t xml:space="preserve">LLM pipeline:</w:t>
            </w:r>
            <w:r>
              <w:t xml:space="preserve"> </w:t>
            </w:r>
            <w:r>
              <w:t xml:space="preserve">assembled by code from the paragraphs Gemini references, not copied from Gemini’s own text. Verified necessary: asked to reproduce a 5,411-character merge verbatim, the model dropped two characters mid-word and lowercased headings. Assembling from references means grounding holds by construction.</w:t>
            </w:r>
          </w:p>
        </w:tc>
      </w:tr>
      <w:tr>
        <w:tc>
          <w:tcPr/>
          <w:p>
            <w:pPr>
              <w:pStyle w:val="Compact"/>
              <w:jc w:val="left"/>
            </w:pPr>
            <w:r>
              <w:rPr>
                <w:rStyle w:val="VerbatimChar"/>
              </w:rPr>
              <w:t xml:space="preserve">char_length</w:t>
            </w:r>
          </w:p>
        </w:tc>
        <w:tc>
          <w:tcPr/>
          <w:p>
            <w:pPr>
              <w:pStyle w:val="Compact"/>
              <w:jc w:val="left"/>
            </w:pPr>
            <w:r>
              <w:t xml:space="preserve">Computed directly as the length of the</w:t>
            </w:r>
            <w:r>
              <w:t xml:space="preserve"> </w:t>
            </w:r>
            <w:r>
              <w:rPr>
                <w:rStyle w:val="VerbatimChar"/>
              </w:rPr>
              <w:t xml:space="preserve">text</w:t>
            </w:r>
            <w:r>
              <w:t xml:space="preserve"> </w:t>
            </w:r>
            <w:r>
              <w:t xml:space="preserve">field.</w:t>
            </w:r>
          </w:p>
        </w:tc>
      </w:tr>
      <w:tr>
        <w:tc>
          <w:tcPr/>
          <w:p>
            <w:pPr>
              <w:pStyle w:val="Compact"/>
              <w:jc w:val="left"/>
            </w:pPr>
            <w:r>
              <w:rPr>
                <w:rStyle w:val="VerbatimChar"/>
              </w:rPr>
              <w:t xml:space="preserve">content_type</w:t>
            </w:r>
          </w:p>
        </w:tc>
        <w:tc>
          <w:tcPr/>
          <w:p>
            <w:pPr>
              <w:pStyle w:val="Compact"/>
              <w:jc w:val="left"/>
            </w:pPr>
            <w:r>
              <w:t xml:space="preserve">Set by rule from the role:</w:t>
            </w:r>
            <w:r>
              <w:t xml:space="preserve"> </w:t>
            </w:r>
            <w:r>
              <w:rPr>
                <w:rStyle w:val="VerbatimChar"/>
              </w:rPr>
              <w:t xml:space="preserve">ruling</w:t>
            </w:r>
            <w:r>
              <w:t xml:space="preserve"> </w:t>
            </w:r>
            <w:r>
              <w:t xml:space="preserve">for conclusion or outcome roles,</w:t>
            </w:r>
            <w:r>
              <w:t xml:space="preserve"> </w:t>
            </w:r>
            <w:r>
              <w:rPr>
                <w:rStyle w:val="VerbatimChar"/>
              </w:rPr>
              <w:t xml:space="preserve">reasoning</w:t>
            </w:r>
            <w:r>
              <w:t xml:space="preserve"> </w:t>
            </w:r>
            <w:r>
              <w:t xml:space="preserve">otherwise.</w:t>
            </w:r>
          </w:p>
        </w:tc>
      </w:tr>
      <w:tr>
        <w:tc>
          <w:tcPr/>
          <w:p>
            <w:pPr>
              <w:pStyle w:val="Compact"/>
              <w:jc w:val="left"/>
            </w:pPr>
            <w:r>
              <w:rPr>
                <w:rStyle w:val="VerbatimChar"/>
              </w:rPr>
              <w:t xml:space="preserve">firac_role</w:t>
            </w:r>
          </w:p>
        </w:tc>
        <w:tc>
          <w:tcPr/>
          <w:p>
            <w:pPr>
              <w:pStyle w:val="Compact"/>
              <w:jc w:val="left"/>
            </w:pPr>
            <w:r>
              <w:t xml:space="preserve">AYM only. From the section heading the paragraph sits under, matched against a keyword list (GENEL ILKELER maps to</w:t>
            </w:r>
            <w:r>
              <w:t xml:space="preserve"> </w:t>
            </w:r>
            <w:r>
              <w:rPr>
                <w:rStyle w:val="VerbatimChar"/>
              </w:rPr>
              <w:t xml:space="preserve">rule</w:t>
            </w:r>
            <w:r>
              <w:t xml:space="preserve">, HUKUM maps to</w:t>
            </w:r>
            <w:r>
              <w:t xml:space="preserve"> </w:t>
            </w:r>
            <w:r>
              <w:rPr>
                <w:rStyle w:val="VerbatimChar"/>
              </w:rPr>
              <w:t xml:space="preserve">conclusion</w:t>
            </w:r>
            <w:r>
              <w:t xml:space="preserve">). Null for the other four.</w:t>
            </w:r>
          </w:p>
        </w:tc>
      </w:tr>
      <w:tr>
        <w:tc>
          <w:tcPr/>
          <w:p>
            <w:pPr>
              <w:pStyle w:val="Compact"/>
              <w:jc w:val="left"/>
            </w:pPr>
            <w:r>
              <w:rPr>
                <w:rStyle w:val="VerbatimChar"/>
              </w:rPr>
              <w:t xml:space="preserve">court_reasoning_role</w:t>
            </w:r>
            <w:r>
              <w:t xml:space="preserve"> </w:t>
            </w:r>
            <w:r>
              <w:t xml:space="preserve">/</w:t>
            </w:r>
            <w:r>
              <w:t xml:space="preserve"> </w:t>
            </w:r>
            <w:r>
              <w:rPr>
                <w:rStyle w:val="VerbatimChar"/>
              </w:rPr>
              <w:t xml:space="preserve">regulatory_role</w:t>
            </w:r>
          </w:p>
        </w:tc>
        <w:tc>
          <w:tcPr/>
          <w:p>
            <w:pPr>
              <w:pStyle w:val="Compact"/>
              <w:jc w:val="left"/>
            </w:pPr>
            <w:r>
              <w:t xml:space="preserve">The non-AYM equivalent. From the document’s own keyword section markers (GEREKCE, HUKUM, KARAR SONUCU) matched against a per-source keyword family.</w:t>
            </w:r>
          </w:p>
        </w:tc>
      </w:tr>
      <w:tr>
        <w:tc>
          <w:tcPr/>
          <w:p>
            <w:pPr>
              <w:pStyle w:val="Compact"/>
              <w:jc w:val="left"/>
            </w:pPr>
            <w:r>
              <w:rPr>
                <w:rStyle w:val="VerbatimChar"/>
              </w:rPr>
              <w:t xml:space="preserve">reasoning_stage</w:t>
            </w:r>
          </w:p>
        </w:tc>
        <w:tc>
          <w:tcPr/>
          <w:p>
            <w:pPr>
              <w:pStyle w:val="Compact"/>
              <w:jc w:val="left"/>
            </w:pPr>
            <w:r>
              <w:t xml:space="preserve">Set by rule from the role:</w:t>
            </w:r>
            <w:r>
              <w:t xml:space="preserve"> </w:t>
            </w:r>
            <w:r>
              <w:rPr>
                <w:rStyle w:val="VerbatimChar"/>
              </w:rPr>
              <w:t xml:space="preserve">background</w:t>
            </w:r>
            <w:r>
              <w:t xml:space="preserve">,</w:t>
            </w:r>
            <w:r>
              <w:t xml:space="preserve"> </w:t>
            </w:r>
            <w:r>
              <w:rPr>
                <w:rStyle w:val="VerbatimChar"/>
              </w:rPr>
              <w:t xml:space="preserve">analysis</w:t>
            </w:r>
            <w:r>
              <w:t xml:space="preserve">, or</w:t>
            </w:r>
            <w:r>
              <w:t xml:space="preserve"> </w:t>
            </w:r>
            <w:r>
              <w:rPr>
                <w:rStyle w:val="VerbatimChar"/>
              </w:rPr>
              <w:t xml:space="preserve">outcome</w:t>
            </w:r>
            <w:r>
              <w:t xml:space="preserve">. The one universal role field across all five sources.</w:t>
            </w:r>
          </w:p>
        </w:tc>
      </w:tr>
      <w:tr>
        <w:tc>
          <w:tcPr/>
          <w:p>
            <w:pPr>
              <w:pStyle w:val="Compact"/>
              <w:jc w:val="left"/>
            </w:pPr>
            <w:r>
              <w:rPr>
                <w:rStyle w:val="VerbatimChar"/>
              </w:rPr>
              <w:t xml:space="preserve">rights</w:t>
            </w:r>
          </w:p>
        </w:tc>
        <w:tc>
          <w:tcPr/>
          <w:p>
            <w:pPr>
              <w:pStyle w:val="Compact"/>
              <w:jc w:val="left"/>
            </w:pPr>
            <w:r>
              <w:t xml:space="preserve">AYM only. Read from</w:t>
            </w:r>
            <w:r>
              <w:t xml:space="preserve"> </w:t>
            </w:r>
            <w:r>
              <w:rPr>
                <w:rStyle w:val="VerbatimChar"/>
              </w:rPr>
              <w:t xml:space="preserve">examination_results</w:t>
            </w:r>
            <w:r>
              <w:t xml:space="preserve"> </w:t>
            </w:r>
            <w:r>
              <w:t xml:space="preserve">metadata. Null for the other four.</w:t>
            </w:r>
          </w:p>
        </w:tc>
      </w:tr>
      <w:tr>
        <w:tc>
          <w:tcPr/>
          <w:p>
            <w:pPr>
              <w:pStyle w:val="Compact"/>
              <w:jc w:val="left"/>
            </w:pPr>
            <w:r>
              <w:rPr>
                <w:rStyle w:val="VerbatimChar"/>
              </w:rPr>
              <w:t xml:space="preserve">confidence</w:t>
            </w:r>
          </w:p>
        </w:tc>
        <w:tc>
          <w:tcPr/>
          <w:p>
            <w:pPr>
              <w:pStyle w:val="Compact"/>
              <w:jc w:val="left"/>
            </w:pPr>
            <w:r>
              <w:t xml:space="preserve">Set by rule:</w:t>
            </w:r>
            <w:r>
              <w:t xml:space="preserve"> </w:t>
            </w:r>
            <w:r>
              <w:rPr>
                <w:rStyle w:val="VerbatimChar"/>
              </w:rPr>
              <w:t xml:space="preserve">high</w:t>
            </w:r>
            <w:r>
              <w:t xml:space="preserve"> </w:t>
            </w:r>
            <w:r>
              <w:t xml:space="preserve">for a confident role match,</w:t>
            </w:r>
            <w:r>
              <w:t xml:space="preserve"> </w:t>
            </w:r>
            <w:r>
              <w:rPr>
                <w:rStyle w:val="VerbatimChar"/>
              </w:rPr>
              <w:t xml:space="preserve">low</w:t>
            </w:r>
            <w:r>
              <w:t xml:space="preserve"> </w:t>
            </w:r>
            <w:r>
              <w:t xml:space="preserve">for unknown roles or thin source structure.</w:t>
            </w:r>
          </w:p>
        </w:tc>
      </w:tr>
      <w:tr>
        <w:tc>
          <w:tcPr/>
          <w:p>
            <w:pPr>
              <w:pStyle w:val="Compact"/>
              <w:jc w:val="left"/>
            </w:pPr>
            <w:r>
              <w:rPr>
                <w:rStyle w:val="VerbatimChar"/>
              </w:rPr>
              <w:t xml:space="preserve">cited_legislations</w:t>
            </w:r>
          </w:p>
        </w:tc>
        <w:tc>
          <w:tcPr/>
          <w:p>
            <w:pPr>
              <w:pStyle w:val="Compact"/>
              <w:jc w:val="left"/>
            </w:pPr>
            <w:r>
              <w:t xml:space="preserve">Extracted by text pattern from the chunk’s own text. See 14.2.</w:t>
            </w:r>
          </w:p>
        </w:tc>
      </w:tr>
    </w:tbl>
    <w:p>
      <w:pPr>
        <w:spacing w:before="0" w:after="0" w:line="120" w:lineRule="exact"/>
      </w:pPr>
    </w:p>
    <w:bookmarkEnd w:id="59"/>
    <w:bookmarkStart w:id="60" w:name="cited_legislations-fields"/>
    <w:p>
      <w:pPr>
        <w:pStyle w:val="Heading2"/>
      </w:pPr>
      <w:r>
        <w:t xml:space="preserve">14.2 cited_legislations fields</w:t>
      </w:r>
    </w:p>
    <w:p>
      <w:pPr>
        <w:pStyle w:val="FirstParagraph"/>
      </w:pPr>
      <w:r>
        <w:t xml:space="preserve">Every citation is found by regex pattern matching on the chunk text. Two real conventions are detected: statute citations like</w:t>
      </w:r>
      <w:r>
        <w:t xml:space="preserve"> </w:t>
      </w:r>
      <w:r>
        <w:rPr>
          <w:rStyle w:val="VerbatimChar"/>
        </w:rPr>
        <w:t xml:space="preserve">17/7/1964 tarihli ve 506 sayılı Sosyal Sigortalar Kanunu'nun 81. maddesi</w:t>
      </w:r>
      <w:r>
        <w:t xml:space="preserve">, and constitution citations like</w:t>
      </w:r>
      <w:r>
        <w:t xml:space="preserve"> </w:t>
      </w:r>
      <w:r>
        <w:rPr>
          <w:rStyle w:val="VerbatimChar"/>
        </w:rPr>
        <w:t xml:space="preserve">Anayasa'nın 35. maddesi</w:t>
      </w:r>
      <w:r>
        <w:t xml:space="preserve">. Every field is either literally present in that matched text or null. Nothing is inferred.</w:t>
      </w:r>
    </w:p>
    <w:tbl>
      <w:tblPr>
        <w:tblStyle w:val="Table"/>
        <w:tblW w:type="pct" w:w="5000"/>
        <w:tblLook w:firstRow="1" w:lastRow="0" w:firstColumn="0" w:lastColumn="0" w:noHBand="0" w:noVBand="1" w:val="0420"/>
        <w:jc w:val="start"/>
      </w:tblPr>
      <w:tblGrid>
        <w:gridCol w:w="2674"/>
        <w:gridCol w:w="5245"/>
      </w:tblGrid>
      <w:tr>
        <w:trPr>
          <w:tblHeader w:val="true"/>
        </w:trPr>
        <w:tc>
          <w:tcPr/>
          <w:p>
            <w:pPr>
              <w:pStyle w:val="Compact"/>
              <w:jc w:val="left"/>
            </w:pPr>
            <w:r>
              <w:rPr>
                <w:bCs/>
                <w:b/>
              </w:rPr>
              <w:t xml:space="preserve">Field</w:t>
            </w:r>
          </w:p>
        </w:tc>
        <w:tc>
          <w:tcPr/>
          <w:p>
            <w:pPr>
              <w:pStyle w:val="Compact"/>
              <w:jc w:val="left"/>
            </w:pPr>
            <w:r>
              <w:rPr>
                <w:bCs/>
                <w:b/>
              </w:rPr>
              <w:t xml:space="preserve">How it is obtained</w:t>
            </w:r>
          </w:p>
        </w:tc>
      </w:tr>
      <w:tr>
        <w:tc>
          <w:tcPr/>
          <w:p>
            <w:pPr>
              <w:pStyle w:val="Compact"/>
              <w:jc w:val="left"/>
            </w:pPr>
            <w:r>
              <w:rPr>
                <w:rStyle w:val="VerbatimChar"/>
              </w:rPr>
              <w:t xml:space="preserve">canonical_id</w:t>
            </w:r>
          </w:p>
        </w:tc>
        <w:tc>
          <w:tcPr/>
          <w:p>
            <w:pPr>
              <w:pStyle w:val="Compact"/>
              <w:jc w:val="left"/>
            </w:pPr>
            <w:r>
              <w:t xml:space="preserve">Built by rule from law number and article as written (slugified), for example</w:t>
            </w:r>
            <w:r>
              <w:t xml:space="preserve"> </w:t>
            </w:r>
            <w:r>
              <w:rPr>
                <w:rStyle w:val="VerbatimChar"/>
              </w:rPr>
              <w:t xml:space="preserve">law-506-art-81</w:t>
            </w:r>
            <w:r>
              <w:t xml:space="preserve">,</w:t>
            </w:r>
            <w:r>
              <w:t xml:space="preserve"> </w:t>
            </w:r>
            <w:r>
              <w:rPr>
                <w:rStyle w:val="VerbatimChar"/>
              </w:rPr>
              <w:t xml:space="preserve">law-2575-art-geçici-3</w:t>
            </w:r>
            <w:r>
              <w:t xml:space="preserve">, or</w:t>
            </w:r>
            <w:r>
              <w:t xml:space="preserve"> </w:t>
            </w:r>
            <w:r>
              <w:rPr>
                <w:rStyle w:val="VerbatimChar"/>
              </w:rPr>
              <w:t xml:space="preserve">constitution-art-35</w:t>
            </w:r>
            <w:r>
              <w:t xml:space="preserve">. The LLM pipeline uses the store-aligned format instead —</w:t>
            </w:r>
            <w:r>
              <w:t xml:space="preserve"> </w:t>
            </w:r>
            <w:r>
              <w:rPr>
                <w:rStyle w:val="VerbatimChar"/>
              </w:rPr>
              <w:t xml:space="preserve">506/81</w:t>
            </w:r>
            <w:r>
              <w:t xml:space="preserve">,</w:t>
            </w:r>
            <w:r>
              <w:t xml:space="preserve"> </w:t>
            </w:r>
            <w:r>
              <w:rPr>
                <w:rStyle w:val="VerbatimChar"/>
              </w:rPr>
              <w:t xml:space="preserve">2575/geçici-3</w:t>
            </w:r>
            <w:r>
              <w:t xml:space="preserve">,</w:t>
            </w:r>
            <w:r>
              <w:t xml:space="preserve"> </w:t>
            </w:r>
            <w:r>
              <w:rPr>
                <w:rStyle w:val="VerbatimChar"/>
              </w:rPr>
              <w:t xml:space="preserve">constitution/35</w:t>
            </w:r>
            <w:r>
              <w:t xml:space="preserve"> </w:t>
            </w:r>
            <w:r>
              <w:t xml:space="preserve">— with the article part normalised (</w:t>
            </w:r>
            <w:r>
              <w:rPr>
                <w:rStyle w:val="VerbatimChar"/>
              </w:rPr>
              <w:t xml:space="preserve">Geçici 3</w:t>
            </w:r>
            <w:r>
              <w:t xml:space="preserve"> </w:t>
            </w:r>
            <w:r>
              <w:t xml:space="preserve">/</w:t>
            </w:r>
            <w:r>
              <w:t xml:space="preserve"> </w:t>
            </w:r>
            <w:r>
              <w:rPr>
                <w:rStyle w:val="VerbatimChar"/>
              </w:rPr>
              <w:t xml:space="preserve">geçici madde 3</w:t>
            </w:r>
            <w:r>
              <w:t xml:space="preserve"> </w:t>
            </w:r>
            <w:r>
              <w:t xml:space="preserve">/</w:t>
            </w:r>
            <w:r>
              <w:t xml:space="preserve"> </w:t>
            </w:r>
            <w:r>
              <w:rPr>
                <w:rStyle w:val="VerbatimChar"/>
              </w:rPr>
              <w:t xml:space="preserve">GEÇİCİ MADDE 3</w:t>
            </w:r>
            <w:r>
              <w:t xml:space="preserve"> </w:t>
            </w:r>
            <w:r>
              <w:t xml:space="preserve">→</w:t>
            </w:r>
            <w:r>
              <w:t xml:space="preserve"> </w:t>
            </w:r>
            <w:r>
              <w:rPr>
                <w:rStyle w:val="VerbatimChar"/>
              </w:rPr>
              <w:t xml:space="preserve">geçici-3</w:t>
            </w:r>
            <w:r>
              <w:t xml:space="preserve">;</w:t>
            </w:r>
            <w:r>
              <w:t xml:space="preserve"> </w:t>
            </w:r>
            <w:r>
              <w:rPr>
                <w:rStyle w:val="VerbatimChar"/>
              </w:rPr>
              <w:t xml:space="preserve">Ek 5</w:t>
            </w:r>
            <w:r>
              <w:t xml:space="preserve"> </w:t>
            </w:r>
            <w:r>
              <w:t xml:space="preserve">→</w:t>
            </w:r>
            <w:r>
              <w:t xml:space="preserve"> </w:t>
            </w:r>
            <w:r>
              <w:rPr>
                <w:rStyle w:val="VerbatimChar"/>
              </w:rPr>
              <w:t xml:space="preserve">ek-5</w:t>
            </w:r>
            <w:r>
              <w:t xml:space="preserve">;</w:t>
            </w:r>
            <w:r>
              <w:t xml:space="preserve"> </w:t>
            </w:r>
            <w:r>
              <w:rPr>
                <w:rStyle w:val="VerbatimChar"/>
              </w:rPr>
              <w:t xml:space="preserve">141/A</w:t>
            </w:r>
            <w:r>
              <w:t xml:space="preserve"> </w:t>
            </w:r>
            <w:r>
              <w:t xml:space="preserve">→</w:t>
            </w:r>
            <w:r>
              <w:t xml:space="preserve"> </w:t>
            </w:r>
            <w:r>
              <w:rPr>
                <w:rStyle w:val="VerbatimChar"/>
              </w:rPr>
              <w:t xml:space="preserve">141/a</w:t>
            </w:r>
            <w:r>
              <w:t xml:space="preserve">, provisional). Same provision cited in two cases gets the same id, which is what makes</w:t>
            </w:r>
            <w:r>
              <w:t xml:space="preserve"> </w:t>
            </w:r>
            <w:r>
              <w:t xml:space="preserve">‘</w:t>
            </w:r>
            <w:r>
              <w:t xml:space="preserve">find every decision citing this law</w:t>
            </w:r>
            <w:r>
              <w:t xml:space="preserve">’</w:t>
            </w:r>
            <w:r>
              <w:t xml:space="preserve"> </w:t>
            </w:r>
            <w:r>
              <w:t xml:space="preserve">work as a direct filter.</w:t>
            </w:r>
          </w:p>
        </w:tc>
      </w:tr>
      <w:tr>
        <w:tc>
          <w:tcPr/>
          <w:p>
            <w:pPr>
              <w:pStyle w:val="Compact"/>
              <w:jc w:val="left"/>
            </w:pPr>
            <w:r>
              <w:rPr>
                <w:rStyle w:val="VerbatimChar"/>
              </w:rPr>
              <w:t xml:space="preserve">law_short</w:t>
            </w:r>
          </w:p>
        </w:tc>
        <w:tc>
          <w:tcPr/>
          <w:p>
            <w:pPr>
              <w:pStyle w:val="Compact"/>
              <w:jc w:val="left"/>
            </w:pPr>
            <w:r>
              <w:t xml:space="preserve">The abbreviation as the court wrote it, normalised (</w:t>
            </w:r>
            <w:r>
              <w:rPr>
                <w:rStyle w:val="VerbatimChar"/>
              </w:rPr>
              <w:t xml:space="preserve">T.B.K.</w:t>
            </w:r>
            <w:r>
              <w:t xml:space="preserve"> </w:t>
            </w:r>
            <w:r>
              <w:t xml:space="preserve">→</w:t>
            </w:r>
            <w:r>
              <w:t xml:space="preserve"> </w:t>
            </w:r>
            <w:r>
              <w:rPr>
                <w:rStyle w:val="VerbatimChar"/>
              </w:rPr>
              <w:t xml:space="preserve">TBK</w:t>
            </w:r>
            <w:r>
              <w:t xml:space="preserve">). Turkish citation is almost entirely by abbreviation, and</w:t>
            </w:r>
            <w:r>
              <w:t xml:space="preserve"> </w:t>
            </w:r>
            <w:r>
              <w:rPr>
                <w:rStyle w:val="VerbatimChar"/>
              </w:rPr>
              <w:t xml:space="preserve">T.B.K. madde 56</w:t>
            </w:r>
            <w:r>
              <w:t xml:space="preserve"> </w:t>
            </w:r>
            <w:r>
              <w:t xml:space="preserve">carries no law number. Never resolved to a number here — BK is Law 818 before 2012 and 6098 after, TMK is usually 4721 but sometimes 3713. Resolution is the legislation store’s alias table, which is date-aware.</w:t>
            </w:r>
          </w:p>
        </w:tc>
      </w:tr>
      <w:tr>
        <w:tc>
          <w:tcPr/>
          <w:p>
            <w:pPr>
              <w:pStyle w:val="Compact"/>
              <w:jc w:val="left"/>
            </w:pPr>
            <w:r>
              <w:rPr>
                <w:rStyle w:val="VerbatimChar"/>
              </w:rPr>
              <w:t xml:space="preserve">legislation_type</w:t>
            </w:r>
          </w:p>
        </w:tc>
        <w:tc>
          <w:tcPr/>
          <w:p>
            <w:pPr>
              <w:pStyle w:val="Compact"/>
              <w:jc w:val="left"/>
            </w:pPr>
            <w:r>
              <w:t xml:space="preserve">Set by which pattern matched:</w:t>
            </w:r>
            <w:r>
              <w:t xml:space="preserve"> </w:t>
            </w:r>
            <w:r>
              <w:rPr>
                <w:rStyle w:val="VerbatimChar"/>
              </w:rPr>
              <w:t xml:space="preserve">statute</w:t>
            </w:r>
            <w:r>
              <w:t xml:space="preserve"> </w:t>
            </w:r>
            <w:r>
              <w:t xml:space="preserve">for Kanun,</w:t>
            </w:r>
            <w:r>
              <w:t xml:space="preserve"> </w:t>
            </w:r>
            <w:r>
              <w:rPr>
                <w:rStyle w:val="VerbatimChar"/>
              </w:rPr>
              <w:t xml:space="preserve">decree_law</w:t>
            </w:r>
            <w:r>
              <w:t xml:space="preserve"> </w:t>
            </w:r>
            <w:r>
              <w:t xml:space="preserve">for KHK / Kanun Hükmünde Kararname,</w:t>
            </w:r>
            <w:r>
              <w:t xml:space="preserve"> </w:t>
            </w:r>
            <w:r>
              <w:rPr>
                <w:rStyle w:val="VerbatimChar"/>
              </w:rPr>
              <w:t xml:space="preserve">constitution</w:t>
            </w:r>
            <w:r>
              <w:t xml:space="preserve"> </w:t>
            </w:r>
            <w:r>
              <w:t xml:space="preserve">for Anayasa. Kanun and KHK were both mapped to</w:t>
            </w:r>
            <w:r>
              <w:t xml:space="preserve"> </w:t>
            </w:r>
            <w:r>
              <w:rPr>
                <w:rStyle w:val="VerbatimChar"/>
              </w:rPr>
              <w:t xml:space="preserve">statute</w:t>
            </w:r>
            <w:r>
              <w:t xml:space="preserve"> </w:t>
            </w:r>
            <w:r>
              <w:t xml:space="preserve">until 13.6; KHK citations were silently mislabeled before that fix.</w:t>
            </w:r>
          </w:p>
        </w:tc>
      </w:tr>
      <w:tr>
        <w:tc>
          <w:tcPr/>
          <w:p>
            <w:pPr>
              <w:pStyle w:val="Compact"/>
              <w:jc w:val="left"/>
            </w:pPr>
            <w:r>
              <w:rPr>
                <w:rStyle w:val="VerbatimChar"/>
              </w:rPr>
              <w:t xml:space="preserve">law_no</w:t>
            </w:r>
          </w:p>
        </w:tc>
        <w:tc>
          <w:tcPr/>
          <w:p>
            <w:pPr>
              <w:pStyle w:val="Compact"/>
              <w:jc w:val="left"/>
            </w:pPr>
            <w:r>
              <w:t xml:space="preserve">The number before the word</w:t>
            </w:r>
            <w:r>
              <w:t xml:space="preserve"> </w:t>
            </w:r>
            <w:r>
              <w:rPr>
                <w:rStyle w:val="VerbatimChar"/>
              </w:rPr>
              <w:t xml:space="preserve">sayılı</w:t>
            </w:r>
            <w:r>
              <w:t xml:space="preserve">. Null for constitution citations.</w:t>
            </w:r>
          </w:p>
        </w:tc>
      </w:tr>
      <w:tr>
        <w:tc>
          <w:tcPr/>
          <w:p>
            <w:pPr>
              <w:pStyle w:val="Compact"/>
              <w:jc w:val="left"/>
            </w:pPr>
            <w:r>
              <w:rPr>
                <w:rStyle w:val="VerbatimChar"/>
              </w:rPr>
              <w:t xml:space="preserve">law_name</w:t>
            </w:r>
          </w:p>
        </w:tc>
        <w:tc>
          <w:tcPr/>
          <w:p>
            <w:pPr>
              <w:pStyle w:val="Compact"/>
              <w:jc w:val="left"/>
            </w:pPr>
            <w:r>
              <w:t xml:space="preserve">Text captured between</w:t>
            </w:r>
            <w:r>
              <w:t xml:space="preserve"> </w:t>
            </w:r>
            <w:r>
              <w:rPr>
                <w:rStyle w:val="VerbatimChar"/>
              </w:rPr>
              <w:t xml:space="preserve">sayılı</w:t>
            </w:r>
            <w:r>
              <w:t xml:space="preserve"> </w:t>
            </w:r>
            <w:r>
              <w:t xml:space="preserve">and</w:t>
            </w:r>
            <w:r>
              <w:t xml:space="preserve"> </w:t>
            </w:r>
            <w:r>
              <w:rPr>
                <w:rStyle w:val="VerbatimChar"/>
              </w:rPr>
              <w:t xml:space="preserve">Kanun</w:t>
            </w:r>
            <w:r>
              <w:t xml:space="preserve">. Null if not restated at that mention.</w:t>
            </w:r>
          </w:p>
        </w:tc>
      </w:tr>
      <w:tr>
        <w:tc>
          <w:tcPr/>
          <w:p>
            <w:pPr>
              <w:pStyle w:val="Compact"/>
              <w:jc w:val="left"/>
            </w:pPr>
            <w:r>
              <w:rPr>
                <w:rStyle w:val="VerbatimChar"/>
              </w:rPr>
              <w:t xml:space="preserve">article_no</w:t>
            </w:r>
          </w:p>
        </w:tc>
        <w:tc>
          <w:tcPr/>
          <w:p>
            <w:pPr>
              <w:pStyle w:val="Compact"/>
              <w:jc w:val="left"/>
            </w:pPr>
            <w:r>
              <w:t xml:space="preserve">The article number, captured before the word</w:t>
            </w:r>
            <w:r>
              <w:t xml:space="preserve"> </w:t>
            </w:r>
            <w:r>
              <w:rPr>
                <w:rStyle w:val="VerbatimChar"/>
              </w:rPr>
              <w:t xml:space="preserve">madde</w:t>
            </w:r>
            <w:r>
              <w:t xml:space="preserve">: a plain number (15), a letter-suffixed insertion kept as written (141/A), or a Geçici/Ek article kept as its own numbering sequence so it never collides with a plain article of the same number (Geçici 3, Ek 5). A number written with an apostrophe + Turkish ordinal suffix (23’üncü) is also recognized, but normalized down to the plain digit (23) here — the suffix itself is not preserved. Null if no article stated at that mention. See 13.6.</w:t>
            </w:r>
          </w:p>
        </w:tc>
      </w:tr>
      <w:tr>
        <w:tc>
          <w:tcPr/>
          <w:p>
            <w:pPr>
              <w:pStyle w:val="Compact"/>
              <w:jc w:val="left"/>
            </w:pPr>
            <w:r>
              <w:rPr>
                <w:rStyle w:val="VerbatimChar"/>
              </w:rPr>
              <w:t xml:space="preserve">paragraph_no</w:t>
            </w:r>
          </w:p>
        </w:tc>
        <w:tc>
          <w:tcPr/>
          <w:p>
            <w:pPr>
              <w:pStyle w:val="Compact"/>
              <w:jc w:val="left"/>
            </w:pPr>
            <w:r>
              <w:t xml:space="preserve">The sub-paragraph (fıkra) number if stated, as a digit — including when the source states it as a Turkish ordinal word (ikinci, üçüncü) rather than a numeral; converted to the matching digit. Kept null when absent so every citation has the same shape. See 13.6.</w:t>
            </w:r>
          </w:p>
        </w:tc>
      </w:tr>
      <w:tr>
        <w:tc>
          <w:tcPr/>
          <w:p>
            <w:pPr>
              <w:pStyle w:val="Compact"/>
              <w:jc w:val="left"/>
            </w:pPr>
            <w:r>
              <w:rPr>
                <w:rStyle w:val="VerbatimChar"/>
              </w:rPr>
              <w:t xml:space="preserve">verbatim_mention</w:t>
            </w:r>
          </w:p>
        </w:tc>
        <w:tc>
          <w:tcPr/>
          <w:p>
            <w:pPr>
              <w:pStyle w:val="Compact"/>
              <w:jc w:val="left"/>
            </w:pPr>
            <w:r>
              <w:t xml:space="preserve">The exact matched source text, stored as is, for display and verification.</w:t>
            </w:r>
          </w:p>
        </w:tc>
      </w:tr>
      <w:tr>
        <w:tc>
          <w:tcPr/>
          <w:p>
            <w:pPr>
              <w:pStyle w:val="Compact"/>
              <w:jc w:val="left"/>
            </w:pPr>
            <w:r>
              <w:rPr>
                <w:rStyle w:val="VerbatimChar"/>
              </w:rPr>
              <w:t xml:space="preserve">law_date</w:t>
            </w:r>
          </w:p>
        </w:tc>
        <w:tc>
          <w:tcPr/>
          <w:p>
            <w:pPr>
              <w:pStyle w:val="Compact"/>
              <w:jc w:val="left"/>
            </w:pPr>
            <w:r>
              <w:t xml:space="preserve">The DD/MM/YYYY date the court gave, converted to ISO (</w:t>
            </w:r>
            <w:r>
              <w:rPr>
                <w:rStyle w:val="VerbatimChar"/>
              </w:rPr>
              <w:t xml:space="preserve">1964-07-17</w:t>
            </w:r>
            <w:r>
              <w:t xml:space="preserve">). Null if no date stated.</w:t>
            </w:r>
          </w:p>
        </w:tc>
      </w:tr>
      <w:tr>
        <w:tc>
          <w:tcPr/>
          <w:p>
            <w:pPr>
              <w:pStyle w:val="Compact"/>
              <w:jc w:val="left"/>
            </w:pPr>
            <w:r>
              <w:rPr>
                <w:rStyle w:val="VerbatimChar"/>
              </w:rPr>
              <w:t xml:space="preserve">confidence</w:t>
            </w:r>
          </w:p>
        </w:tc>
        <w:tc>
          <w:tcPr/>
          <w:p>
            <w:pPr>
              <w:pStyle w:val="Compact"/>
              <w:jc w:val="left"/>
            </w:pPr>
            <w:r>
              <w:rPr>
                <w:rStyle w:val="VerbatimChar"/>
              </w:rPr>
              <w:t xml:space="preserve">high</w:t>
            </w:r>
            <w:r>
              <w:t xml:space="preserve"> </w:t>
            </w:r>
            <w:r>
              <w:t xml:space="preserve">when a specific article was identified,</w:t>
            </w:r>
            <w:r>
              <w:t xml:space="preserve"> </w:t>
            </w:r>
            <w:r>
              <w:rPr>
                <w:rStyle w:val="VerbatimChar"/>
              </w:rPr>
              <w:t xml:space="preserve">low</w:t>
            </w:r>
            <w:r>
              <w:t xml:space="preserve"> </w:t>
            </w:r>
            <w:r>
              <w:t xml:space="preserve">when only the law was named.</w:t>
            </w:r>
          </w:p>
        </w:tc>
      </w:tr>
    </w:tbl>
    <w:p>
      <w:pPr>
        <w:spacing w:before="0" w:after="0" w:line="120" w:lineRule="exact"/>
      </w:pPr>
    </w:p>
    <w:p>
      <w:pPr>
        <w:pStyle w:val="BodyText"/>
      </w:pPr>
      <w:r>
        <w:rPr>
          <w:bCs/>
          <w:b/>
        </w:rPr>
        <w:t xml:space="preserve">Note on null fields:</w:t>
      </w:r>
      <w:r>
        <w:t xml:space="preserve"> </w:t>
      </w:r>
      <w:r>
        <w:t xml:space="preserve">a field is kept even when null so every citation has an identical shape, letting downstream code always read a field rather than first checking whether the key exists. Null always means the court did not state that detail, never that extraction failed.</w:t>
      </w:r>
    </w:p>
    <w:p>
      <w:pPr>
        <w:pStyle w:val="BodyText"/>
      </w:pPr>
      <w:r>
        <w:rPr>
          <w:iCs/>
          <w:i/>
        </w:rPr>
        <w:t xml:space="preserve">Version: September 2026 — section 14 added to document exactly how every field is obtained; updated 11–14 September 2026 with the LLM-pipeline differences.</w:t>
      </w:r>
    </w:p>
    <w:bookmarkEnd w:id="60"/>
    <w:bookmarkEnd w:id="61"/>
    <w:bookmarkStart w:id="70" w:name="X5999ef6126db4f9349c6dc6366cc211d10943ef"/>
    <w:p>
      <w:pPr>
        <w:pStyle w:val="Heading1"/>
      </w:pPr>
      <w:r>
        <w:t xml:space="preserve">15. LLM-Based Extraction Pipeline (Gemini 2.5 Flash-Lite)</w:t>
      </w:r>
    </w:p>
    <w:p>
      <w:pPr>
        <w:pStyle w:val="FirstParagraph"/>
      </w:pPr>
      <w:r>
        <w:rPr>
          <w:bCs/>
          <w:b/>
        </w:rPr>
        <w:t xml:space="preserve">Status: built and piloted, 11–14 September 2026.</w:t>
      </w:r>
      <w:r>
        <w:t xml:space="preserve"> </w:t>
      </w:r>
      <w:r>
        <w:t xml:space="preserve">This section was a plan; it now documents an implementation, with the pilot’s real failure modes and fixes recorded in 15.8.</w:t>
      </w:r>
    </w:p>
    <w:p>
      <w:pPr>
        <w:pStyle w:val="BodyText"/>
      </w:pPr>
      <w:r>
        <w:t xml:space="preserve">Why it was built:</w:t>
      </w:r>
      <w:r>
        <w:t xml:space="preserve"> </w:t>
      </w:r>
      <w:r>
        <w:rPr>
          <w:rStyle w:val="VerbatimChar"/>
        </w:rPr>
        <w:t xml:space="preserve">reasoning_summary</w:t>
      </w:r>
      <w:r>
        <w:t xml:space="preserve"> </w:t>
      </w:r>
      <w:r>
        <w:t xml:space="preserve">is null on every chunk in the regex pipeline (14.1, 7.3) — it is the one field meant to be AI-generated and nothing had generated it. The 7.3 retrieval test measured the concrete cost directly: Stage 1 case retrieval was 0/5 on the code-only corpus, because a capsule with no</w:t>
      </w:r>
      <w:r>
        <w:t xml:space="preserve"> </w:t>
      </w:r>
      <w:r>
        <w:rPr>
          <w:rStyle w:val="VerbatimChar"/>
        </w:rPr>
        <w:t xml:space="preserve">reasoning_summary</w:t>
      </w:r>
      <w:r>
        <w:t xml:space="preserve"> </w:t>
      </w:r>
      <w:r>
        <w:t xml:space="preserve">has no factual content for a real question to match against. The LLM pipeline also does legislation extraction natively, closing gaps regex structurally cannot (13.6): ordinal-suffix articles, regulations/directives, cross-sentence coreference.</w:t>
      </w:r>
    </w:p>
    <w:p>
      <w:pPr>
        <w:pStyle w:val="BodyText"/>
      </w:pPr>
      <w:r>
        <w:t xml:space="preserve">Model: Gemini 2.5 Flash-Lite. Verified specs: 1,048,576-token context window (document length is a non-issue), native structured-output / JSON-schema support, $0.10/M input + $0.40/M output tokens, GA since July 2025.</w:t>
      </w:r>
    </w:p>
    <w:bookmarkStart w:id="62" w:name="call-shape-one-call-per-document-not-two"/>
    <w:p>
      <w:pPr>
        <w:pStyle w:val="Heading2"/>
      </w:pPr>
      <w:r>
        <w:t xml:space="preserve">15.1 Call shape: one call per document, not two</w:t>
      </w:r>
    </w:p>
    <w:p>
      <w:pPr>
        <w:pStyle w:val="FirstParagraph"/>
      </w:pPr>
      <w:r>
        <w:t xml:space="preserve">A two-pass design (chunk first, then re-send the finalized chunks in a second call to write</w:t>
      </w:r>
      <w:r>
        <w:t xml:space="preserve"> </w:t>
      </w:r>
      <w:r>
        <w:rPr>
          <w:rStyle w:val="VerbatimChar"/>
        </w:rPr>
        <w:t xml:space="preserve">reasoning_summary</w:t>
      </w:r>
      <w:r>
        <w:t xml:space="preserve">) was considered and rejected: it re-sends the model’s own just-generated output back as input tokens, doubling API calls and cost for no real quality gain, since pass 2 discovers nothing that wasn’t already available in pass 1.</w:t>
      </w:r>
    </w:p>
    <w:p>
      <w:pPr>
        <w:pStyle w:val="BodyText"/>
      </w:pPr>
      <w:r>
        <w:t xml:space="preserve">Instead: ONE call produces segments and capsules together. Gemini links them itself using a local label it writes in that same response (</w:t>
      </w:r>
      <w:r>
        <w:rPr>
          <w:rStyle w:val="VerbatimChar"/>
        </w:rPr>
        <w:t xml:space="preserve">seg_1</w:t>
      </w:r>
      <w:r>
        <w:t xml:space="preserve">,</w:t>
      </w:r>
      <w:r>
        <w:t xml:space="preserve"> </w:t>
      </w:r>
      <w:r>
        <w:rPr>
          <w:rStyle w:val="VerbatimChar"/>
        </w:rPr>
        <w:t xml:space="preserve">seg_2</w:t>
      </w:r>
      <w:r>
        <w:t xml:space="preserve">) — not our real</w:t>
      </w:r>
      <w:r>
        <w:t xml:space="preserve"> </w:t>
      </w:r>
      <w:r>
        <w:rPr>
          <w:rStyle w:val="VerbatimChar"/>
        </w:rPr>
        <w:t xml:space="preserve">chunk_id</w:t>
      </w:r>
      <w:r>
        <w:t xml:space="preserve"> </w:t>
      </w:r>
      <w:r>
        <w:t xml:space="preserve">format, which the model never has to invent. Referencing a label written two lines above is a far easier task than inventing an external ID scheme from scratch, so this is not a lower-quality tradeoff, just a cheaper one.</w:t>
      </w:r>
    </w:p>
    <w:p>
      <w:pPr>
        <w:pStyle w:val="BodyText"/>
      </w:pPr>
      <w:r>
        <w:t xml:space="preserve">Temperature 0 throughout — the same document must chunk identically every run.</w:t>
      </w:r>
    </w:p>
    <w:bookmarkEnd w:id="62"/>
    <w:bookmarkStart w:id="63" w:name="field-ownership-chunk-fields"/>
    <w:p>
      <w:pPr>
        <w:pStyle w:val="Heading2"/>
      </w:pPr>
      <w:r>
        <w:t xml:space="preserve">15.2 Field ownership — chunk fields</w:t>
      </w:r>
    </w:p>
    <w:p>
      <w:pPr>
        <w:pStyle w:val="FirstParagraph"/>
      </w:pPr>
      <w:r>
        <w:t xml:space="preserve">The rule: Gemini owns anything that requires reading and understanding the text. Code owns anything that is arithmetic, a fixed lookup, or must be byte-identical across separate API calls.</w:t>
      </w:r>
    </w:p>
    <w:tbl>
      <w:tblPr>
        <w:tblStyle w:val="Table"/>
        <w:tblW w:type="pct" w:w="5000"/>
        <w:tblLook w:firstRow="1" w:lastRow="0" w:firstColumn="0" w:lastColumn="0" w:noHBand="0" w:noVBand="1" w:val="0420"/>
        <w:jc w:val="start"/>
      </w:tblPr>
      <w:tblGrid>
        <w:gridCol w:w="2640"/>
        <w:gridCol w:w="5280"/>
      </w:tblGrid>
      <w:tr>
        <w:trPr>
          <w:tblHeader w:val="true"/>
        </w:trPr>
        <w:tc>
          <w:tcPr/>
          <w:p>
            <w:pPr>
              <w:pStyle w:val="Compact"/>
              <w:jc w:val="left"/>
            </w:pPr>
            <w:r>
              <w:rPr>
                <w:bCs/>
                <w:b/>
              </w:rPr>
              <w:t xml:space="preserve">Field</w:t>
            </w:r>
          </w:p>
        </w:tc>
        <w:tc>
          <w:tcPr/>
          <w:p>
            <w:pPr>
              <w:pStyle w:val="Compact"/>
              <w:jc w:val="left"/>
            </w:pPr>
            <w:r>
              <w:rPr>
                <w:bCs/>
                <w:b/>
              </w:rPr>
              <w:t xml:space="preserve">Owner</w:t>
            </w:r>
          </w:p>
        </w:tc>
      </w:tr>
      <w:tr>
        <w:tc>
          <w:tcPr/>
          <w:p>
            <w:pPr>
              <w:pStyle w:val="Compact"/>
              <w:jc w:val="left"/>
            </w:pPr>
            <w:r>
              <w:rPr>
                <w:rStyle w:val="VerbatimChar"/>
              </w:rPr>
              <w:t xml:space="preserve">text</w:t>
            </w:r>
          </w:p>
        </w:tc>
        <w:tc>
          <w:tcPr/>
          <w:p>
            <w:pPr>
              <w:pStyle w:val="Compact"/>
              <w:jc w:val="left"/>
            </w:pPr>
            <w:r>
              <w:t xml:space="preserve">Gemini picks</w:t>
            </w:r>
            <w:r>
              <w:t xml:space="preserve"> </w:t>
            </w:r>
            <w:r>
              <w:rPr>
                <w:rStyle w:val="VerbatimChar"/>
              </w:rPr>
              <w:t xml:space="preserve">paragraph_refs</w:t>
            </w:r>
            <w:r>
              <w:t xml:space="preserve">;</w:t>
            </w:r>
            <w:r>
              <w:t xml:space="preserve"> </w:t>
            </w:r>
            <w:r>
              <w:rPr>
                <w:bCs/>
                <w:b/>
              </w:rPr>
              <w:t xml:space="preserve">code assembles the text from them.</w:t>
            </w:r>
            <w:r>
              <w:t xml:space="preserve"> </w:t>
            </w:r>
            <w:r>
              <w:t xml:space="preserve">The model’s own prose is never copied into the chunk (14.1).</w:t>
            </w:r>
          </w:p>
        </w:tc>
      </w:tr>
      <w:tr>
        <w:tc>
          <w:tcPr/>
          <w:p>
            <w:pPr>
              <w:pStyle w:val="Compact"/>
              <w:jc w:val="left"/>
            </w:pPr>
            <w:r>
              <w:rPr>
                <w:rStyle w:val="VerbatimChar"/>
              </w:rPr>
              <w:t xml:space="preserve">source_paragraph_ids</w:t>
            </w:r>
          </w:p>
        </w:tc>
        <w:tc>
          <w:tcPr/>
          <w:p>
            <w:pPr>
              <w:pStyle w:val="Compact"/>
              <w:jc w:val="left"/>
            </w:pPr>
            <w:r>
              <w:t xml:space="preserve">Gemini</w:t>
            </w:r>
          </w:p>
        </w:tc>
      </w:tr>
      <w:tr>
        <w:tc>
          <w:tcPr/>
          <w:p>
            <w:pPr>
              <w:pStyle w:val="Compact"/>
              <w:jc w:val="left"/>
            </w:pPr>
            <w:r>
              <w:rPr>
                <w:rStyle w:val="VerbatimChar"/>
              </w:rPr>
              <w:t xml:space="preserve">firac_role</w:t>
            </w:r>
            <w:r>
              <w:t xml:space="preserve"> </w:t>
            </w:r>
            <w:r>
              <w:t xml:space="preserve">/</w:t>
            </w:r>
            <w:r>
              <w:t xml:space="preserve"> </w:t>
            </w:r>
            <w:r>
              <w:rPr>
                <w:rStyle w:val="VerbatimChar"/>
              </w:rPr>
              <w:t xml:space="preserve">court_reasoning_role</w:t>
            </w:r>
            <w:r>
              <w:t xml:space="preserve"> </w:t>
            </w:r>
            <w:r>
              <w:t xml:space="preserve">/</w:t>
            </w:r>
            <w:r>
              <w:t xml:space="preserve"> </w:t>
            </w:r>
            <w:r>
              <w:rPr>
                <w:rStyle w:val="VerbatimChar"/>
              </w:rPr>
              <w:t xml:space="preserve">regulatory_role</w:t>
            </w:r>
          </w:p>
        </w:tc>
        <w:tc>
          <w:tcPr/>
          <w:p>
            <w:pPr>
              <w:pStyle w:val="Compact"/>
              <w:jc w:val="left"/>
            </w:pPr>
            <w:r>
              <w:t xml:space="preserve">Gemini</w:t>
            </w:r>
          </w:p>
        </w:tc>
      </w:tr>
      <w:tr>
        <w:tc>
          <w:tcPr/>
          <w:p>
            <w:pPr>
              <w:pStyle w:val="Compact"/>
              <w:jc w:val="left"/>
            </w:pPr>
            <w:r>
              <w:rPr>
                <w:rStyle w:val="VerbatimChar"/>
              </w:rPr>
              <w:t xml:space="preserve">content_type</w:t>
            </w:r>
          </w:p>
        </w:tc>
        <w:tc>
          <w:tcPr/>
          <w:p>
            <w:pPr>
              <w:pStyle w:val="Compact"/>
              <w:jc w:val="left"/>
            </w:pPr>
            <w:r>
              <w:t xml:space="preserve">Gemini</w:t>
            </w:r>
          </w:p>
        </w:tc>
      </w:tr>
      <w:tr>
        <w:tc>
          <w:tcPr/>
          <w:p>
            <w:pPr>
              <w:pStyle w:val="Compact"/>
              <w:jc w:val="left"/>
            </w:pPr>
            <w:r>
              <w:rPr>
                <w:rStyle w:val="VerbatimChar"/>
              </w:rPr>
              <w:t xml:space="preserve">reasoning_stage</w:t>
            </w:r>
          </w:p>
        </w:tc>
        <w:tc>
          <w:tcPr/>
          <w:p>
            <w:pPr>
              <w:pStyle w:val="Compact"/>
              <w:jc w:val="left"/>
            </w:pPr>
            <w:r>
              <w:t xml:space="preserve">Gemini</w:t>
            </w:r>
          </w:p>
        </w:tc>
      </w:tr>
      <w:tr>
        <w:tc>
          <w:tcPr/>
          <w:p>
            <w:pPr>
              <w:pStyle w:val="Compact"/>
              <w:jc w:val="left"/>
            </w:pPr>
            <w:r>
              <w:rPr>
                <w:rStyle w:val="VerbatimChar"/>
              </w:rPr>
              <w:t xml:space="preserve">rights</w:t>
            </w:r>
          </w:p>
        </w:tc>
        <w:tc>
          <w:tcPr/>
          <w:p>
            <w:pPr>
              <w:pStyle w:val="Compact"/>
              <w:jc w:val="left"/>
            </w:pPr>
            <w:r>
              <w:t xml:space="preserve">Gemini picks the specific right(s) the paragraph discusses; code supplies the candidate list from metadata first</w:t>
            </w:r>
          </w:p>
        </w:tc>
      </w:tr>
      <w:tr>
        <w:tc>
          <w:tcPr/>
          <w:p>
            <w:pPr>
              <w:pStyle w:val="Compact"/>
              <w:jc w:val="left"/>
            </w:pPr>
            <w:r>
              <w:rPr>
                <w:rStyle w:val="VerbatimChar"/>
              </w:rPr>
              <w:t xml:space="preserve">confidence</w:t>
            </w:r>
          </w:p>
        </w:tc>
        <w:tc>
          <w:tcPr/>
          <w:p>
            <w:pPr>
              <w:pStyle w:val="Compact"/>
              <w:jc w:val="left"/>
            </w:pPr>
            <w:r>
              <w:t xml:space="preserve">Gemini</w:t>
            </w:r>
          </w:p>
        </w:tc>
      </w:tr>
      <w:tr>
        <w:tc>
          <w:tcPr/>
          <w:p>
            <w:pPr>
              <w:pStyle w:val="Compact"/>
              <w:jc w:val="left"/>
            </w:pPr>
            <w:r>
              <w:rPr>
                <w:rStyle w:val="VerbatimChar"/>
              </w:rPr>
              <w:t xml:space="preserve">cited_legislations</w:t>
            </w:r>
          </w:p>
        </w:tc>
        <w:tc>
          <w:tcPr/>
          <w:p>
            <w:pPr>
              <w:pStyle w:val="Compact"/>
              <w:jc w:val="left"/>
            </w:pPr>
            <w:r>
              <w:t xml:space="preserve">Gemini — the array itself. See 15.3 for ownership of each field inside it</w:t>
            </w:r>
          </w:p>
        </w:tc>
      </w:tr>
      <w:tr>
        <w:tc>
          <w:tcPr/>
          <w:p>
            <w:pPr>
              <w:pStyle w:val="Compact"/>
              <w:jc w:val="left"/>
            </w:pPr>
            <w:r>
              <w:rPr>
                <w:rStyle w:val="VerbatimChar"/>
              </w:rPr>
              <w:t xml:space="preserve">source_type</w:t>
            </w:r>
          </w:p>
        </w:tc>
        <w:tc>
          <w:tcPr/>
          <w:p>
            <w:pPr>
              <w:pStyle w:val="Compact"/>
              <w:jc w:val="left"/>
            </w:pPr>
            <w:r>
              <w:t xml:space="preserve">Gemini reads/confirms; code cross-checks against which file it came from</w:t>
            </w:r>
          </w:p>
        </w:tc>
      </w:tr>
      <w:tr>
        <w:tc>
          <w:tcPr/>
          <w:p>
            <w:pPr>
              <w:pStyle w:val="Compact"/>
              <w:jc w:val="left"/>
            </w:pPr>
            <w:r>
              <w:rPr>
                <w:rStyle w:val="VerbatimChar"/>
              </w:rPr>
              <w:t xml:space="preserve">case_no</w:t>
            </w:r>
          </w:p>
        </w:tc>
        <w:tc>
          <w:tcPr/>
          <w:p>
            <w:pPr>
              <w:pStyle w:val="Compact"/>
              <w:jc w:val="left"/>
            </w:pPr>
            <w:r>
              <w:t xml:space="preserve">Gemini reads/confirms; code cross-checks against the metadata already on file</w:t>
            </w:r>
          </w:p>
        </w:tc>
      </w:tr>
      <w:tr>
        <w:tc>
          <w:tcPr/>
          <w:p>
            <w:pPr>
              <w:pStyle w:val="Compact"/>
              <w:jc w:val="left"/>
            </w:pPr>
            <w:r>
              <w:rPr>
                <w:rStyle w:val="VerbatimChar"/>
              </w:rPr>
              <w:t xml:space="preserve">decision_date</w:t>
            </w:r>
          </w:p>
        </w:tc>
        <w:tc>
          <w:tcPr/>
          <w:p>
            <w:pPr>
              <w:pStyle w:val="Compact"/>
              <w:jc w:val="left"/>
            </w:pPr>
            <w:r>
              <w:t xml:space="preserve">Code — ISO, from metadata or the ruling sentence (14.1)</w:t>
            </w:r>
          </w:p>
        </w:tc>
      </w:tr>
      <w:tr>
        <w:tc>
          <w:tcPr/>
          <w:p>
            <w:pPr>
              <w:pStyle w:val="Compact"/>
              <w:jc w:val="left"/>
            </w:pPr>
            <w:r>
              <w:rPr>
                <w:rStyle w:val="VerbatimChar"/>
              </w:rPr>
              <w:t xml:space="preserve">citation_granularity</w:t>
            </w:r>
          </w:p>
        </w:tc>
        <w:tc>
          <w:tcPr/>
          <w:p>
            <w:pPr>
              <w:pStyle w:val="Compact"/>
              <w:jc w:val="left"/>
            </w:pPr>
            <w:r>
              <w:t xml:space="preserve">Code — fixed constant per source, nothing to decide</w:t>
            </w:r>
          </w:p>
        </w:tc>
      </w:tr>
      <w:tr>
        <w:tc>
          <w:tcPr/>
          <w:p>
            <w:pPr>
              <w:pStyle w:val="Compact"/>
              <w:jc w:val="left"/>
            </w:pPr>
            <w:r>
              <w:rPr>
                <w:rStyle w:val="VerbatimChar"/>
              </w:rPr>
              <w:t xml:space="preserve">char_length</w:t>
            </w:r>
          </w:p>
        </w:tc>
        <w:tc>
          <w:tcPr/>
          <w:p>
            <w:pPr>
              <w:pStyle w:val="Compact"/>
              <w:jc w:val="left"/>
            </w:pPr>
            <w:r>
              <w:t xml:space="preserve">Code — arithmetic</w:t>
            </w:r>
          </w:p>
        </w:tc>
      </w:tr>
      <w:tr>
        <w:tc>
          <w:tcPr/>
          <w:p>
            <w:pPr>
              <w:pStyle w:val="Compact"/>
              <w:jc w:val="left"/>
            </w:pPr>
            <w:r>
              <w:rPr>
                <w:rStyle w:val="VerbatimChar"/>
              </w:rPr>
              <w:t xml:space="preserve">chunk_id</w:t>
            </w:r>
          </w:p>
        </w:tc>
        <w:tc>
          <w:tcPr/>
          <w:p>
            <w:pPr>
              <w:pStyle w:val="Compact"/>
              <w:jc w:val="left"/>
            </w:pPr>
            <w:r>
              <w:t xml:space="preserve">Code —</w:t>
            </w:r>
            <w:r>
              <w:t xml:space="preserve"> </w:t>
            </w:r>
            <w:r>
              <w:rPr>
                <w:rStyle w:val="VerbatimChar"/>
              </w:rPr>
              <w:t xml:space="preserve">uuid.uuid5(doc_id + paragraph_range)</w:t>
            </w:r>
            <w:r>
              <w:t xml:space="preserve">, deterministic, Qdrant-native from the start (15.5)</w:t>
            </w:r>
          </w:p>
        </w:tc>
      </w:tr>
      <w:tr>
        <w:tc>
          <w:tcPr/>
          <w:p>
            <w:pPr>
              <w:pStyle w:val="Compact"/>
              <w:jc w:val="left"/>
            </w:pPr>
            <w:r>
              <w:rPr>
                <w:rStyle w:val="VerbatimChar"/>
              </w:rPr>
              <w:t xml:space="preserve">chunk_label</w:t>
            </w:r>
          </w:p>
        </w:tc>
        <w:tc>
          <w:tcPr/>
          <w:p>
            <w:pPr>
              <w:pStyle w:val="Compact"/>
              <w:jc w:val="left"/>
            </w:pPr>
            <w:r>
              <w:t xml:space="preserve">Code — old readable string (</w:t>
            </w:r>
            <w:r>
              <w:rPr>
                <w:rStyle w:val="VerbatimChar"/>
              </w:rPr>
              <w:t xml:space="preserve">doc_id-p18_to_p20</w:t>
            </w:r>
            <w:r>
              <w:t xml:space="preserve">), debugging only, referenced nowhere else</w:t>
            </w:r>
          </w:p>
        </w:tc>
      </w:tr>
    </w:tbl>
    <w:p>
      <w:pPr>
        <w:spacing w:before="0" w:after="0" w:line="120" w:lineRule="exact"/>
      </w:pPr>
    </w:p>
    <w:bookmarkEnd w:id="63"/>
    <w:bookmarkStart w:id="64" w:name="field-ownership-cited_legislations"/>
    <w:p>
      <w:pPr>
        <w:pStyle w:val="Heading2"/>
      </w:pPr>
      <w:r>
        <w:t xml:space="preserve">15.3 Field ownership — cited_legislations</w:t>
      </w:r>
    </w:p>
    <w:tbl>
      <w:tblPr>
        <w:tblStyle w:val="Table"/>
        <w:tblW w:type="pct" w:w="5000"/>
        <w:tblLook w:firstRow="1" w:lastRow="0" w:firstColumn="0" w:lastColumn="0" w:noHBand="0" w:noVBand="1" w:val="0420"/>
        <w:jc w:val="start"/>
      </w:tblPr>
      <w:tblGrid>
        <w:gridCol w:w="2200"/>
        <w:gridCol w:w="5720"/>
      </w:tblGrid>
      <w:tr>
        <w:trPr>
          <w:tblHeader w:val="true"/>
        </w:trPr>
        <w:tc>
          <w:tcPr/>
          <w:p>
            <w:pPr>
              <w:pStyle w:val="Compact"/>
              <w:jc w:val="left"/>
            </w:pPr>
            <w:r>
              <w:rPr>
                <w:bCs/>
                <w:b/>
              </w:rPr>
              <w:t xml:space="preserve">Field</w:t>
            </w:r>
          </w:p>
        </w:tc>
        <w:tc>
          <w:tcPr/>
          <w:p>
            <w:pPr>
              <w:pStyle w:val="Compact"/>
              <w:jc w:val="left"/>
            </w:pPr>
            <w:r>
              <w:rPr>
                <w:bCs/>
                <w:b/>
              </w:rPr>
              <w:t xml:space="preserve">Owner</w:t>
            </w:r>
          </w:p>
        </w:tc>
      </w:tr>
      <w:tr>
        <w:tc>
          <w:tcPr/>
          <w:p>
            <w:pPr>
              <w:pStyle w:val="Compact"/>
              <w:jc w:val="left"/>
            </w:pPr>
            <w:r>
              <w:rPr>
                <w:rStyle w:val="VerbatimChar"/>
              </w:rPr>
              <w:t xml:space="preserve">law_no</w:t>
            </w:r>
          </w:p>
        </w:tc>
        <w:tc>
          <w:tcPr/>
          <w:p>
            <w:pPr>
              <w:pStyle w:val="Compact"/>
              <w:jc w:val="left"/>
            </w:pPr>
            <w:r>
              <w:t xml:space="preserve">Gemini</w:t>
            </w:r>
          </w:p>
        </w:tc>
      </w:tr>
      <w:tr>
        <w:tc>
          <w:tcPr/>
          <w:p>
            <w:pPr>
              <w:pStyle w:val="Compact"/>
              <w:jc w:val="left"/>
            </w:pPr>
            <w:r>
              <w:rPr>
                <w:rStyle w:val="VerbatimChar"/>
              </w:rPr>
              <w:t xml:space="preserve">law_name</w:t>
            </w:r>
          </w:p>
        </w:tc>
        <w:tc>
          <w:tcPr/>
          <w:p>
            <w:pPr>
              <w:pStyle w:val="Compact"/>
              <w:jc w:val="left"/>
            </w:pPr>
            <w:r>
              <w:t xml:space="preserve">Gemini</w:t>
            </w:r>
          </w:p>
        </w:tc>
      </w:tr>
      <w:tr>
        <w:tc>
          <w:tcPr/>
          <w:p>
            <w:pPr>
              <w:pStyle w:val="Compact"/>
              <w:jc w:val="left"/>
            </w:pPr>
            <w:r>
              <w:rPr>
                <w:rStyle w:val="VerbatimChar"/>
              </w:rPr>
              <w:t xml:space="preserve">law_short</w:t>
            </w:r>
          </w:p>
        </w:tc>
        <w:tc>
          <w:tcPr/>
          <w:p>
            <w:pPr>
              <w:pStyle w:val="Compact"/>
              <w:jc w:val="left"/>
            </w:pPr>
            <w:r>
              <w:t xml:space="preserve">Gemini reads the abbreviation; code normalises it (</w:t>
            </w:r>
            <w:r>
              <w:rPr>
                <w:rStyle w:val="VerbatimChar"/>
              </w:rPr>
              <w:t xml:space="preserve">T.B.K.</w:t>
            </w:r>
            <w:r>
              <w:t xml:space="preserve"> </w:t>
            </w:r>
            <w:r>
              <w:t xml:space="preserve">→</w:t>
            </w:r>
            <w:r>
              <w:t xml:space="preserve"> </w:t>
            </w:r>
            <w:r>
              <w:rPr>
                <w:rStyle w:val="VerbatimChar"/>
              </w:rPr>
              <w:t xml:space="preserve">TBK</w:t>
            </w:r>
            <w:r>
              <w:t xml:space="preserve">). Never resolved to a</w:t>
            </w:r>
            <w:r>
              <w:t xml:space="preserve"> </w:t>
            </w:r>
            <w:r>
              <w:rPr>
                <w:rStyle w:val="VerbatimChar"/>
              </w:rPr>
              <w:t xml:space="preserve">law_no</w:t>
            </w:r>
            <w:r>
              <w:t xml:space="preserve"> </w:t>
            </w:r>
            <w:r>
              <w:t xml:space="preserve">— that is the legislation store’s date-aware alias table (13.1)</w:t>
            </w:r>
          </w:p>
        </w:tc>
      </w:tr>
      <w:tr>
        <w:tc>
          <w:tcPr/>
          <w:p>
            <w:pPr>
              <w:pStyle w:val="Compact"/>
              <w:jc w:val="left"/>
            </w:pPr>
            <w:r>
              <w:rPr>
                <w:rStyle w:val="VerbatimChar"/>
              </w:rPr>
              <w:t xml:space="preserve">article_no</w:t>
            </w:r>
          </w:p>
        </w:tc>
        <w:tc>
          <w:tcPr/>
          <w:p>
            <w:pPr>
              <w:pStyle w:val="Compact"/>
              <w:jc w:val="left"/>
            </w:pPr>
            <w:r>
              <w:t xml:space="preserve">Gemini</w:t>
            </w:r>
          </w:p>
        </w:tc>
      </w:tr>
      <w:tr>
        <w:tc>
          <w:tcPr/>
          <w:p>
            <w:pPr>
              <w:pStyle w:val="Compact"/>
              <w:jc w:val="left"/>
            </w:pPr>
            <w:r>
              <w:rPr>
                <w:rStyle w:val="VerbatimChar"/>
              </w:rPr>
              <w:t xml:space="preserve">paragraph_no</w:t>
            </w:r>
          </w:p>
        </w:tc>
        <w:tc>
          <w:tcPr/>
          <w:p>
            <w:pPr>
              <w:pStyle w:val="Compact"/>
              <w:jc w:val="left"/>
            </w:pPr>
            <w:r>
              <w:t xml:space="preserve">Gemini</w:t>
            </w:r>
          </w:p>
        </w:tc>
      </w:tr>
      <w:tr>
        <w:tc>
          <w:tcPr/>
          <w:p>
            <w:pPr>
              <w:pStyle w:val="Compact"/>
              <w:jc w:val="left"/>
            </w:pPr>
            <w:r>
              <w:rPr>
                <w:rStyle w:val="VerbatimChar"/>
              </w:rPr>
              <w:t xml:space="preserve">law_date</w:t>
            </w:r>
          </w:p>
        </w:tc>
        <w:tc>
          <w:tcPr/>
          <w:p>
            <w:pPr>
              <w:pStyle w:val="Compact"/>
              <w:jc w:val="left"/>
            </w:pPr>
            <w:r>
              <w:t xml:space="preserve">Gemini</w:t>
            </w:r>
          </w:p>
        </w:tc>
      </w:tr>
      <w:tr>
        <w:tc>
          <w:tcPr/>
          <w:p>
            <w:pPr>
              <w:pStyle w:val="Compact"/>
              <w:jc w:val="left"/>
            </w:pPr>
            <w:r>
              <w:rPr>
                <w:rStyle w:val="VerbatimChar"/>
              </w:rPr>
              <w:t xml:space="preserve">legislation_type</w:t>
            </w:r>
          </w:p>
        </w:tc>
        <w:tc>
          <w:tcPr/>
          <w:p>
            <w:pPr>
              <w:pStyle w:val="Compact"/>
              <w:jc w:val="left"/>
            </w:pPr>
            <w:r>
              <w:t xml:space="preserve">Gemini</w:t>
            </w:r>
          </w:p>
        </w:tc>
      </w:tr>
      <w:tr>
        <w:tc>
          <w:tcPr/>
          <w:p>
            <w:pPr>
              <w:pStyle w:val="Compact"/>
              <w:jc w:val="left"/>
            </w:pPr>
            <w:r>
              <w:rPr>
                <w:rStyle w:val="VerbatimChar"/>
              </w:rPr>
              <w:t xml:space="preserve">confidence</w:t>
            </w:r>
          </w:p>
        </w:tc>
        <w:tc>
          <w:tcPr/>
          <w:p>
            <w:pPr>
              <w:pStyle w:val="Compact"/>
              <w:jc w:val="left"/>
            </w:pPr>
            <w:r>
              <w:t xml:space="preserve">Gemini</w:t>
            </w:r>
          </w:p>
        </w:tc>
      </w:tr>
      <w:tr>
        <w:tc>
          <w:tcPr/>
          <w:p>
            <w:pPr>
              <w:pStyle w:val="Compact"/>
              <w:jc w:val="left"/>
            </w:pPr>
            <w:r>
              <w:rPr>
                <w:rStyle w:val="VerbatimChar"/>
              </w:rPr>
              <w:t xml:space="preserve">verbatim_mention</w:t>
            </w:r>
          </w:p>
        </w:tc>
        <w:tc>
          <w:tcPr/>
          <w:p>
            <w:pPr>
              <w:pStyle w:val="Compact"/>
              <w:jc w:val="left"/>
            </w:pPr>
            <w:r>
              <w:t xml:space="preserve">Gemini</w:t>
            </w:r>
          </w:p>
        </w:tc>
      </w:tr>
      <w:tr>
        <w:tc>
          <w:tcPr/>
          <w:p>
            <w:pPr>
              <w:pStyle w:val="Compact"/>
              <w:jc w:val="left"/>
            </w:pPr>
            <w:r>
              <w:rPr>
                <w:rStyle w:val="VerbatimChar"/>
              </w:rPr>
              <w:t xml:space="preserve">canonical_id</w:t>
            </w:r>
          </w:p>
        </w:tc>
        <w:tc>
          <w:tcPr/>
          <w:p>
            <w:pPr>
              <w:pStyle w:val="Compact"/>
              <w:jc w:val="left"/>
            </w:pPr>
            <w:r>
              <w:t xml:space="preserve">Code — fixed formula from</w:t>
            </w:r>
            <w:r>
              <w:t xml:space="preserve"> </w:t>
            </w:r>
            <w:r>
              <w:rPr>
                <w:rStyle w:val="VerbatimChar"/>
              </w:rPr>
              <w:t xml:space="preserve">law_no</w:t>
            </w:r>
            <w:r>
              <w:t xml:space="preserve"> </w:t>
            </w:r>
            <w:r>
              <w:t xml:space="preserve">+</w:t>
            </w:r>
            <w:r>
              <w:t xml:space="preserve"> </w:t>
            </w:r>
            <w:r>
              <w:rPr>
                <w:rStyle w:val="VerbatimChar"/>
              </w:rPr>
              <w:t xml:space="preserve">article_no</w:t>
            </w:r>
            <w:r>
              <w:t xml:space="preserve">, normalised, so two documents citing the same article always produce the identical string</w:t>
            </w:r>
          </w:p>
        </w:tc>
      </w:tr>
    </w:tbl>
    <w:p>
      <w:pPr>
        <w:spacing w:before="0" w:after="0" w:line="120" w:lineRule="exact"/>
      </w:pPr>
    </w:p>
    <w:p>
      <w:pPr>
        <w:pStyle w:val="BodyText"/>
      </w:pPr>
      <w:r>
        <w:t xml:space="preserve">Legislation cross-check: the existing regex extractor still runs on the same raw text, in parallel with Gemini’s extraction. Disagreement between the two is flagged for review, not merged or silently picked either way.</w:t>
      </w:r>
    </w:p>
    <w:bookmarkEnd w:id="64"/>
    <w:bookmarkStart w:id="65" w:name="field-ownership-reasoning_capsule"/>
    <w:p>
      <w:pPr>
        <w:pStyle w:val="Heading2"/>
      </w:pPr>
      <w:r>
        <w:t xml:space="preserve">15.4 Field ownership — reasoning_capsule</w:t>
      </w:r>
    </w:p>
    <w:tbl>
      <w:tblPr>
        <w:tblStyle w:val="Table"/>
        <w:tblW w:type="pct" w:w="5000"/>
        <w:tblLook w:firstRow="1" w:lastRow="0" w:firstColumn="0" w:lastColumn="0" w:noHBand="0" w:noVBand="1" w:val="0420"/>
        <w:jc w:val="start"/>
      </w:tblPr>
      <w:tblGrid>
        <w:gridCol w:w="2917"/>
        <w:gridCol w:w="5002"/>
      </w:tblGrid>
      <w:tr>
        <w:trPr>
          <w:tblHeader w:val="true"/>
        </w:trPr>
        <w:tc>
          <w:tcPr/>
          <w:p>
            <w:pPr>
              <w:pStyle w:val="Compact"/>
              <w:jc w:val="left"/>
            </w:pPr>
            <w:r>
              <w:rPr>
                <w:bCs/>
                <w:b/>
              </w:rPr>
              <w:t xml:space="preserve">Field</w:t>
            </w:r>
          </w:p>
        </w:tc>
        <w:tc>
          <w:tcPr/>
          <w:p>
            <w:pPr>
              <w:pStyle w:val="Compact"/>
              <w:jc w:val="left"/>
            </w:pPr>
            <w:r>
              <w:rPr>
                <w:bCs/>
                <w:b/>
              </w:rPr>
              <w:t xml:space="preserve">Owner</w:t>
            </w:r>
          </w:p>
        </w:tc>
      </w:tr>
      <w:tr>
        <w:tc>
          <w:tcPr/>
          <w:p>
            <w:pPr>
              <w:pStyle w:val="Compact"/>
              <w:jc w:val="left"/>
            </w:pPr>
            <w:r>
              <w:rPr>
                <w:rStyle w:val="VerbatimChar"/>
              </w:rPr>
              <w:t xml:space="preserve">outcome</w:t>
            </w:r>
          </w:p>
        </w:tc>
        <w:tc>
          <w:tcPr/>
          <w:p>
            <w:pPr>
              <w:pStyle w:val="Compact"/>
              <w:jc w:val="left"/>
            </w:pPr>
            <w:r>
              <w:t xml:space="preserve">Gemini</w:t>
            </w:r>
          </w:p>
        </w:tc>
      </w:tr>
      <w:tr>
        <w:tc>
          <w:tcPr/>
          <w:p>
            <w:pPr>
              <w:pStyle w:val="Compact"/>
              <w:jc w:val="left"/>
            </w:pPr>
            <w:r>
              <w:rPr>
                <w:rStyle w:val="VerbatimChar"/>
              </w:rPr>
              <w:t xml:space="preserve">conclusion_sentence</w:t>
            </w:r>
          </w:p>
        </w:tc>
        <w:tc>
          <w:tcPr/>
          <w:p>
            <w:pPr>
              <w:pStyle w:val="Compact"/>
              <w:jc w:val="left"/>
            </w:pPr>
            <w:r>
              <w:t xml:space="preserve">Gemini, in Turkish (6)</w:t>
            </w:r>
          </w:p>
        </w:tc>
      </w:tr>
      <w:tr>
        <w:tc>
          <w:tcPr/>
          <w:p>
            <w:pPr>
              <w:pStyle w:val="Compact"/>
              <w:jc w:val="left"/>
            </w:pPr>
            <w:r>
              <w:rPr>
                <w:rStyle w:val="VerbatimChar"/>
              </w:rPr>
              <w:t xml:space="preserve">reasoning_summary</w:t>
            </w:r>
          </w:p>
        </w:tc>
        <w:tc>
          <w:tcPr/>
          <w:p>
            <w:pPr>
              <w:pStyle w:val="Compact"/>
              <w:jc w:val="left"/>
            </w:pPr>
            <w:r>
              <w:t xml:space="preserve">Gemini, in Turkish</w:t>
            </w:r>
          </w:p>
        </w:tc>
      </w:tr>
      <w:tr>
        <w:tc>
          <w:tcPr/>
          <w:p>
            <w:pPr>
              <w:pStyle w:val="Compact"/>
              <w:jc w:val="left"/>
            </w:pPr>
            <w:r>
              <w:rPr>
                <w:rStyle w:val="VerbatimChar"/>
              </w:rPr>
              <w:t xml:space="preserve">decision_date</w:t>
            </w:r>
          </w:p>
        </w:tc>
        <w:tc>
          <w:tcPr/>
          <w:p>
            <w:pPr>
              <w:pStyle w:val="Compact"/>
              <w:jc w:val="left"/>
            </w:pPr>
            <w:r>
              <w:t xml:space="preserve">Code</w:t>
            </w:r>
          </w:p>
        </w:tc>
      </w:tr>
      <w:tr>
        <w:tc>
          <w:tcPr/>
          <w:p>
            <w:pPr>
              <w:pStyle w:val="Compact"/>
              <w:jc w:val="left"/>
            </w:pPr>
            <w:r>
              <w:rPr>
                <w:rStyle w:val="VerbatimChar"/>
              </w:rPr>
              <w:t xml:space="preserve">opinion_type</w:t>
            </w:r>
          </w:p>
        </w:tc>
        <w:tc>
          <w:tcPr/>
          <w:p>
            <w:pPr>
              <w:pStyle w:val="Compact"/>
              <w:jc w:val="left"/>
            </w:pPr>
            <w:r>
              <w:t xml:space="preserve">Gemini — code cross-checks it matches whether the supporting chunks are dissent-role</w:t>
            </w:r>
          </w:p>
        </w:tc>
      </w:tr>
      <w:tr>
        <w:tc>
          <w:tcPr/>
          <w:p>
            <w:pPr>
              <w:pStyle w:val="Compact"/>
              <w:jc w:val="left"/>
            </w:pPr>
            <w:r>
              <w:rPr>
                <w:rStyle w:val="VerbatimChar"/>
              </w:rPr>
              <w:t xml:space="preserve">supporting_chunk_ids</w:t>
            </w:r>
          </w:p>
        </w:tc>
        <w:tc>
          <w:tcPr/>
          <w:p>
            <w:pPr>
              <w:pStyle w:val="Compact"/>
              <w:jc w:val="left"/>
            </w:pPr>
            <w:r>
              <w:t xml:space="preserve">Gemini decides WHICH segments (via its own local labels); code resolves those labels into real</w:t>
            </w:r>
            <w:r>
              <w:t xml:space="preserve"> </w:t>
            </w:r>
            <w:r>
              <w:rPr>
                <w:rStyle w:val="VerbatimChar"/>
              </w:rPr>
              <w:t xml:space="preserve">chunk_id</w:t>
            </w:r>
            <w:r>
              <w:t xml:space="preserve">s</w:t>
            </w:r>
          </w:p>
        </w:tc>
      </w:tr>
      <w:tr>
        <w:tc>
          <w:tcPr/>
          <w:p>
            <w:pPr>
              <w:pStyle w:val="Compact"/>
              <w:jc w:val="left"/>
            </w:pPr>
            <w:r>
              <w:rPr>
                <w:rStyle w:val="VerbatimChar"/>
              </w:rPr>
              <w:t xml:space="preserve">case_no</w:t>
            </w:r>
          </w:p>
        </w:tc>
        <w:tc>
          <w:tcPr/>
          <w:p>
            <w:pPr>
              <w:pStyle w:val="Compact"/>
              <w:jc w:val="left"/>
            </w:pPr>
            <w:r>
              <w:t xml:space="preserve">Gemini reads/confirms; code cross-checks against metadata</w:t>
            </w:r>
          </w:p>
        </w:tc>
      </w:tr>
      <w:tr>
        <w:tc>
          <w:tcPr/>
          <w:p>
            <w:pPr>
              <w:pStyle w:val="Compact"/>
              <w:jc w:val="left"/>
            </w:pPr>
            <w:r>
              <w:rPr>
                <w:rStyle w:val="VerbatimChar"/>
              </w:rPr>
              <w:t xml:space="preserve">subject_id</w:t>
            </w:r>
          </w:p>
        </w:tc>
        <w:tc>
          <w:tcPr/>
          <w:p>
            <w:pPr>
              <w:pStyle w:val="Compact"/>
              <w:jc w:val="left"/>
            </w:pPr>
            <w:r>
              <w:t xml:space="preserve">Gemini reads/confirms; code cross-checks against the candidate right(s) from metadata</w:t>
            </w:r>
          </w:p>
        </w:tc>
      </w:tr>
      <w:tr>
        <w:tc>
          <w:tcPr/>
          <w:p>
            <w:pPr>
              <w:pStyle w:val="Compact"/>
              <w:jc w:val="left"/>
            </w:pPr>
            <w:r>
              <w:rPr>
                <w:rStyle w:val="VerbatimChar"/>
              </w:rPr>
              <w:t xml:space="preserve">subject_type</w:t>
            </w:r>
          </w:p>
        </w:tc>
        <w:tc>
          <w:tcPr/>
          <w:p>
            <w:pPr>
              <w:pStyle w:val="Compact"/>
              <w:jc w:val="left"/>
            </w:pPr>
            <w:r>
              <w:t xml:space="preserve">Code — fixed category per source (e.g. </w:t>
            </w:r>
            <w:r>
              <w:rPr>
                <w:rStyle w:val="VerbatimChar"/>
              </w:rPr>
              <w:t xml:space="preserve">right</w:t>
            </w:r>
            <w:r>
              <w:t xml:space="preserve"> </w:t>
            </w:r>
            <w:r>
              <w:t xml:space="preserve">for aym), not read from the text</w:t>
            </w:r>
          </w:p>
        </w:tc>
      </w:tr>
      <w:tr>
        <w:tc>
          <w:tcPr/>
          <w:p>
            <w:pPr>
              <w:pStyle w:val="Compact"/>
              <w:jc w:val="left"/>
            </w:pPr>
            <w:r>
              <w:rPr>
                <w:rStyle w:val="VerbatimChar"/>
              </w:rPr>
              <w:t xml:space="preserve">reasoning_summary_method</w:t>
            </w:r>
          </w:p>
        </w:tc>
        <w:tc>
          <w:tcPr/>
          <w:p>
            <w:pPr>
              <w:pStyle w:val="Compact"/>
              <w:jc w:val="left"/>
            </w:pPr>
            <w:r>
              <w:t xml:space="preserve">Code, always — records HOW the summary was produced (e.g. </w:t>
            </w:r>
            <w:r>
              <w:rPr>
                <w:rStyle w:val="VerbatimChar"/>
              </w:rPr>
              <w:t xml:space="preserve">llm_generated</w:t>
            </w:r>
            <w:r>
              <w:t xml:space="preserve">), never the model’s own claim about itself</w:t>
            </w:r>
          </w:p>
        </w:tc>
      </w:tr>
    </w:tbl>
    <w:p>
      <w:pPr>
        <w:spacing w:before="0" w:after="0" w:line="120" w:lineRule="exact"/>
      </w:pPr>
    </w:p>
    <w:p>
      <w:pPr>
        <w:pStyle w:val="BodyText"/>
      </w:pPr>
      <w:r>
        <w:rPr>
          <w:rStyle w:val="VerbatimChar"/>
        </w:rPr>
        <w:t xml:space="preserve">chunk_id</w:t>
      </w:r>
      <w:r>
        <w:t xml:space="preserve">,</w:t>
      </w:r>
      <w:r>
        <w:t xml:space="preserve"> </w:t>
      </w:r>
      <w:r>
        <w:rPr>
          <w:rStyle w:val="VerbatimChar"/>
        </w:rPr>
        <w:t xml:space="preserve">canonical_id</w:t>
      </w:r>
      <w:r>
        <w:t xml:space="preserve"> </w:t>
      </w:r>
      <w:r>
        <w:t xml:space="preserve">and</w:t>
      </w:r>
      <w:r>
        <w:t xml:space="preserve"> </w:t>
      </w:r>
      <w:r>
        <w:rPr>
          <w:rStyle w:val="VerbatimChar"/>
        </w:rPr>
        <w:t xml:space="preserve">decision_date</w:t>
      </w:r>
      <w:r>
        <w:t xml:space="preserve"> </w:t>
      </w:r>
      <w:r>
        <w:t xml:space="preserve">are the fields code owns end to end in the tables above —</w:t>
      </w:r>
      <w:r>
        <w:t xml:space="preserve"> </w:t>
      </w:r>
      <w:r>
        <w:rPr>
          <w:rStyle w:val="VerbatimChar"/>
        </w:rPr>
        <w:t xml:space="preserve">chunk_id</w:t>
      </w:r>
      <w:r>
        <w:t xml:space="preserve"> </w:t>
      </w:r>
      <w:r>
        <w:t xml:space="preserve">and</w:t>
      </w:r>
      <w:r>
        <w:t xml:space="preserve"> </w:t>
      </w:r>
      <w:r>
        <w:rPr>
          <w:rStyle w:val="VerbatimChar"/>
        </w:rPr>
        <w:t xml:space="preserve">canonical_id</w:t>
      </w:r>
      <w:r>
        <w:t xml:space="preserve"> </w:t>
      </w:r>
      <w:r>
        <w:t xml:space="preserve">purely because they must be the byte-identical string across separate API calls describing the same real-world fact,</w:t>
      </w:r>
      <w:r>
        <w:t xml:space="preserve"> </w:t>
      </w:r>
      <w:r>
        <w:rPr>
          <w:rStyle w:val="VerbatimChar"/>
        </w:rPr>
        <w:t xml:space="preserve">decision_date</w:t>
      </w:r>
      <w:r>
        <w:t xml:space="preserve"> </w:t>
      </w:r>
      <w:r>
        <w:t xml:space="preserve">because it is a metadata lookup with a fixed format. That is a consistency guarantee, not a comprehension task. Every other field is Gemini’s, with code running cross-checks rather than re-deciding the value.</w:t>
      </w:r>
    </w:p>
    <w:bookmarkEnd w:id="65"/>
    <w:bookmarkStart w:id="66" w:name="chunk_id-is-a-uuid-from-the-start"/>
    <w:p>
      <w:pPr>
        <w:pStyle w:val="Heading2"/>
      </w:pPr>
      <w:r>
        <w:t xml:space="preserve">15.5 chunk_id is a UUID from the start</w:t>
      </w:r>
    </w:p>
    <w:p>
      <w:pPr>
        <w:pStyle w:val="FirstParagraph"/>
      </w:pPr>
      <w:r>
        <w:rPr>
          <w:rStyle w:val="VerbatimChar"/>
        </w:rPr>
        <w:t xml:space="preserve">chunk_id = uuid.uuid5(doc_id + paragraph_range)</w:t>
      </w:r>
      <w:r>
        <w:t xml:space="preserve"> </w:t>
      </w:r>
      <w:r>
        <w:t xml:space="preserve">— deterministic, never</w:t>
      </w:r>
      <w:r>
        <w:t xml:space="preserve"> </w:t>
      </w:r>
      <w:r>
        <w:rPr>
          <w:rStyle w:val="VerbatimChar"/>
        </w:rPr>
        <w:t xml:space="preserve">uuid4</w:t>
      </w:r>
      <w:r>
        <w:t xml:space="preserve"> </w:t>
      </w:r>
      <w:r>
        <w:t xml:space="preserve">random. Same chunk, same ID, every run. This makes it Qdrant’s native point-ID format immediately (9, 12.4) — no separate translation/mapping step needed. Tradeoff: it is no longer human-readable at a glance, which is what</w:t>
      </w:r>
      <w:r>
        <w:t xml:space="preserve"> </w:t>
      </w:r>
      <w:r>
        <w:rPr>
          <w:rStyle w:val="VerbatimChar"/>
        </w:rPr>
        <w:t xml:space="preserve">chunk_label</w:t>
      </w:r>
      <w:r>
        <w:t xml:space="preserve"> </w:t>
      </w:r>
      <w:r>
        <w:t xml:space="preserve">(15.2) exists to cover.</w:t>
      </w:r>
    </w:p>
    <w:p>
      <w:pPr>
        <w:pStyle w:val="BodyText"/>
      </w:pPr>
      <w:r>
        <w:rPr>
          <w:rStyle w:val="VerbatimChar"/>
        </w:rPr>
        <w:t xml:space="preserve">canonical_id</w:t>
      </w:r>
      <w:r>
        <w:t xml:space="preserve"> </w:t>
      </w:r>
      <w:r>
        <w:t xml:space="preserve">/</w:t>
      </w:r>
      <w:r>
        <w:t xml:space="preserve"> </w:t>
      </w:r>
      <w:r>
        <w:rPr>
          <w:rStyle w:val="VerbatimChar"/>
        </w:rPr>
        <w:t xml:space="preserve">article_key</w:t>
      </w:r>
      <w:r>
        <w:t xml:space="preserve"> </w:t>
      </w:r>
      <w:r>
        <w:t xml:space="preserve">alignment (13.6) was the other ID-format decision to settle at the same time: migrate from</w:t>
      </w:r>
      <w:r>
        <w:t xml:space="preserve"> </w:t>
      </w:r>
      <w:r>
        <w:rPr>
          <w:rStyle w:val="VerbatimChar"/>
        </w:rPr>
        <w:t xml:space="preserve">law-{no}-art-{article}</w:t>
      </w:r>
      <w:r>
        <w:t xml:space="preserve"> </w:t>
      </w:r>
      <w:r>
        <w:t xml:space="preserve">to</w:t>
      </w:r>
      <w:r>
        <w:t xml:space="preserve"> </w:t>
      </w:r>
      <w:r>
        <w:rPr>
          <w:rStyle w:val="VerbatimChar"/>
        </w:rPr>
        <w:t xml:space="preserve">{law_no}/{article}</w:t>
      </w:r>
      <w:r>
        <w:t xml:space="preserve">, normalised, to match the legislation store’s join key. Both are done in the LLM pipeline; the regex pipeline is the remaining side of the migration.</w:t>
      </w:r>
    </w:p>
    <w:bookmarkEnd w:id="66"/>
    <w:bookmarkStart w:id="67" w:name="X8944c8a84debd5a0c8495626299d0ffe52e08fb"/>
    <w:p>
      <w:pPr>
        <w:pStyle w:val="Heading2"/>
      </w:pPr>
      <w:r>
        <w:t xml:space="preserve">15.6 Validation harness (built before any pilot run, not after)</w:t>
      </w:r>
    </w:p>
    <w:p>
      <w:pPr>
        <w:pStyle w:val="FirstParagraph"/>
      </w:pPr>
      <w:r>
        <w:t xml:space="preserve">Since generation is now almost entirely Gemini’s, this is what actually protects the data. Every check below exists because this exact class of mistake was made and caught by hand during this project — an automated harness is what catches it at scale instead of by luck:</w:t>
      </w:r>
    </w:p>
    <w:p>
      <w:pPr>
        <w:numPr>
          <w:ilvl w:val="0"/>
          <w:numId w:val="1010"/>
        </w:numPr>
        <w:pStyle w:val="Compact"/>
      </w:pPr>
      <w:r>
        <w:rPr>
          <w:bCs/>
          <w:b/>
        </w:rPr>
        <w:t xml:space="preserve">Grounding, check 1 — text is built only from real source paragraphs.</w:t>
      </w:r>
      <w:r>
        <w:t xml:space="preserve"> </w:t>
      </w:r>
      <w:r>
        <w:t xml:space="preserve">PASS on all chunks, by construction (14.1).</w:t>
      </w:r>
    </w:p>
    <w:p>
      <w:pPr>
        <w:numPr>
          <w:ilvl w:val="0"/>
          <w:numId w:val="1010"/>
        </w:numPr>
        <w:pStyle w:val="Compact"/>
      </w:pPr>
      <w:r>
        <w:rPr>
          <w:bCs/>
          <w:b/>
        </w:rPr>
        <w:t xml:space="preserve">Grounding, check 2 —</w:t>
      </w:r>
      <w:r>
        <w:rPr>
          <w:bCs/>
          <w:b/>
        </w:rPr>
        <w:t xml:space="preserve"> </w:t>
      </w:r>
      <w:r>
        <w:rPr>
          <w:rStyle w:val="VerbatimChar"/>
          <w:bCs/>
          <w:b/>
        </w:rPr>
        <w:t xml:space="preserve">paragraph_refs</w:t>
      </w:r>
      <w:r>
        <w:rPr>
          <w:bCs/>
          <w:b/>
        </w:rPr>
        <w:t xml:space="preserve"> </w:t>
      </w:r>
      <w:r>
        <w:rPr>
          <w:bCs/>
          <w:b/>
        </w:rPr>
        <w:t xml:space="preserve">have no internal gaps.</w:t>
      </w:r>
      <w:r>
        <w:t xml:space="preserve"> </w:t>
      </w:r>
      <w:r>
        <w:t xml:space="preserve">Currently WARN. This check exists because the model claimed a p30–p34 range but skipped p31 inside it, silently dropping 293 characters of a ruling. The old single</w:t>
      </w:r>
      <w:r>
        <w:t xml:space="preserve"> </w:t>
      </w:r>
      <w:r>
        <w:t xml:space="preserve">“</w:t>
      </w:r>
      <w:r>
        <w:t xml:space="preserve">must be a substring of the source</w:t>
      </w:r>
      <w:r>
        <w:t xml:space="preserve">”</w:t>
      </w:r>
      <w:r>
        <w:t xml:space="preserve"> </w:t>
      </w:r>
      <w:r>
        <w:t xml:space="preserve">wording could not tell that case apart from invented text, which is why the check is now split in two.</w:t>
      </w:r>
    </w:p>
    <w:p>
      <w:pPr>
        <w:numPr>
          <w:ilvl w:val="0"/>
          <w:numId w:val="1010"/>
        </w:numPr>
        <w:pStyle w:val="Compact"/>
      </w:pPr>
      <w:r>
        <w:t xml:space="preserve">Every</w:t>
      </w:r>
      <w:r>
        <w:t xml:space="preserve"> </w:t>
      </w:r>
      <w:r>
        <w:rPr>
          <w:rStyle w:val="VerbatimChar"/>
        </w:rPr>
        <w:t xml:space="preserve">verbatim_mention</w:t>
      </w:r>
      <w:r>
        <w:t xml:space="preserve"> </w:t>
      </w:r>
      <w:r>
        <w:t xml:space="preserve">must be an actual substring of the raw source document.</w:t>
      </w:r>
    </w:p>
    <w:p>
      <w:pPr>
        <w:numPr>
          <w:ilvl w:val="0"/>
          <w:numId w:val="1010"/>
        </w:numPr>
        <w:pStyle w:val="Compact"/>
      </w:pPr>
      <w:r>
        <w:t xml:space="preserve">Every local-label reference in</w:t>
      </w:r>
      <w:r>
        <w:t xml:space="preserve"> </w:t>
      </w:r>
      <w:r>
        <w:rPr>
          <w:rStyle w:val="VerbatimChar"/>
        </w:rPr>
        <w:t xml:space="preserve">supporting_chunk_ids</w:t>
      </w:r>
      <w:r>
        <w:t xml:space="preserve"> </w:t>
      </w:r>
      <w:r>
        <w:t xml:space="preserve">must resolve to a segment that actually exists in that same response.</w:t>
      </w:r>
    </w:p>
    <w:p>
      <w:pPr>
        <w:numPr>
          <w:ilvl w:val="0"/>
          <w:numId w:val="1010"/>
        </w:numPr>
        <w:pStyle w:val="Compact"/>
      </w:pPr>
      <w:r>
        <w:rPr>
          <w:rStyle w:val="VerbatimChar"/>
        </w:rPr>
        <w:t xml:space="preserve">outcome</w:t>
      </w:r>
      <w:r>
        <w:t xml:space="preserve"> </w:t>
      </w:r>
      <w:r>
        <w:t xml:space="preserve">cross-checked against the formulaic ruling pattern (İHLAL EDİLDİĞİNE, REDDİNE, ONANMASINA) in the conclusion chunk’s own text — flagged on disagreement, never silently resolved either way.</w:t>
      </w:r>
    </w:p>
    <w:p>
      <w:pPr>
        <w:numPr>
          <w:ilvl w:val="0"/>
          <w:numId w:val="1010"/>
        </w:numPr>
        <w:pStyle w:val="Compact"/>
      </w:pPr>
      <w:r>
        <w:rPr>
          <w:rStyle w:val="VerbatimChar"/>
        </w:rPr>
        <w:t xml:space="preserve">content_type</w:t>
      </w:r>
      <w:r>
        <w:t xml:space="preserve"> </w:t>
      </w:r>
      <w:r>
        <w:t xml:space="preserve">/</w:t>
      </w:r>
      <w:r>
        <w:t xml:space="preserve"> </w:t>
      </w:r>
      <w:r>
        <w:rPr>
          <w:rStyle w:val="VerbatimChar"/>
        </w:rPr>
        <w:t xml:space="preserve">reasoning_stage</w:t>
      </w:r>
      <w:r>
        <w:t xml:space="preserve"> </w:t>
      </w:r>
      <w:r>
        <w:t xml:space="preserve">checked for internal consistency against role.</w:t>
      </w:r>
    </w:p>
    <w:p>
      <w:pPr>
        <w:numPr>
          <w:ilvl w:val="0"/>
          <w:numId w:val="1010"/>
        </w:numPr>
        <w:pStyle w:val="Compact"/>
      </w:pPr>
      <w:r>
        <w:rPr>
          <w:rStyle w:val="VerbatimChar"/>
        </w:rPr>
        <w:t xml:space="preserve">opinion_type</w:t>
      </w:r>
      <w:r>
        <w:t xml:space="preserve"> </w:t>
      </w:r>
      <w:r>
        <w:t xml:space="preserve">checked against whether its supporting chunks are dissent-role.</w:t>
      </w:r>
    </w:p>
    <w:p>
      <w:pPr>
        <w:numPr>
          <w:ilvl w:val="0"/>
          <w:numId w:val="1010"/>
        </w:numPr>
        <w:pStyle w:val="Compact"/>
      </w:pPr>
      <w:r>
        <w:rPr>
          <w:rStyle w:val="VerbatimChar"/>
        </w:rPr>
        <w:t xml:space="preserve">case_no</w:t>
      </w:r>
      <w:r>
        <w:t xml:space="preserve"> </w:t>
      </w:r>
      <w:r>
        <w:t xml:space="preserve">/</w:t>
      </w:r>
      <w:r>
        <w:t xml:space="preserve"> </w:t>
      </w:r>
      <w:r>
        <w:rPr>
          <w:rStyle w:val="VerbatimChar"/>
        </w:rPr>
        <w:t xml:space="preserve">source_type</w:t>
      </w:r>
      <w:r>
        <w:t xml:space="preserve"> </w:t>
      </w:r>
      <w:r>
        <w:t xml:space="preserve">/</w:t>
      </w:r>
      <w:r>
        <w:t xml:space="preserve"> </w:t>
      </w:r>
      <w:r>
        <w:rPr>
          <w:rStyle w:val="VerbatimChar"/>
        </w:rPr>
        <w:t xml:space="preserve">subject_id</w:t>
      </w:r>
      <w:r>
        <w:t xml:space="preserve"> </w:t>
      </w:r>
      <w:r>
        <w:t xml:space="preserve">cross-checked against the metadata already on file.</w:t>
      </w:r>
    </w:p>
    <w:p>
      <w:pPr>
        <w:numPr>
          <w:ilvl w:val="0"/>
          <w:numId w:val="1010"/>
        </w:numPr>
        <w:pStyle w:val="Compact"/>
      </w:pPr>
      <w:r>
        <w:rPr>
          <w:rStyle w:val="VerbatimChar"/>
        </w:rPr>
        <w:t xml:space="preserve">confidence</w:t>
      </w:r>
      <w:r>
        <w:t xml:space="preserve"> </w:t>
      </w:r>
      <w:r>
        <w:t xml:space="preserve">checked for contradiction (e.g. </w:t>
      </w:r>
      <w:r>
        <w:rPr>
          <w:rStyle w:val="VerbatimChar"/>
        </w:rPr>
        <w:t xml:space="preserve">article_no</w:t>
      </w:r>
      <w:r>
        <w:t xml:space="preserve"> </w:t>
      </w:r>
      <w:r>
        <w:t xml:space="preserve">present but confidence flagged low).</w:t>
      </w:r>
    </w:p>
    <w:p>
      <w:pPr>
        <w:numPr>
          <w:ilvl w:val="0"/>
          <w:numId w:val="1010"/>
        </w:numPr>
        <w:pStyle w:val="Compact"/>
      </w:pPr>
      <w:r>
        <w:rPr>
          <w:rStyle w:val="VerbatimChar"/>
        </w:rPr>
        <w:t xml:space="preserve">reasoning_summary</w:t>
      </w:r>
      <w:r>
        <w:t xml:space="preserve"> </w:t>
      </w:r>
      <w:r>
        <w:t xml:space="preserve">and</w:t>
      </w:r>
      <w:r>
        <w:t xml:space="preserve"> </w:t>
      </w:r>
      <w:r>
        <w:rPr>
          <w:rStyle w:val="VerbatimChar"/>
        </w:rPr>
        <w:t xml:space="preserve">conclusion_sentence</w:t>
      </w:r>
      <w:r>
        <w:t xml:space="preserve"> </w:t>
      </w:r>
      <w:r>
        <w:t xml:space="preserve">checked for correct language (Turkish) — this exact mistake happened once already in this project, caught only by testing, not by eye.</w:t>
      </w:r>
    </w:p>
    <w:p>
      <w:pPr>
        <w:numPr>
          <w:ilvl w:val="0"/>
          <w:numId w:val="1010"/>
        </w:numPr>
        <w:pStyle w:val="Compact"/>
      </w:pPr>
      <w:r>
        <w:t xml:space="preserve">Schema conformance, and</w:t>
      </w:r>
      <w:r>
        <w:t xml:space="preserve"> </w:t>
      </w:r>
      <w:r>
        <w:rPr>
          <w:rStyle w:val="VerbatimChar"/>
        </w:rPr>
        <w:t xml:space="preserve">chunk_id</w:t>
      </w:r>
      <w:r>
        <w:t xml:space="preserve"> </w:t>
      </w:r>
      <w:r>
        <w:t xml:space="preserve">uniqueness corpus-wide.</w:t>
      </w:r>
    </w:p>
    <w:p>
      <w:pPr>
        <w:pStyle w:val="FirstParagraph"/>
      </w:pPr>
      <w:r>
        <w:t xml:space="preserve">Anything that fails a check is flagged for human review — never silently shipped.</w:t>
      </w:r>
    </w:p>
    <w:bookmarkEnd w:id="67"/>
    <w:bookmarkStart w:id="68" w:name="rollout"/>
    <w:p>
      <w:pPr>
        <w:pStyle w:val="Heading2"/>
      </w:pPr>
      <w:r>
        <w:t xml:space="preserve">15.7 Rollout</w:t>
      </w:r>
    </w:p>
    <w:p>
      <w:pPr>
        <w:pStyle w:val="FirstParagraph"/>
      </w:pPr>
      <w:r>
        <w:t xml:space="preserve">The pilot ran on</w:t>
      </w:r>
      <w:r>
        <w:t xml:space="preserve"> </w:t>
      </w:r>
      <w:r>
        <w:rPr>
          <w:bCs/>
          <w:b/>
        </w:rPr>
        <w:t xml:space="preserve">10 documents, 2 per source</w:t>
      </w:r>
      <w:r>
        <w:t xml:space="preserve">, disjoint from the 5 gold documents with known-correct ground truth. (The original plan said 5; recording what actually happened.) Validation ran on all 10, and</w:t>
      </w:r>
      <w:r>
        <w:t xml:space="preserve"> </w:t>
      </w:r>
      <w:r>
        <w:rPr>
          <w:rStyle w:val="VerbatimChar"/>
        </w:rPr>
        <w:t xml:space="preserve">test_retrieval.py</w:t>
      </w:r>
      <w:r>
        <w:t xml:space="preserve"> </w:t>
      </w:r>
      <w:r>
        <w:t xml:space="preserve">was run a third way — Gemini output instead of the hand-chunked JSON — for a direct comparison against both the regex pipeline and the hand-verified gold version, on the same honest queries.</w:t>
      </w:r>
    </w:p>
    <w:p>
      <w:pPr>
        <w:pStyle w:val="BodyText"/>
      </w:pPr>
      <w:r>
        <w:t xml:space="preserve">Then a 20–30 doc/source sample, checking the validation harness’s pass rate at that scale, since failure modes at a handful of documents will not all show up there.</w:t>
      </w:r>
    </w:p>
    <w:p>
      <w:pPr>
        <w:pStyle w:val="BodyText"/>
      </w:pPr>
      <w:r>
        <w:t xml:space="preserve">Then the full corpus. Anything failing validation is flagged for review, not silently shipped. The regex pipeline keeps running permanently as a cross-check, not a throwaway — large LLM-vs-regex disagreement on a document is itself a useful review signal, and danistay’s 59 template-detection failures plus the real outcome-</w:t>
      </w:r>
      <w:r>
        <w:rPr>
          <w:rStyle w:val="VerbatimChar"/>
        </w:rPr>
        <w:t xml:space="preserve">unspecified</w:t>
      </w:r>
      <w:r>
        <w:t xml:space="preserve"> </w:t>
      </w:r>
      <w:r>
        <w:t xml:space="preserve">rate (first_degree, kvkk) are concrete benchmarks for whether the LLM pipeline is actually doing better, not just different.</w:t>
      </w:r>
    </w:p>
    <w:bookmarkEnd w:id="68"/>
    <w:bookmarkStart w:id="69" w:name="what-the-pilot-found"/>
    <w:p>
      <w:pPr>
        <w:pStyle w:val="Heading2"/>
      </w:pPr>
      <w:r>
        <w:t xml:space="preserve">15.8 What the pilot found</w:t>
      </w:r>
    </w:p>
    <w:p>
      <w:pPr>
        <w:pStyle w:val="FirstParagraph"/>
      </w:pPr>
      <w:r>
        <w:t xml:space="preserve">Every row below is a real failure observed during the 11–14 September pilot, with the fix that is now in the pipeline.</w:t>
      </w:r>
    </w:p>
    <w:tbl>
      <w:tblPr>
        <w:tblStyle w:val="Table"/>
        <w:tblW w:type="pct" w:w="5000"/>
        <w:tblLook w:firstRow="1" w:lastRow="0" w:firstColumn="0" w:lastColumn="0" w:noHBand="0" w:noVBand="1" w:val="0420"/>
        <w:jc w:val="start"/>
      </w:tblPr>
      <w:tblGrid>
        <w:gridCol w:w="2238"/>
        <w:gridCol w:w="3013"/>
        <w:gridCol w:w="2668"/>
      </w:tblGrid>
      <w:tr>
        <w:trPr>
          <w:tblHeader w:val="true"/>
        </w:trPr>
        <w:tc>
          <w:tcPr/>
          <w:p>
            <w:pPr>
              <w:pStyle w:val="Compact"/>
              <w:jc w:val="left"/>
            </w:pPr>
            <w:r>
              <w:rPr>
                <w:bCs/>
                <w:b/>
              </w:rPr>
              <w:t xml:space="preserve">Failure mode</w:t>
            </w:r>
          </w:p>
        </w:tc>
        <w:tc>
          <w:tcPr/>
          <w:p>
            <w:pPr>
              <w:pStyle w:val="Compact"/>
              <w:jc w:val="left"/>
            </w:pPr>
            <w:r>
              <w:rPr>
                <w:bCs/>
                <w:b/>
              </w:rPr>
              <w:t xml:space="preserve">What happened</w:t>
            </w:r>
          </w:p>
        </w:tc>
        <w:tc>
          <w:tcPr/>
          <w:p>
            <w:pPr>
              <w:pStyle w:val="Compact"/>
              <w:jc w:val="left"/>
            </w:pPr>
            <w:r>
              <w:rPr>
                <w:bCs/>
                <w:b/>
              </w:rPr>
              <w:t xml:space="preserve">Fix</w:t>
            </w:r>
          </w:p>
        </w:tc>
      </w:tr>
      <w:tr>
        <w:tc>
          <w:tcPr/>
          <w:p>
            <w:pPr>
              <w:pStyle w:val="Compact"/>
              <w:jc w:val="left"/>
            </w:pPr>
            <w:r>
              <w:t xml:space="preserve">Optional schema fields get omitted</w:t>
            </w:r>
          </w:p>
        </w:tc>
        <w:tc>
          <w:tcPr/>
          <w:p>
            <w:pPr>
              <w:pStyle w:val="Compact"/>
              <w:jc w:val="left"/>
            </w:pPr>
            <w:r>
              <w:rPr>
                <w:rStyle w:val="VerbatimChar"/>
              </w:rPr>
              <w:t xml:space="preserve">role</w:t>
            </w:r>
            <w:r>
              <w:t xml:space="preserve"> </w:t>
            </w:r>
            <w:r>
              <w:t xml:space="preserve">came back null on 46 of 117 chunks — including all 38 bam chunks</w:t>
            </w:r>
          </w:p>
        </w:tc>
        <w:tc>
          <w:tcPr/>
          <w:p>
            <w:pPr>
              <w:pStyle w:val="Compact"/>
              <w:jc w:val="left"/>
            </w:pPr>
            <w:r>
              <w:t xml:space="preserve">Field made required, with a per-source enum. Result: 0 nulls.</w:t>
            </w:r>
          </w:p>
        </w:tc>
      </w:tr>
      <w:tr>
        <w:tc>
          <w:tcPr/>
          <w:p>
            <w:pPr>
              <w:pStyle w:val="Compact"/>
              <w:jc w:val="left"/>
            </w:pPr>
            <w:r>
              <w:t xml:space="preserve">Invented enum value</w:t>
            </w:r>
          </w:p>
        </w:tc>
        <w:tc>
          <w:tcPr/>
          <w:p>
            <w:pPr>
              <w:pStyle w:val="Compact"/>
              <w:jc w:val="left"/>
            </w:pPr>
            <w:r>
              <w:rPr>
                <w:rStyle w:val="VerbatimChar"/>
              </w:rPr>
              <w:t xml:space="preserve">reasoning_stage: "dissent"</w:t>
            </w:r>
            <w:r>
              <w:t xml:space="preserve"> </w:t>
            </w:r>
            <w:r>
              <w:t xml:space="preserve">— a value that does not exist in the vocabulary</w:t>
            </w:r>
          </w:p>
        </w:tc>
        <w:tc>
          <w:tcPr/>
          <w:p>
            <w:pPr>
              <w:pStyle w:val="Compact"/>
              <w:jc w:val="left"/>
            </w:pPr>
            <w:r>
              <w:rPr>
                <w:rStyle w:val="VerbatimChar"/>
              </w:rPr>
              <w:t xml:space="preserve">Literal</w:t>
            </w:r>
            <w:r>
              <w:t xml:space="preserve"> </w:t>
            </w:r>
            <w:r>
              <w:t xml:space="preserve">enum in the schema, so the model cannot return a value outside the list.</w:t>
            </w:r>
          </w:p>
        </w:tc>
      </w:tr>
      <w:tr>
        <w:tc>
          <w:tcPr/>
          <w:p>
            <w:pPr>
              <w:pStyle w:val="Compact"/>
              <w:jc w:val="left"/>
            </w:pPr>
            <w:r>
              <w:t xml:space="preserve">Repetition loop</w:t>
            </w:r>
          </w:p>
        </w:tc>
        <w:tc>
          <w:tcPr/>
          <w:p>
            <w:pPr>
              <w:pStyle w:val="Compact"/>
              <w:jc w:val="left"/>
            </w:pPr>
            <w:r>
              <w:t xml:space="preserve">561 identical citations emitted until the output was truncated</w:t>
            </w:r>
          </w:p>
        </w:tc>
        <w:tc>
          <w:tcPr/>
          <w:p>
            <w:pPr>
              <w:pStyle w:val="Compact"/>
              <w:jc w:val="left"/>
            </w:pPr>
            <w:r>
              <w:t>Identical citations deduped in code, and the prompt caps each provision at once per segment. finish_reason is now captured, so truncation is reported as truncation rather than as a JSON parse error.</w:t>
            </w:r>
          </w:p>
        </w:tc>
      </w:tr>
      <w:tr>
        <w:tc>
          <w:tcPr/>
          <w:p>
            <w:pPr>
              <w:pStyle w:val="Compact"/>
              <w:jc w:val="left"/>
            </w:pPr>
            <w:r>
              <w:t xml:space="preserve">Retry was a no-op</w:t>
            </w:r>
          </w:p>
        </w:tc>
        <w:tc>
          <w:tcPr/>
          <w:p>
            <w:pPr>
              <w:pStyle w:val="Compact"/>
              <w:jc w:val="left"/>
            </w:pPr>
            <w:r>
              <w:t xml:space="preserve">“</w:t>
            </w:r>
            <w:r>
              <w:t xml:space="preserve">Retry once at temperature 0</w:t>
            </w:r>
            <w:r>
              <w:t xml:space="preserve">”</w:t>
            </w:r>
            <w:r>
              <w:t xml:space="preserve"> </w:t>
            </w:r>
            <w:r>
              <w:t xml:space="preserve">re-sends an identical request and gets an identical answer</w:t>
            </w:r>
          </w:p>
        </w:tc>
        <w:tc>
          <w:tcPr/>
          <w:p>
            <w:pPr>
              <w:pStyle w:val="Compact"/>
              <w:jc w:val="left"/>
            </w:pPr>
            <w:r>
              <w:t xml:space="preserve">Retry now perturbs the request and records non-reproducibility rather than hiding it.</w:t>
            </w:r>
          </w:p>
        </w:tc>
      </w:tr>
      <w:tr>
        <w:tc>
          <w:tcPr/>
          <w:p>
            <w:pPr>
              <w:pStyle w:val="Compact"/>
              <w:jc w:val="left"/>
            </w:pPr>
            <w:r>
              <w:t xml:space="preserve">Failed run destroyed good output</w:t>
            </w:r>
          </w:p>
        </w:tc>
        <w:tc>
          <w:tcPr/>
          <w:p>
            <w:pPr>
              <w:pStyle w:val="Compact"/>
              <w:jc w:val="left"/>
            </w:pPr>
            <w:r>
              <w:t xml:space="preserve">A failed run overwrote a good output file with 0 chunks</w:t>
            </w:r>
          </w:p>
        </w:tc>
        <w:tc>
          <w:tcPr/>
          <w:p>
            <w:pPr>
              <w:pStyle w:val="Compact"/>
              <w:jc w:val="left"/>
            </w:pPr>
            <w:r>
              <w:t xml:space="preserve">An empty result now keeps the previous file.</w:t>
            </w:r>
          </w:p>
        </w:tc>
      </w:tr>
      <w:tr>
        <w:tc>
          <w:tcPr/>
          <w:p>
            <w:pPr>
              <w:pStyle w:val="Compact"/>
              <w:jc w:val="left"/>
            </w:pPr>
            <w:r>
              <w:t xml:space="preserve">Dotted-i in model labels</w:t>
            </w:r>
          </w:p>
        </w:tc>
        <w:tc>
          <w:tcPr/>
          <w:p>
            <w:pPr>
              <w:pStyle w:val="Compact"/>
              <w:jc w:val="left"/>
            </w:pPr>
            <w:r>
              <w:t xml:space="preserve">The model’s own labels carry</w:t>
            </w:r>
            <w:r>
              <w:t xml:space="preserve"> </w:t>
            </w:r>
            <w:r>
              <w:rPr>
                <w:rStyle w:val="VerbatimChar"/>
              </w:rPr>
              <w:t xml:space="preserve">İ</w:t>
            </w:r>
            <w:r>
              <w:t xml:space="preserve"> </w:t>
            </w:r>
            <w:r>
              <w:t xml:space="preserve">as</w:t>
            </w:r>
            <w:r>
              <w:t xml:space="preserve"> </w:t>
            </w:r>
            <w:r>
              <w:rPr>
                <w:rStyle w:val="VerbatimChar"/>
              </w:rPr>
              <w:t xml:space="preserve">i</w:t>
            </w:r>
            <w:r>
              <w:t xml:space="preserve"> </w:t>
            </w:r>
            <w:r>
              <w:t xml:space="preserve">+ U+0307</w:t>
            </w:r>
          </w:p>
        </w:tc>
        <w:tc>
          <w:tcPr/>
          <w:p>
            <w:pPr>
              <w:pStyle w:val="Compact"/>
              <w:jc w:val="left"/>
            </w:pPr>
            <w:r>
              <w:t xml:space="preserve">Strip U+0307 only. A full NFD strip would destroy</w:t>
            </w:r>
            <w:r>
              <w:t xml:space="preserve"> </w:t>
            </w:r>
            <w:r>
              <w:rPr>
                <w:rStyle w:val="VerbatimChar"/>
              </w:rPr>
              <w:t xml:space="preserve">ş</w:t>
            </w:r>
            <w:r>
              <w:t xml:space="preserve"> </w:t>
            </w:r>
            <w:r>
              <w:t xml:space="preserve">(see 12.2).</w:t>
            </w:r>
          </w:p>
        </w:tc>
      </w:tr>
      <w:tr>
        <w:tc>
          <w:tcPr/>
          <w:p>
            <w:pPr>
              <w:pStyle w:val="Compact"/>
              <w:jc w:val="left"/>
            </w:pPr>
            <w:r>
              <w:t xml:space="preserve">Redacted case numbers</w:t>
            </w:r>
          </w:p>
        </w:tc>
        <w:tc>
          <w:tcPr/>
          <w:p>
            <w:pPr>
              <w:pStyle w:val="Compact"/>
              <w:jc w:val="left"/>
            </w:pPr>
            <w:r>
              <w:t xml:space="preserve">Source reads</w:t>
            </w:r>
            <w:r>
              <w:t xml:space="preserve"> </w:t>
            </w:r>
            <w:r>
              <w:rPr>
                <w:rStyle w:val="VerbatimChar"/>
              </w:rPr>
              <w:t xml:space="preserve">DOSYA NO : ...</w:t>
            </w:r>
            <w:r>
              <w:t xml:space="preserve"> </w:t>
            </w:r>
            <w:r>
              <w:t xml:space="preserve">and the redaction itself was reported as the value</w:t>
            </w:r>
          </w:p>
        </w:tc>
        <w:tc>
          <w:tcPr/>
          <w:p>
            <w:pPr>
              <w:pStyle w:val="Compact"/>
              <w:jc w:val="left"/>
            </w:pPr>
            <w:r>
              <w:t xml:space="preserve">Split</w:t>
            </w:r>
            <w:r>
              <w:t xml:space="preserve"> </w:t>
            </w:r>
            <w:r>
              <w:rPr>
                <w:rStyle w:val="VerbatimChar"/>
              </w:rPr>
              <w:t xml:space="preserve">case_no_unreadable_in_source</w:t>
            </w:r>
            <w:r>
              <w:t xml:space="preserve"> </w:t>
            </w:r>
            <w:r>
              <w:t xml:space="preserve">from genuine</w:t>
            </w:r>
            <w:r>
              <w:t xml:space="preserve"> </w:t>
            </w:r>
            <w:r>
              <w:rPr>
                <w:rStyle w:val="VerbatimChar"/>
              </w:rPr>
              <w:t xml:space="preserve">case_no_mismatch</w:t>
            </w:r>
            <w:r>
              <w:t xml:space="preserve">.</w:t>
            </w:r>
          </w:p>
        </w:tc>
      </w:tr>
      <w:tr>
        <w:tc>
          <w:tcPr/>
          <w:p>
            <w:pPr>
              <w:pStyle w:val="Compact"/>
              <w:jc w:val="left"/>
            </w:pPr>
            <w:r>
              <w:t xml:space="preserve">Determinism</w:t>
            </w:r>
          </w:p>
        </w:tc>
        <w:tc>
          <w:tcPr/>
          <w:p>
            <w:pPr>
              <w:pStyle w:val="Compact"/>
              <w:jc w:val="left"/>
            </w:pPr>
            <w:r>
              <w:t xml:space="preserve">Byte-identical output for an unchanged prompt, but this is not a provider guarantee — and every prompt edit re-segments the corpus</w:t>
            </w:r>
          </w:p>
        </w:tc>
        <w:tc>
          <w:tcPr/>
          <w:p>
            <w:pPr>
              <w:pStyle w:val="Compact"/>
              <w:jc w:val="left"/>
            </w:pPr>
            <w:r>
              <w:t>Accepted as a property, not fixed: output is byte-identical for an unchanged prompt, and any prompt edit is treated as a re-segmentation event. Prompt-version recording is NOT implemented.</w:t>
            </w:r>
          </w:p>
        </w:tc>
      </w:tr>
      <w:tr>
        <w:tc>
          <w:tcPr/>
          <w:p>
            <w:pPr>
              <w:pStyle w:val="Compact"/>
              <w:jc w:val="left"/>
            </w:pPr>
            <w:r>
              <w:t>Status vocabulary mismatch</w:t>
            </w:r>
          </w:p>
        </w:tc>
        <w:tc>
          <w:tcPr/>
          <w:p>
            <w:pPr>
              <w:pStyle w:val="Compact"/>
              <w:jc w:val="left"/>
            </w:pPr>
            <w:r>
              <w:t>The scraper writes status 'fetched'; the SQL export writes 'completed'. The filter accepted only 'fetched', so all 45 exported yargitay rows were skipped — zero documents, no error, no clue why.</w:t>
            </w:r>
          </w:p>
        </w:tc>
        <w:tc>
          <w:tcPr/>
          <w:p>
            <w:pPr>
              <w:pStyle w:val="Compact"/>
              <w:jc w:val="left"/>
            </w:pPr>
            <w:r>
              <w:t>Accept both. A silent skip is worse than a crash: nothing in the output says a source was dropped.</w:t>
            </w:r>
          </w:p>
        </w:tc>
      </w:tr>
      <w:tr>
        <w:tc>
          <w:tcPr/>
          <w:p>
            <w:pPr>
              <w:pStyle w:val="Compact"/>
              <w:jc w:val="left"/>
            </w:pPr>
            <w:r>
              <w:t>Silent null from a date parse</w:t>
            </w:r>
          </w:p>
        </w:tc>
        <w:tc>
          <w:tcPr/>
          <w:p>
            <w:pPr>
              <w:pStyle w:val="Compact"/>
              <w:jc w:val="left"/>
            </w:pPr>
            <w:r>
              <w:t>Widening the ruling-date pattern to accept dot separators made it match text the ISO converter could not parse (it split on '/' only). The converter returned None and the loop returned that as the date — no value AND no flag.</w:t>
            </w:r>
          </w:p>
        </w:tc>
        <w:tc>
          <w:tcPr/>
          <w:p>
            <w:pPr>
              <w:pStyle w:val="Compact"/>
              <w:jc w:val="left"/>
            </w:pPr>
            <w:r>
              <w:t>Normalise the separator before converting, and keep scanning on a failed parse instead of giving up on the first match.</w:t>
            </w:r>
          </w:p>
        </w:tc>
      </w:tr>
      <w:tr>
        <w:tc>
          <w:tcPr/>
          <w:p>
            <w:pPr>
              <w:pStyle w:val="Compact"/>
              <w:jc w:val="left"/>
            </w:pPr>
            <w:r>
              <w:t>Long documents exceed the output budget</w:t>
            </w:r>
          </w:p>
        </w:tc>
        <w:tc>
          <w:tcPr/>
          <w:p>
            <w:pPr>
              <w:pStyle w:val="Compact"/>
              <w:jc w:val="left"/>
            </w:pPr>
            <w:r>
              <w:t>aym 0ddd6b3c (184,377 chars, 559 paragraphs) failed with max_output_tokens_truncated on both attempts, each stopping exactly at the 32,768 cap — half the model's 65,536 budget was unused.</w:t>
            </w:r>
          </w:p>
        </w:tc>
        <w:tc>
          <w:tcPr/>
          <w:p>
            <w:pPr>
              <w:pStyle w:val="Compact"/>
              <w:jc w:val="left"/>
            </w:pPr>
            <w:r>
              <w:t>Cap raised to 65,536, plus a pre-flight size estimate that refuses an over-budget document up front instead of paying twice to discover it. 1 of 1,037 corpus documents is refused; 29 sit in the at-risk band.</w:t>
            </w:r>
          </w:p>
        </w:tc>
      </w:tr>
      <w:tr>
        <w:tc>
          <w:tcPr/>
          <w:p>
            <w:pPr>
              <w:pStyle w:val="Compact"/>
              <w:jc w:val="left"/>
            </w:pPr>
            <w:r>
              <w:t>An export that looked valid and carried no text</w:t>
            </w:r>
          </w:p>
        </w:tc>
        <w:tc>
          <w:tcPr/>
          <w:p>
            <w:pPr>
              <w:pStyle w:val="Compact"/>
              <w:jc w:val="left"/>
            </w:pPr>
            <w:r>
              <w:t>Two SQL exports (rekabet, uyusmazlik) returned 50 well-formed rows each, full 26-column schema, complete metadata — and content_text empty on every one. The query omitted the status filter the yargitay export had, so it drew pending_extraction rows. Checking the database showed the problem was not the query: all 10,367 rekabet rows are unextracted.</w:t>
            </w:r>
          </w:p>
        </w:tc>
        <w:tc>
          <w:tcPr/>
          <w:p>
            <w:pPr>
              <w:pStyle w:val="Compact"/>
              <w:jc w:val="left"/>
            </w:pPr>
            <w:r>
              <w:t>Row counts are now reported as 'N of M have text', never as 'M rows'. convert_export.py prints the text count on every conversion and says so explicitly when it is zero.</w:t>
            </w:r>
          </w:p>
        </w:tc>
      </w:tr>
      <w:tr>
        <w:tc>
          <w:tcPr/>
          <w:p>
            <w:pPr>
              <w:pStyle w:val="Compact"/>
              <w:jc w:val="left"/>
            </w:pPr>
            <w:r>
              <w:t>content_text is "", not NULL</w:t>
            </w:r>
          </w:p>
        </w:tc>
        <w:tc>
          <w:tcPr/>
          <w:p>
            <w:pPr>
              <w:pStyle w:val="Compact"/>
              <w:jc w:val="left"/>
            </w:pPr>
            <w:r>
              <w:t>The obvious repair — filtering the export on `content_text is not null` — returns every empty row unchanged, because the column holds an empty string rather than NULL. A second export would have looked like a fix and changed nothing.</w:t>
            </w:r>
          </w:p>
        </w:tc>
        <w:tc>
          <w:tcPr/>
          <w:p>
            <w:pPr>
              <w:pStyle w:val="Compact"/>
              <w:jc w:val="left"/>
            </w:pPr>
            <w:r>
              <w:t>Filter on `content_text &lt;&gt; ''`. data/ keeps the raw "" so it stays a faithful copy of the database; the distinction is handled in the pipeline, where text_field=None marks a source whose text column is not yet known.</w:t>
            </w:r>
          </w:p>
        </w:tc>
      </w:tr>
      <w:tr>
        <w:tc>
          <w:tcPr/>
          <w:p>
            <w:pPr>
              <w:pStyle w:val="Compact"/>
              <w:jc w:val="left"/>
            </w:pPr>
            <w:r>
              <w:t>A registered source with no data skipping in silence</w:t>
            </w:r>
          </w:p>
        </w:tc>
        <w:tc>
          <w:tcPr/>
          <w:p>
            <w:pPr>
              <w:pStyle w:val="Compact"/>
              <w:jc w:val="left"/>
            </w:pPr>
            <w:r>
              <w:t>Once rekabet was registered, pick_documents returned zero documents and the run printed an ordinary skip line. This is the same shape as the status='completed' mismatch that hid 45 yargitay documents for a whole round: no error, no clue.</w:t>
            </w:r>
          </w:p>
        </w:tc>
        <w:tc>
          <w:tcPr/>
          <w:p>
            <w:pPr>
              <w:pStyle w:val="Compact"/>
              <w:jc w:val="left"/>
            </w:pPr>
            <w:r>
              <w:t>run() refuses any source in TEXT_PENDING_SOURCES with an explicit BLOCKED block naming the row count, the upstream state and the reason, before any Gemini call is built. extract_paragraphs raises a named NotImplementedError instead of a bare KeyError.</w:t>
            </w:r>
          </w:p>
        </w:tc>
      </w:tr>
    </w:tbl>
    <w:p>
      <w:pPr>
        <w:spacing w:before="0" w:after="0" w:line="120" w:lineRule="exact"/>
      </w:pPr>
    </w:p>
    <w:p>
      <w:pPr>
        <w:pStyle w:val="Heading2"/>
      </w:pPr>
      <w:r>
        <w:t>15.9 Structural heterogeneity: when one archetype per source stops working</w:t>
      </w:r>
    </w:p>
    <w:p>
      <w:pPr>
        <w:pStyle w:val="BodyText"/>
      </w:pPr>
      <w:r>
        <w:t>Every source before yargitay had ONE document layout, and the per-source prompt note described it by listing that layout's section markers. Yargitay broke that assumption, and it is worth recording because the next court is likely to break it too.</w:t>
      </w:r>
    </w:p>
    <w:p>
      <w:pPr>
        <w:pStyle w:val="BodyText"/>
      </w:pPr>
      <w:r>
        <w:t>Yargitay has roughly 46 chambers. Across the 48 documents we hold, at least four layouts appear: a Roman-numeral series (I. DAVA ... VI. KARAR, 3 documents); a criminal form with SUC : and HUKUM : labels (13); a civil form with DAVA TURU : (8); and — the most common at 23 of 45 — no section labels at all, just a letter-spaced heading such as 'Y A R G I T A Y  K A R A R I' and a SONUC: at the end. Chambers differ even on capitalisation: 3./8./11./14./15./18. Ceza write SUC :, while 10./12./16. Ceza write Suc :. A case-sensitive match finds 13 of 45 and silently loses 8.</w:t>
      </w:r>
    </w:p>
    <w:p>
      <w:pPr>
        <w:pStyle w:val="BodyText"/>
      </w:pPr>
      <w:r>
        <w:t>Listing markers for 46 chambers is a losing game: the set is large, inconsistent, and the next export will contain layouts these 48 do not. So the yargitay source note was rewritten around FUNCTION instead — what does this paragraph DO (recount the courts below, state the appellant's argument, reason, dispose) — with confidence: low expected often and the `other` role absorbing header blocks and file-routing directives. This is precisely the case section 15 argues the LLM pipeline exists for: marker matching is what the regex pipeline already does, and already fails at.</w:t>
      </w:r>
    </w:p>
    <w:p>
      <w:pPr>
        <w:pStyle w:val="BodyText"/>
      </w:pPr>
      <w:r>
        <w:t>Two consequences for the schema. subject_type became per-document for the first time: yargitay spans criminal and civil chambers (29 of 45 export rows are Ceza), so a fixed per-source constant is wrong for whichever half it does not describe. It resolves from chamber_id — below 23 is Hukuk, 23 and above is Ceza — to criminal_offence or civil_or_administrative_case. criminal_offence rather than criminal_case because subject_type declares what subject_id IS: for a criminal cassation the subject is the offence, so subject_id 'dolandiricilik' answers 'every fraud cassation decision', whereas criminal_case would merely restate source_type.</w:t>
      </w:r>
    </w:p>
    <w:p>
      <w:pPr>
        <w:pStyle w:val="BodyText"/>
      </w:pPr>
      <w:r>
        <w:t>And 27% of yargitay decisions (12 of 45) carry MORE THAN ONE disposition — DUZELTILEREK + ONANMASINA, or BOZULMASINA + DUZELTILEREK + ONANMASINA. The single-string outcome field is lossy there. In practice the model handled it well by emitting one capsule per disposition (document 558301300 produced an onama capsule for the forgery count and a bozma capsule for the fraud count), but the schema does not require that, and it should be decided deliberately rather than left to the model.</w:t>
      </w:r>
    </w:p>
    <w:p>
      <w:pPr>
        <w:pStyle w:val="BodyText"/>
      </w:pPr>
      <w:r>
        <w:t>What yargitay still does not test: dissent. All 345 records we hold are unanimous — the four dissent markers appear 0 times and OYCOKLUGU 0 times, while oybirligi appears in 46. A database query confirmed dissent DOES exist in the wider corpus, so this is a sampling gap, not a property of the court. The dissent role itself is exercised elsewhere: the current output carries 5 dissent chunks and two dissent capsules from aym and danistay.</w:t>
      </w:r>
    </w:p>
    <w:p>
      <w:pPr/>
    </w:p>
    <w:bookmarkEnd w:id="69"/>
    <w:bookmarkEnd w:id="70"/>
    <w:p>
      <w:pPr>
        <w:pStyle w:val="Heading1"/>
      </w:pPr>
      <w:r>
        <w:t>16. Integrating With the Production System</w:t>
      </w:r>
    </w:p>
    <w:p>
      <w:pPr>
        <w:pStyle w:val="BodyText"/>
      </w:pPr>
      <w:r>
        <w:t>Everything above describes chunks in isolation. This section records what was found when the production system, hammurabi, was read end to end, and what a chunk must become in order to live inside it. The work is in llm_chunk/retrieval/.</w:t>
      </w:r>
    </w:p>
    <w:p>
      <w:pPr>
        <w:pStyle w:val="Heading2"/>
      </w:pPr>
      <w:r>
        <w:t>16.1 What production actually does</w:t>
      </w:r>
    </w:p>
    <w:p>
      <w:pPr>
        <w:pStyle w:val="BodyText"/>
      </w:pPr>
      <w:r>
        <w:t>Hammurabi is a pure consumer. It never writes to Qdrant or Meilisearch — verified across all 264 Python files and the full git history; the only write of any kind is one bulk-delete command. The documents_document table does not exist in that repo either. The pipeline that embeds and indexes decisions lives in a separate repository we do not have access to.</w:t>
      </w:r>
    </w:p>
    <w:p>
      <w:pPr>
        <w:pStyle w:val="BodyText"/>
      </w:pPr>
      <w:r>
        <w:t>A search runs as follows. The user's question is rewritten by the LLM into a hypothetical passage of judgment text — the system searches with an imagined decision, not with a question. That passage is embedded by BAAI/bge-m3 running locally, with no prefix and no metadata prepended. Qdrant ranks; Meilisearch is only a text lookup by id, doing no ranking at all in this path. Up to 15 complete decisions then go to the model verbatim.</w:t>
      </w:r>
    </w:p>
    <w:p>
      <w:pPr>
        <w:pStyle w:val="BodyText"/>
      </w:pPr>
      <w:r>
        <w:t>Production stores one decision as one entry. There is no chunk level, no paragraph number, no offset anywhere — so a citation can only name a whole decision. That absence is the gap our source_paragraph_ids fills, and it was chosen deliberately: a passage-extraction function exists in the repo, imported and never called, and a code comment states the preference for full decision text.</w:t>
      </w:r>
    </w:p>
    <w:tbl>
      <w:tblPr>
        <w:tblStyle w:val="Table"/>
        <w:tblW w:type="auto" w:w="0"/>
        <w:tblLook w:firstColumn="1" w:firstRow="1" w:lastColumn="0" w:lastRow="0" w:noHBand="0" w:noVBand="1" w:val="04A0"/>
      </w:tblPr>
      <w:tblGrid>
        <w:gridCol w:w="5040"/>
        <w:gridCol w:w="5040"/>
      </w:tblGrid>
      <w:tr>
        <w:tc>
          <w:tcPr>
            <w:tcW w:type="dxa" w:w="5040"/>
          </w:tcPr>
          <w:p>
            <w:r>
              <w:rPr>
                <w:b/>
              </w:rPr>
              <w:t>Property</w:t>
            </w:r>
          </w:p>
        </w:tc>
        <w:tc>
          <w:tcPr>
            <w:tcW w:type="dxa" w:w="5040"/>
          </w:tcPr>
          <w:p>
            <w:r>
              <w:rPr>
                <w:b/>
              </w:rPr>
              <w:t>Value in production</w:t>
            </w:r>
          </w:p>
        </w:tc>
      </w:tr>
      <w:tr>
        <w:tc>
          <w:tcPr>
            <w:tcW w:type="dxa" w:w="5040"/>
          </w:tcPr>
          <w:p>
            <w:r>
              <w:t>Qdrant collection</w:t>
            </w:r>
          </w:p>
        </w:tc>
        <w:tc>
          <w:tcPr>
            <w:tcW w:type="dxa" w:w="5040"/>
          </w:tcPr>
          <w:p>
            <w:r>
              <w:t>decisions_bge</w:t>
            </w:r>
          </w:p>
        </w:tc>
      </w:tr>
      <w:tr>
        <w:tc>
          <w:tcPr>
            <w:tcW w:type="dxa" w:w="5040"/>
          </w:tcPr>
          <w:p>
            <w:r>
              <w:t>Embedding model</w:t>
            </w:r>
          </w:p>
        </w:tc>
        <w:tc>
          <w:tcPr>
            <w:tcW w:type="dxa" w:w="5040"/>
          </w:tcPr>
          <w:p>
            <w:r>
              <w:t>BAAI/bge-m3, 1024 dimensions, run locally</w:t>
            </w:r>
          </w:p>
        </w:tc>
      </w:tr>
      <w:tr>
        <w:tc>
          <w:tcPr>
            <w:tcW w:type="dxa" w:w="5040"/>
          </w:tcPr>
          <w:p>
            <w:r>
              <w:t>Meilisearch index</w:t>
            </w:r>
          </w:p>
        </w:tc>
        <w:tc>
          <w:tcPr>
            <w:tcW w:type="dxa" w:w="5040"/>
          </w:tcPr>
          <w:p>
            <w:r>
              <w:t>judgments_v2 (Django) and hammurabi (service) — two names</w:t>
            </w:r>
          </w:p>
        </w:tc>
      </w:tr>
      <w:tr>
        <w:tc>
          <w:tcPr>
            <w:tcW w:type="dxa" w:w="5040"/>
          </w:tcPr>
          <w:p>
            <w:r>
              <w:t>Join key</w:t>
            </w:r>
          </w:p>
        </w:tc>
        <w:tc>
          <w:tcPr>
            <w:tcW w:type="dxa" w:w="5040"/>
          </w:tcPr>
          <w:p>
            <w:r>
              <w:t>Qdrant point id must equal the Meilisearch uuid field</w:t>
            </w:r>
          </w:p>
        </w:tc>
      </w:tr>
      <w:tr>
        <w:tc>
          <w:tcPr>
            <w:tcW w:type="dxa" w:w="5040"/>
          </w:tcPr>
          <w:p>
            <w:r>
              <w:t>Payload</w:t>
            </w:r>
          </w:p>
        </w:tc>
        <w:tc>
          <w:tcPr>
            <w:tcW w:type="dxa" w:w="5040"/>
          </w:tcPr>
          <w:p>
            <w:r>
              <w:t>filename, title, court, E_no, K_no, chamber, high_court, esas_year, karar_year, esas_series, karar_series</w:t>
            </w:r>
          </w:p>
        </w:tc>
      </w:tr>
      <w:tr>
        <w:tc>
          <w:tcPr>
            <w:tcW w:type="dxa" w:w="5040"/>
          </w:tcPr>
          <w:p>
            <w:r>
              <w:t>Court vocabulary</w:t>
            </w:r>
          </w:p>
        </w:tc>
        <w:tc>
          <w:tcPr>
            <w:tcW w:type="dxa" w:w="5040"/>
          </w:tcPr>
          <w:p>
            <w:r>
              <w:t>bam, yargitay, danistay, first_degree only — aym, kvkk, rekabet and uyusmazlik have no value, and the tool instructs the model to default to yargitay</w:t>
            </w:r>
          </w:p>
        </w:tc>
      </w:tr>
    </w:tbl>
    <w:p>
      <w:pPr>
        <w:pStyle w:val="BodyText"/>
      </w:pPr>
    </w:p>
    <w:p>
      <w:pPr>
        <w:pStyle w:val="Heading2"/>
      </w:pPr>
      <w:r>
        <w:t>16.2 The record contract</w:t>
      </w:r>
    </w:p>
    <w:p>
      <w:pPr>
        <w:pStyle w:val="BodyText"/>
      </w:pPr>
      <w:r>
        <w:t>Measured before any code was written: our chunks and production's payload shared zero field names. The contract in llm_chunk/retrieval/contract.py bridges them, deriving production's twelve fields from the raw court record the chunker already loads, and adding the six that make a chunk a chunk: parent_uuid, paragraph_ids, chunk_index, unit, schema_version and role. All 142 existing chunks satisfy it.</w:t>
      </w:r>
    </w:p>
    <w:p>
      <w:pPr>
        <w:pStyle w:val="BodyText"/>
      </w:pPr>
      <w:r>
        <w:t>Two values remain guesses until the team that owns indexing confirms them: the filename convention, and how a decision's uuid is generated. Each is isolated in a single function so confirming it is a one-line change. The uuid question decides whether re-indexing overwrites or duplicates.</w:t>
      </w:r>
    </w:p>
    <w:p>
      <w:pPr>
        <w:pStyle w:val="Heading2"/>
      </w:pPr>
      <w:r>
        <w:t>16.3 Three findings in the raw data, each of which fails silently</w:t>
      </w:r>
    </w:p>
    <w:p>
      <w:pPr>
        <w:pStyle w:val="BodyText"/>
      </w:pPr>
      <w:r>
        <w:t>These were found while building the contract. Every one would have produced wrong behaviour with no error message.</w:t>
      </w:r>
    </w:p>
    <w:tbl>
      <w:tblPr>
        <w:tblStyle w:val="Table"/>
        <w:tblW w:type="auto" w:w="0"/>
        <w:tblLook w:firstColumn="1" w:firstRow="1" w:lastColumn="0" w:lastRow="0" w:noHBand="0" w:noVBand="1" w:val="04A0"/>
      </w:tblPr>
      <w:tblGrid>
        <w:gridCol w:w="3360"/>
        <w:gridCol w:w="3360"/>
        <w:gridCol w:w="3360"/>
      </w:tblGrid>
      <w:tr>
        <w:tc>
          <w:tcPr>
            <w:tcW w:type="dxa" w:w="3360"/>
          </w:tcPr>
          <w:p>
            <w:r>
              <w:rPr>
                <w:b/>
              </w:rPr>
              <w:t>Finding</w:t>
            </w:r>
          </w:p>
        </w:tc>
        <w:tc>
          <w:tcPr>
            <w:tcW w:type="dxa" w:w="3360"/>
          </w:tcPr>
          <w:p>
            <w:r>
              <w:rPr>
                <w:b/>
              </w:rPr>
              <w:t>Effect if unhandled</w:t>
            </w:r>
          </w:p>
        </w:tc>
        <w:tc>
          <w:tcPr>
            <w:tcW w:type="dxa" w:w="3360"/>
          </w:tcPr>
          <w:p>
            <w:r>
              <w:rPr>
                <w:b/>
              </w:rPr>
              <w:t>Handling</w:t>
            </w:r>
          </w:p>
        </w:tc>
      </w:tr>
      <w:tr>
        <w:tc>
          <w:tcPr>
            <w:tcW w:type="dxa" w:w="3360"/>
          </w:tcPr>
          <w:p>
            <w:r>
              <w:t>KVKK records have no esas_year</w:t>
            </w:r>
          </w:p>
        </w:tc>
        <w:tc>
          <w:tcPr>
            <w:tcW w:type="dxa" w:w="3360"/>
          </w:tcPr>
          <w:p>
            <w:r>
              <w:t>Production splits every search into esas_year &gt;= 2023 and &lt; 2023. A null matches NEITHER bucket, so every KVKK record would be invisible to the entire semantic path.</w:t>
            </w:r>
          </w:p>
        </w:tc>
        <w:tc>
          <w:tcPr>
            <w:tcW w:type="dxa" w:w="3360"/>
          </w:tcPr>
          <w:p>
            <w:r>
              <w:t>Fall back to karar_year, recorded in derivation_notes</w:t>
            </w:r>
          </w:p>
        </w:tc>
      </w:tr>
      <w:tr>
        <w:tc>
          <w:tcPr>
            <w:tcW w:type="dxa" w:w="3360"/>
          </w:tcPr>
          <w:p>
            <w:r>
              <w:t>AYM records have no karar_year</w:t>
            </w:r>
          </w:p>
        </w:tc>
        <w:tc>
          <w:tcPr>
            <w:tcW w:type="dxa" w:w="3360"/>
          </w:tcPr>
          <w:p>
            <w:r>
              <w:t>The mirror of the above.</w:t>
            </w:r>
          </w:p>
        </w:tc>
        <w:tc>
          <w:tcPr>
            <w:tcW w:type="dxa" w:w="3360"/>
          </w:tcPr>
          <w:p>
            <w:r>
              <w:t>Fall back to esas_year, recorded</w:t>
            </w:r>
          </w:p>
        </w:tc>
      </w:tr>
      <w:tr>
        <w:tc>
          <w:tcPr>
            <w:tcW w:type="dxa" w:w="3360"/>
          </w:tcPr>
          <w:p>
            <w:r>
              <w:t>chamber_id is not the chamber number</w:t>
            </w:r>
          </w:p>
        </w:tc>
        <w:tc>
          <w:tcPr>
            <w:tcW w:type="dxa" w:w="3360"/>
          </w:tcPr>
          <w:p>
            <w:r>
              <w:t>It holds the real chamber only for yargitay (5). bam stores 588, danistay 125, first_degree 25783 — internal database ids that would never match a chamber filter.</w:t>
            </w:r>
          </w:p>
        </w:tc>
        <w:tc>
          <w:tcPr>
            <w:tcW w:type="dxa" w:w="3360"/>
          </w:tcPr>
          <w:p>
            <w:r>
              <w:t>Parse the chamber from the title instead. Verified: bam 11 and 6, danistay 13, first_degree 4 and 7, yargitay 5</w:t>
            </w:r>
          </w:p>
        </w:tc>
      </w:tr>
    </w:tbl>
    <w:p>
      <w:pPr>
        <w:pStyle w:val="BodyText"/>
      </w:pPr>
    </w:p>
    <w:p>
      <w:pPr>
        <w:pStyle w:val="BodyText"/>
      </w:pPr>
      <w:r>
        <w:t>A fourth was caught only by not trusting a passing test. Validation was green, but for AYM and KVKK the court field had fallen back to the document title — which for AYM is the applicant's name. Since court is a filterable field, that is both useless to filter on and a privacy problem. Those sources now use the institution's own name.</w:t>
      </w:r>
    </w:p>
    <w:p>
      <w:pPr>
        <w:pStyle w:val="Heading2"/>
      </w:pPr>
      <w:r>
        <w:t>16.4 One field renamed: role</w:t>
      </w:r>
    </w:p>
    <w:p>
      <w:pPr>
        <w:pStyle w:val="BodyText"/>
      </w:pPr>
      <w:r>
        <w:t>Our role field was named differently per source: firac_role, court_reasoning_role, regulatory_role. A field whose name varies by row cannot be indexed or filtered as one thing — asking for only the reasoning parts would need three filterable attributes and three query branches permanently.</w:t>
      </w:r>
    </w:p>
    <w:p>
      <w:pPr>
        <w:pStyle w:val="BodyText"/>
      </w:pPr>
      <w:r>
        <w:t>chunk_generate.py now also emits a single role field carrying the same value, plus role_vocabulary naming which vocabulary it came from, plus schema_version (now 2). The change is purely additive: the per-source fields are untouched, every existing reader keeps working, and no regeneration is required for correctness. The contract reads the unified field first and falls back, so chunks produced before the change keep their role.</w:t>
      </w:r>
    </w:p>
    <w:p>
      <w:pPr>
        <w:pStyle w:val="BodyText"/>
      </w:pPr>
      <w:r>
        <w:t>The Hammurabi-specific fields deliberately stay in the contract rather than the chunker. Coupling the producer to one consumer's index format would mean the next consumer needs a different shape and we would be translating anyway.</w:t>
      </w:r>
    </w:p>
    <w:p>
      <w:pPr>
        <w:pStyle w:val="Heading2"/>
      </w:pPr>
      <w:r>
        <w:t>16.5 Truncation measured, and an earlier estimate corrected</w:t>
      </w:r>
    </w:p>
    <w:p>
      <w:pPr>
        <w:pStyle w:val="BodyText"/>
      </w:pPr>
      <w:r>
        <w:t>bge-m3 accepts at most 8192 tokens. Anything beyond that is dropped silently when a whole decision is embedded as one vector. An earlier estimate in planning assumed 2.5 characters per token and reported 17 per cent of documents affected. Measured with bge-m3's own tokenizer on this corpus, the real ratio is 4.11, so the estimate was roughly three times too high.</w:t>
      </w:r>
    </w:p>
    <w:tbl>
      <w:tblPr>
        <w:tblStyle w:val="Table"/>
        <w:tblW w:type="auto" w:w="0"/>
        <w:tblLook w:firstColumn="1" w:firstRow="1" w:lastColumn="0" w:lastRow="0" w:noHBand="0" w:noVBand="1" w:val="04A0"/>
      </w:tblPr>
      <w:tblGrid>
        <w:gridCol w:w="3360"/>
        <w:gridCol w:w="3360"/>
        <w:gridCol w:w="3360"/>
      </w:tblGrid>
      <w:tr>
        <w:tc>
          <w:tcPr>
            <w:tcW w:type="dxa" w:w="3360"/>
          </w:tcPr>
          <w:p>
            <w:r>
              <w:rPr>
                <w:b/>
              </w:rPr>
              <w:t>Measure</w:t>
            </w:r>
          </w:p>
        </w:tc>
        <w:tc>
          <w:tcPr>
            <w:tcW w:type="dxa" w:w="3360"/>
          </w:tcPr>
          <w:p>
            <w:r>
              <w:rPr>
                <w:b/>
              </w:rPr>
              <w:t>Estimated</w:t>
            </w:r>
          </w:p>
        </w:tc>
        <w:tc>
          <w:tcPr>
            <w:tcW w:type="dxa" w:w="3360"/>
          </w:tcPr>
          <w:p>
            <w:r>
              <w:rPr>
                <w:b/>
              </w:rPr>
              <w:t>Measured</w:t>
            </w:r>
          </w:p>
        </w:tc>
      </w:tr>
      <w:tr>
        <w:tc>
          <w:tcPr>
            <w:tcW w:type="dxa" w:w="3360"/>
          </w:tcPr>
          <w:p>
            <w:r>
              <w:t>Documents over the ceiling</w:t>
            </w:r>
          </w:p>
        </w:tc>
        <w:tc>
          <w:tcPr>
            <w:tcW w:type="dxa" w:w="3360"/>
          </w:tcPr>
          <w:p>
            <w:r>
              <w:t>17%</w:t>
            </w:r>
          </w:p>
        </w:tc>
        <w:tc>
          <w:tcPr>
            <w:tcW w:type="dxa" w:w="3360"/>
          </w:tcPr>
          <w:p>
            <w:r>
              <w:t>5.9% (61 of 1,037)</w:t>
            </w:r>
          </w:p>
        </w:tc>
      </w:tr>
      <w:tr>
        <w:tc>
          <w:tcPr>
            <w:tcW w:type="dxa" w:w="3360"/>
          </w:tcPr>
          <w:p>
            <w:r>
              <w:t>Corpus text invisible to the index</w:t>
            </w:r>
          </w:p>
        </w:tc>
        <w:tc>
          <w:tcPr>
            <w:tcW w:type="dxa" w:w="3360"/>
          </w:tcPr>
          <w:p>
            <w:r>
              <w:t>22%</w:t>
            </w:r>
          </w:p>
        </w:tc>
        <w:tc>
          <w:tcPr>
            <w:tcW w:type="dxa" w:w="3360"/>
          </w:tcPr>
          <w:p>
            <w:r>
              <w:t>11.1%</w:t>
            </w:r>
          </w:p>
        </w:tc>
      </w:tr>
      <w:tr>
        <w:tc>
          <w:tcPr>
            <w:tcW w:type="dxa" w:w="3360"/>
          </w:tcPr>
          <w:p>
            <w:r>
              <w:t>Ceiling in characters</w:t>
            </w:r>
          </w:p>
        </w:tc>
        <w:tc>
          <w:tcPr>
            <w:tcW w:type="dxa" w:w="3360"/>
          </w:tcPr>
          <w:p>
            <w:r>
              <w:t>~20,500</w:t>
            </w:r>
          </w:p>
        </w:tc>
        <w:tc>
          <w:tcPr>
            <w:tcW w:type="dxa" w:w="3360"/>
          </w:tcPr>
          <w:p>
            <w:r>
              <w:t>~33,700</w:t>
            </w:r>
          </w:p>
        </w:tc>
      </w:tr>
    </w:tbl>
    <w:p>
      <w:pPr>
        <w:pStyle w:val="BodyText"/>
      </w:pPr>
    </w:p>
    <w:p>
      <w:pPr>
        <w:pStyle w:val="BodyText"/>
      </w:pPr>
      <w:r>
        <w:t>The effect is concentrated rather than corpus-wide: 26 per cent of AYM decisions exceed the ceiling and only 81 per cent of AYM text is visible, while first_degree, kvkk and yargitay are entirely unaffected. The worst single decision has 19 per cent of itself embedded.</w:t>
      </w:r>
    </w:p>
    <w:p>
      <w:pPr>
        <w:pStyle w:val="BodyText"/>
      </w:pPr>
      <w:r>
        <w:t>The comparison in the other direction is more striking. Our chunks have a median length of 162 tokens — two per cent of what the model accepts, fifty times more headroom than we use, and 93 of 142 chunks are pieces cut by the 2,000-character cap. That cap was chosen for storage, not for the embedder, and this is strong evidence it is far too small.</w:t>
      </w:r>
    </w:p>
    <w:p>
      <w:pPr>
        <w:pStyle w:val="Heading2"/>
      </w:pPr>
      <w:r>
        <w:t>16.6 The retrieval harness</w:t>
      </w:r>
    </w:p>
    <w:p>
      <w:pPr>
        <w:pStyle w:val="BodyText"/>
      </w:pPr>
      <w:r>
        <w:t>A faithful local replica of production's retrieval lives in llm_chunk/retrieval/, built so that chunk quality can be measured under the conditions production actually applies rather than under favourable ones. Production's real model runs locally through its official ONNX export, since the installed PyTorch is unusable here and fastembed does not carry bge-m3 at all.</w:t>
      </w:r>
    </w:p>
    <w:p>
      <w:pPr>
        <w:pStyle w:val="BodyText"/>
      </w:pPr>
      <w:r>
        <w:t>Every production constant is replicated at its real value and pinned in config.py: the 2023 freshness pivot, the boost and decay formulas, the old-bucket cap of max(5, limit // 10), the 0.10 minimum score, the 15-document cap, RRF k=60 with 1:1 weights and its lexical-wins-ties rule, and the 0.4 procedural penalty. Every improvement is a flag defaulting to off, so production behaviour and proposed behaviour come from the same code and the difference is attributable.</w:t>
      </w:r>
    </w:p>
    <w:p>
      <w:pPr>
        <w:pStyle w:val="BodyText"/>
      </w:pPr>
      <w:r>
        <w:t>Two collections are indexed: whole documents, and the same corpus with the chunked decisions replaced by their chunks. Qdrant payload indexes are created explicitly — production's five, plus parent_uuid, source_type, role, content_type, unit and chunk_index — because a filter on an unindexed field returns a 400 rather than an empty result.</w:t>
      </w:r>
    </w:p>
    <w:p>
      <w:pPr>
        <w:pStyle w:val="Heading2"/>
      </w:pPr>
      <w:r>
        <w:t>16.7 The procedural penalty does not punish chunks — in this sample</w:t>
      </w:r>
    </w:p>
    <w:p>
      <w:pPr>
        <w:pStyle w:val="BodyText"/>
      </w:pPr>
      <w:r>
        <w:t>Production multiplies a result's score by 0.4 when its text matches a procedural phrase such as dilekçenin reddine. The concern was that a one-line conclusion chunk has no surrounding text to dilute such a phrase, so chunks would be penalised where their parent document is not.</w:t>
      </w:r>
    </w:p>
    <w:p>
      <w:pPr>
        <w:pStyle w:val="BodyText"/>
      </w:pPr>
      <w:r>
        <w:t>Measured across all 142 chunks: one document flagged, one chunk flagged, and that chunk's parent is flagged too. Zero chunks are penalised purely for being chunks. The hypothesis was not confirmed. This is under-powered rather than settled — only one chunk trips any pattern, because these twelve decisions are substantive rulings — and the measurement should be repeated on a corpus containing procedural ones.</w:t>
      </w:r>
    </w:p>
    <w:p>
      <w:pPr>
        <w:pStyle w:val="Heading2"/>
      </w:pPr>
      <w:r>
        <w:t>16.8 What production would have to change</w:t>
      </w:r>
    </w:p>
    <w:p>
      <w:pPr>
        <w:pStyle w:val="BodyText"/>
      </w:pPr>
      <w:r>
        <w:t>Six changes, each of which must be additive, flagged off by default, reversible to byte-identical behaviour, and provably so. A change that cannot meet those tests is not a change but a negotiation.</w:t>
      </w:r>
    </w:p>
    <w:tbl>
      <w:tblPr>
        <w:tblStyle w:val="Table"/>
        <w:tblW w:type="auto" w:w="0"/>
        <w:tblLook w:firstColumn="1" w:firstRow="1" w:lastColumn="0" w:lastRow="0" w:noHBand="0" w:noVBand="1" w:val="04A0"/>
      </w:tblPr>
      <w:tblGrid>
        <w:gridCol w:w="3360"/>
        <w:gridCol w:w="3360"/>
        <w:gridCol w:w="3360"/>
      </w:tblGrid>
      <w:tr>
        <w:tc>
          <w:tcPr>
            <w:tcW w:type="dxa" w:w="3360"/>
          </w:tcPr>
          <w:p>
            <w:r>
              <w:rPr>
                <w:b/>
              </w:rPr>
              <w:t>#</w:t>
            </w:r>
          </w:p>
        </w:tc>
        <w:tc>
          <w:tcPr>
            <w:tcW w:type="dxa" w:w="3360"/>
          </w:tcPr>
          <w:p>
            <w:r>
              <w:rPr>
                <w:b/>
              </w:rPr>
              <w:t>Change</w:t>
            </w:r>
          </w:p>
        </w:tc>
        <w:tc>
          <w:tcPr>
            <w:tcW w:type="dxa" w:w="3360"/>
          </w:tcPr>
          <w:p>
            <w:r>
              <w:rPr>
                <w:b/>
              </w:rPr>
              <w:t>Size</w:t>
            </w:r>
          </w:p>
        </w:tc>
      </w:tr>
      <w:tr>
        <w:tc>
          <w:tcPr>
            <w:tcW w:type="dxa" w:w="3360"/>
          </w:tcPr>
          <w:p>
            <w:r>
              <w:t>H1</w:t>
            </w:r>
          </w:p>
        </w:tc>
        <w:tc>
          <w:tcPr>
            <w:tcW w:type="dxa" w:w="3360"/>
          </w:tcPr>
          <w:p>
            <w:r>
              <w:t>A second Qdrant collection and Meilisearch index for chunks. Data only, no code.</w:t>
            </w:r>
          </w:p>
        </w:tc>
        <w:tc>
          <w:tcPr>
            <w:tcW w:type="dxa" w:w="3360"/>
          </w:tcPr>
          <w:p>
            <w:r>
              <w:t>—</w:t>
            </w:r>
          </w:p>
        </w:tc>
      </w:tr>
      <w:tr>
        <w:tc>
          <w:tcPr>
            <w:tcW w:type="dxa" w:w="3360"/>
          </w:tcPr>
          <w:p>
            <w:r>
              <w:t>H2</w:t>
            </w:r>
          </w:p>
        </w:tc>
        <w:tc>
          <w:tcPr>
            <w:tcW w:type="dxa" w:w="3360"/>
          </w:tcPr>
          <w:p>
            <w:r>
              <w:t>A chunk search entry point beside the existing one.</w:t>
            </w:r>
          </w:p>
        </w:tc>
        <w:tc>
          <w:tcPr>
            <w:tcW w:type="dxa" w:w="3360"/>
          </w:tcPr>
          <w:p>
            <w:r>
              <w:t>small</w:t>
            </w:r>
          </w:p>
        </w:tc>
      </w:tr>
      <w:tr>
        <w:tc>
          <w:tcPr>
            <w:tcW w:type="dxa" w:w="3360"/>
          </w:tcPr>
          <w:p>
            <w:r>
              <w:t>H3</w:t>
            </w:r>
          </w:p>
        </w:tc>
        <w:tc>
          <w:tcPr>
            <w:tcW w:type="dxa" w:w="3360"/>
          </w:tcPr>
          <w:p>
            <w:r>
              <w:t>Chunk-aware text hydration, resolving through parent_uuid. THE BLOCKER: today a result survives only if its id is a known text-store key, so chunk results are discarded with no error.</w:t>
            </w:r>
          </w:p>
        </w:tc>
        <w:tc>
          <w:tcPr>
            <w:tcW w:type="dxa" w:w="3360"/>
          </w:tcPr>
          <w:p>
            <w:r>
              <w:t>small</w:t>
            </w:r>
          </w:p>
        </w:tc>
      </w:tr>
      <w:tr>
        <w:tc>
          <w:tcPr>
            <w:tcW w:type="dxa" w:w="3360"/>
          </w:tcPr>
          <w:p>
            <w:r>
              <w:t>H4</w:t>
            </w:r>
          </w:p>
        </w:tc>
        <w:tc>
          <w:tcPr>
            <w:tcW w:type="dxa" w:w="3360"/>
          </w:tcPr>
          <w:p>
            <w:r>
              <w:t>Return paragraph_ids, parent_uuid and chunk_index on the chunk path.</w:t>
            </w:r>
          </w:p>
        </w:tc>
        <w:tc>
          <w:tcPr>
            <w:tcW w:type="dxa" w:w="3360"/>
          </w:tcPr>
          <w:p>
            <w:r>
              <w:t>very small</w:t>
            </w:r>
          </w:p>
        </w:tc>
      </w:tr>
      <w:tr>
        <w:tc>
          <w:tcPr>
            <w:tcW w:type="dxa" w:w="3360"/>
          </w:tcPr>
          <w:p>
            <w:r>
              <w:t>H5</w:t>
            </w:r>
          </w:p>
        </w:tc>
        <w:tc>
          <w:tcPr>
            <w:tcW w:type="dxa" w:w="3360"/>
          </w:tcPr>
          <w:p>
            <w:r>
              <w:t>Widen the court vocabulary to include aym, kvkk, rekabet and uyusmazlik. Worth raising regardless of chunks: the assistant cannot filter to the Constitutional Court today.</w:t>
            </w:r>
          </w:p>
        </w:tc>
        <w:tc>
          <w:tcPr>
            <w:tcW w:type="dxa" w:w="3360"/>
          </w:tcPr>
          <w:p>
            <w:r>
              <w:t>very small</w:t>
            </w:r>
          </w:p>
        </w:tc>
      </w:tr>
      <w:tr>
        <w:tc>
          <w:tcPr>
            <w:tcW w:type="dxa" w:w="3360"/>
          </w:tcPr>
          <w:p>
            <w:r>
              <w:t>H6</w:t>
            </w:r>
          </w:p>
        </w:tc>
        <w:tc>
          <w:tcPr>
            <w:tcW w:type="dxa" w:w="3360"/>
          </w:tcPr>
          <w:p>
            <w:r>
              <w:t>A flag choosing chunks or documents.</w:t>
            </w:r>
          </w:p>
        </w:tc>
        <w:tc>
          <w:tcPr>
            <w:tcW w:type="dxa" w:w="3360"/>
          </w:tcPr>
          <w:p>
            <w:r>
              <w:t>very small</w:t>
            </w:r>
          </w:p>
        </w:tc>
      </w:tr>
    </w:tbl>
    <w:p>
      <w:pPr>
        <w:pStyle w:val="BodyText"/>
      </w:pPr>
    </w:p>
    <w:p>
      <w:pPr>
        <w:pStyle w:val="Heading2"/>
      </w:pPr>
      <w:r>
        <w:t>16.9 Questions only the indexing team can answer</w:t>
      </w:r>
    </w:p>
    <w:p>
      <w:pPr>
        <w:pStyle w:val="BodyText"/>
      </w:pPr>
      <w:r>
        <w:t>1. How is a decision's uuid generated? This decides whether re-indexing overwrites or duplicates. 2. What is the filename convention exactly? 3. What are the real vector size and distance metric of decisions_bge — neither is declared anywhere in the code we can read, and 1024 with cosine is inferred from the model. 4. Can a second collection and index be provisioned, and by whom? 5. Is the four-court enum deliberate?</w:t>
      </w:r>
    </w:p>
    <w:p>
      <w:pPr>
        <w:pStyle w:val="Heading2"/>
      </w:pPr>
      <w:r>
        <w:t>16.10 What remains open in the chunker</w:t>
      </w:r>
    </w:p>
    <w:tbl>
      <w:tblPr>
        <w:tblStyle w:val="Table"/>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Status</w:t>
            </w:r>
          </w:p>
        </w:tc>
      </w:tr>
      <w:tr>
        <w:tc>
          <w:tcPr>
            <w:tcW w:type="dxa" w:w="5040"/>
          </w:tcPr>
          <w:p>
            <w:r>
              <w:t>Chunk size cap of 2,000 characters</w:t>
            </w:r>
          </w:p>
        </w:tc>
        <w:tc>
          <w:tcPr>
            <w:tcW w:type="dxa" w:w="5040"/>
          </w:tcPr>
          <w:p>
            <w:r>
              <w:t>Open. Chunks use 2% of the embedder's capacity and 93 of 142 are cap-split fragments. Testable without cost by merging adjacent chunks and re-scoring.</w:t>
            </w:r>
          </w:p>
        </w:tc>
      </w:tr>
      <w:tr>
        <w:tc>
          <w:tcPr>
            <w:tcW w:type="dxa" w:w="5040"/>
          </w:tcPr>
          <w:p>
            <w:r>
              <w:t>Whether to embed text or reasoning_summary</w:t>
            </w:r>
          </w:p>
        </w:tc>
        <w:tc>
          <w:tcPr>
            <w:tcW w:type="dxa" w:w="5040"/>
          </w:tcPr>
          <w:p>
            <w:r>
              <w:t>Open. Production embeds decision prose, and a summary is a different register.</w:t>
            </w:r>
          </w:p>
        </w:tc>
      </w:tr>
      <w:tr>
        <w:tc>
          <w:tcPr>
            <w:tcW w:type="dxa" w:w="5040"/>
          </w:tcPr>
          <w:p>
            <w:r>
              <w:t>Five prompt changes already written</w:t>
            </w:r>
          </w:p>
        </w:tc>
        <w:tc>
          <w:tcPr>
            <w:tcW w:type="dxa" w:w="5040"/>
          </w:tcPr>
          <w:p>
            <w:r>
              <w:t>Pending the next generation: the case-law citation filter, the strengthened case-law instruction, the term-of-art rule, the ban on unspecified subject_id, and the two new sources.</w:t>
            </w:r>
          </w:p>
        </w:tc>
      </w:tr>
      <w:tr>
        <w:tc>
          <w:tcPr>
            <w:tcW w:type="dxa" w:w="5040"/>
          </w:tcPr>
          <w:p>
            <w:r>
              <w:t>fewshot/yargitay.json</w:t>
            </w:r>
          </w:p>
        </w:tc>
        <w:tc>
          <w:tcPr>
            <w:tcW w:type="dxa" w:w="5040"/>
          </w:tcPr>
          <w:p>
            <w:r>
              <w:t>Built from an archetype matching 3 of 48 documents. Rewrite before any paid run.</w:t>
            </w:r>
          </w:p>
        </w:tc>
      </w:tr>
    </w:tbl>
    <w:p>
      <w:pPr>
        <w:pStyle w:val="BodyText"/>
      </w:pPr>
    </w:p>
    <w:p>
      <w:pPr>
        <w:pStyle w:val="BodyText"/>
      </w:pPr>
      <w:r>
        <w:t>The intended order is to settle every one of these using the chunks already on disk, which cost nothing to re-test, then apply all chunker changes at once, then pull a corpus stratified by year and court, and only then run the chunker — once — on that corpus.</w:t>
      </w:r>
    </w:p>
    <w:p>
      <w:pPr>
        <w:pStyle w:val="Heading1"/>
      </w:pPr>
      <w:r>
        <w:t>17. Retrieval Results: Does the Structure Earn Its Keep?</w:t>
      </w:r>
    </w:p>
    <w:p>
      <w:pPr>
        <w:pStyle w:val="BodyText"/>
      </w:pPr>
      <w:r>
        <w:t>Section 16 described how a chunk enters production. This section reports what happened when the chunks were actually searched, using a faithful local replica of production's retrieval path. The corpus is 1,037 documents; twelve of them exist as our 142 chunks, and the remaining 1,025 are identical distractors in every arm, so a score difference is attributable to the thing being varied.</w:t>
      </w:r>
    </w:p>
    <w:p>
      <w:pPr>
        <w:pStyle w:val="BodyText"/>
      </w:pPr>
      <w:r>
        <w:t>All numbers below are over 30 queries whose ground truth was written from raw court text. One query is 3.3 percentage points, so everything here is directional. Nothing should be quoted as a percentage outside this document.</w:t>
      </w:r>
    </w:p>
    <w:p>
      <w:pPr>
        <w:pStyle w:val="Heading2"/>
      </w:pPr>
      <w:r>
        <w:t>17.1 The headline finding is not about chunks</w:t>
      </w:r>
    </w:p>
    <w:p>
      <w:pPr>
        <w:pStyle w:val="BodyText"/>
      </w:pPr>
      <w:r>
        <w:t>Production's freshness rescale is suppressing correct results. Scores are multiplied by 1 + 0.25 x (year - 2023) for recent decisions and by 0.1 ^ ((2023 - year) / 3) for older ones — so a 2017 decision is multiplied by 0.01 — and the top-15 cut then discards it.</w:t>
      </w:r>
    </w:p>
    <w:p>
      <w:pPr>
        <w:pStyle w:val="BodyText"/>
      </w:pPr>
      <w:r>
        <w:t>Measured on whole-document retrieval, changing nothing but that rescale:</w:t>
      </w:r>
    </w:p>
    <w:tbl>
      <w:tblPr>
        <w:tblStyle w:val="Table"/>
        <w:tblW w:type="auto" w:w="0"/>
        <w:tblLook w:firstColumn="1" w:firstRow="1" w:lastColumn="0" w:lastRow="0" w:noHBand="0" w:noVBand="1" w:val="04A0"/>
      </w:tblPr>
      <w:tblGrid>
        <w:gridCol w:w="5040"/>
        <w:gridCol w:w="5040"/>
      </w:tblGrid>
      <w:tr>
        <w:tc>
          <w:tcPr>
            <w:tcW w:type="dxa" w:w="5040"/>
          </w:tcPr>
          <w:p>
            <w:r>
              <w:rPr>
                <w:b/>
              </w:rPr>
              <w:t>Configuration</w:t>
            </w:r>
          </w:p>
        </w:tc>
        <w:tc>
          <w:tcPr>
            <w:tcW w:type="dxa" w:w="5040"/>
          </w:tcPr>
          <w:p>
            <w:r>
              <w:rPr>
                <w:b/>
              </w:rPr>
              <w:t>Correct at rank 1</w:t>
            </w:r>
          </w:p>
        </w:tc>
      </w:tr>
      <w:tr>
        <w:tc>
          <w:tcPr>
            <w:tcW w:type="dxa" w:w="5040"/>
          </w:tcPr>
          <w:p>
            <w:r>
              <w:t>Freshness scoring ON (production today)</w:t>
            </w:r>
          </w:p>
        </w:tc>
        <w:tc>
          <w:tcPr>
            <w:tcW w:type="dxa" w:w="5040"/>
          </w:tcPr>
          <w:p>
            <w:r>
              <w:t>1 of 30</w:t>
            </w:r>
          </w:p>
        </w:tc>
      </w:tr>
      <w:tr>
        <w:tc>
          <w:tcPr>
            <w:tcW w:type="dxa" w:w="5040"/>
          </w:tcPr>
          <w:p>
            <w:r>
              <w:t>Freshness scoring OFF</w:t>
            </w:r>
          </w:p>
        </w:tc>
        <w:tc>
          <w:tcPr>
            <w:tcW w:type="dxa" w:w="5040"/>
          </w:tcPr>
          <w:p>
            <w:r>
              <w:t>14 of 30</w:t>
            </w:r>
          </w:p>
        </w:tc>
      </w:tr>
    </w:tbl>
    <w:p>
      <w:pPr>
        <w:pStyle w:val="BodyText"/>
      </w:pPr>
    </w:p>
    <w:p>
      <w:pPr>
        <w:pStyle w:val="BodyText"/>
      </w:pPr>
      <w:r>
        <w:t>The mechanism was verified directly rather than inferred. Searching the full 1,037-document corpus with no limit, 14 of 30 target decisions rank FIRST and 21 of 30 fall inside the top fifteen. Retrieval is working well. The targets are simply from 2017 to 2019, so they are demoted below ten boosted recent documents and never returned. A decision that is the single best semantic match in the corpus is discarded because of its year.</w:t>
      </w:r>
    </w:p>
    <w:p>
      <w:pPr>
        <w:pStyle w:val="BodyText"/>
      </w:pPr>
      <w:r>
        <w:t>This is worth raising with the product team independently of chunking. For settled case law the older decision is frequently the authoritative one.</w:t>
      </w:r>
    </w:p>
    <w:p>
      <w:pPr>
        <w:pStyle w:val="Heading2"/>
      </w:pPr>
      <w:r>
        <w:t>17.2 Chunks against whole documents</w:t>
      </w:r>
    </w:p>
    <w:p>
      <w:pPr>
        <w:pStyle w:val="BodyText"/>
      </w:pPr>
      <w:r>
        <w:t>With the freshness rescale disabled in both arms so that it does not dominate the comparison:</w:t>
      </w:r>
    </w:p>
    <w:tbl>
      <w:tblPr>
        <w:tblStyle w:val="Table"/>
        <w:tblW w:type="auto" w:w="0"/>
        <w:tblLook w:firstColumn="1" w:firstRow="1" w:lastColumn="0" w:lastRow="0" w:noHBand="0" w:noVBand="1" w:val="04A0"/>
      </w:tblPr>
      <w:tblGrid>
        <w:gridCol w:w="3360"/>
        <w:gridCol w:w="3360"/>
        <w:gridCol w:w="3360"/>
      </w:tblGrid>
      <w:tr>
        <w:tc>
          <w:tcPr>
            <w:tcW w:type="dxa" w:w="3360"/>
          </w:tcPr>
          <w:p>
            <w:r>
              <w:rPr>
                <w:b/>
              </w:rPr>
              <w:t>Measure</w:t>
            </w:r>
          </w:p>
        </w:tc>
        <w:tc>
          <w:tcPr>
            <w:tcW w:type="dxa" w:w="3360"/>
          </w:tcPr>
          <w:p>
            <w:r>
              <w:rPr>
                <w:b/>
              </w:rPr>
              <w:t>Whole documents</w:t>
            </w:r>
          </w:p>
        </w:tc>
        <w:tc>
          <w:tcPr>
            <w:tcW w:type="dxa" w:w="3360"/>
          </w:tcPr>
          <w:p>
            <w:r>
              <w:rPr>
                <w:b/>
              </w:rPr>
              <w:t>Our chunks</w:t>
            </w:r>
          </w:p>
        </w:tc>
      </w:tr>
      <w:tr>
        <w:tc>
          <w:tcPr>
            <w:tcW w:type="dxa" w:w="3360"/>
          </w:tcPr>
          <w:p>
            <w:r>
              <w:t>Correct at rank 1</w:t>
            </w:r>
          </w:p>
        </w:tc>
        <w:tc>
          <w:tcPr>
            <w:tcW w:type="dxa" w:w="3360"/>
          </w:tcPr>
          <w:p>
            <w:r>
              <w:t>14 of 30</w:t>
            </w:r>
          </w:p>
        </w:tc>
        <w:tc>
          <w:tcPr>
            <w:tcW w:type="dxa" w:w="3360"/>
          </w:tcPr>
          <w:p>
            <w:r>
              <w:t>23 of 30</w:t>
            </w:r>
          </w:p>
        </w:tc>
      </w:tr>
      <w:tr>
        <w:tc>
          <w:tcPr>
            <w:tcW w:type="dxa" w:w="3360"/>
          </w:tcPr>
          <w:p>
            <w:r>
              <w:t>Mean reciprocal rank</w:t>
            </w:r>
          </w:p>
        </w:tc>
        <w:tc>
          <w:tcPr>
            <w:tcW w:type="dxa" w:w="3360"/>
          </w:tcPr>
          <w:p>
            <w:r>
              <w:t>0.519</w:t>
            </w:r>
          </w:p>
        </w:tc>
        <w:tc>
          <w:tcPr>
            <w:tcW w:type="dxa" w:w="3360"/>
          </w:tcPr>
          <w:p>
            <w:r>
              <w:t>0.795</w:t>
            </w:r>
          </w:p>
        </w:tc>
      </w:tr>
      <w:tr>
        <w:tc>
          <w:tcPr>
            <w:tcW w:type="dxa" w:w="3360"/>
          </w:tcPr>
          <w:p>
            <w:r>
              <w:t>Paragraph cited correctly</w:t>
            </w:r>
          </w:p>
        </w:tc>
        <w:tc>
          <w:tcPr>
            <w:tcW w:type="dxa" w:w="3360"/>
          </w:tcPr>
          <w:p>
            <w:r>
              <w:t>0 of 20</w:t>
            </w:r>
          </w:p>
        </w:tc>
        <w:tc>
          <w:tcPr>
            <w:tcW w:type="dxa" w:w="3360"/>
          </w:tcPr>
          <w:p>
            <w:r>
              <w:t>14 of 20</w:t>
            </w:r>
          </w:p>
        </w:tc>
      </w:tr>
      <w:tr>
        <w:tc>
          <w:tcPr>
            <w:tcW w:type="dxa" w:w="3360"/>
          </w:tcPr>
          <w:p>
            <w:r>
              <w:t>Characters sent to the model</w:t>
            </w:r>
          </w:p>
        </w:tc>
        <w:tc>
          <w:tcPr>
            <w:tcW w:type="dxa" w:w="3360"/>
          </w:tcPr>
          <w:p>
            <w:r>
              <w:t>103,455</w:t>
            </w:r>
          </w:p>
        </w:tc>
        <w:tc>
          <w:tcPr>
            <w:tcW w:type="dxa" w:w="3360"/>
          </w:tcPr>
          <w:p>
            <w:r>
              <w:t>80,615</w:t>
            </w:r>
          </w:p>
        </w:tc>
      </w:tr>
    </w:tbl>
    <w:p>
      <w:pPr>
        <w:pStyle w:val="BodyText"/>
      </w:pPr>
    </w:p>
    <w:p>
      <w:pPr>
        <w:pStyle w:val="BodyText"/>
      </w:pPr>
      <w:r>
        <w:t>Shuffled-label controls were 0.042 and 0.066 against real scores of 0.467 and 0.767, so the results are roughly eleven times above chance. The paragraph row is not a close contest: whole documents score zero and always will, because nothing in that representation records where anything sits.</w:t>
      </w:r>
    </w:p>
    <w:p>
      <w:pPr>
        <w:pStyle w:val="Heading2"/>
      </w:pPr>
      <w:r>
        <w:t>17.3 What the structure specifically buys</w:t>
      </w:r>
    </w:p>
    <w:p>
      <w:pPr>
        <w:pStyle w:val="BodyText"/>
      </w:pPr>
      <w:r>
        <w:t>A fixed-size splitter would score much the same on the comparison above. These four tests measure the parts we actually designed rather than the fact of chunking.</w:t>
      </w:r>
    </w:p>
    <w:p>
      <w:pPr>
        <w:pStyle w:val="BodyText"/>
      </w:pPr>
      <w:r>
        <w:t>LEGISLATION SEARCH. The chunks carry 65 distinct legislation references across 44 of 142 chunks, flattened into a filterable array so that HMK, HMK 353 and 6100/353 all resolve. Filtering returned exactly the citing chunks with zero false positives. Production cannot express this query at all — its payload holds no legislation — so this is a capability rather than an improvement.</w:t>
      </w:r>
    </w:p>
    <w:p>
      <w:pPr>
        <w:pStyle w:val="BodyText"/>
      </w:pPr>
      <w:r>
        <w:t>ROLE FILTER. Restricting the search to reasoning roles lost zero targets, gained two, took top-five from 25 to 29 and found all 30 of 30. Tagging roles is earning its cost: the headers, case numbers and file-routing directives that make up much of a decision are noise, and the roles let us exclude them.</w:t>
      </w:r>
    </w:p>
    <w:p>
      <w:pPr>
        <w:pStyle w:val="BodyText"/>
      </w:pPr>
      <w:r>
        <w:t>CAPSULE SEARCH. The two-level design was tested for the first time and works: 23 of 30 found at rank one searching capsule summaries alone, with two never reaching the top five. The capsule pool is only fourteen points, so chance is one in fourteen and this is directional only.</w:t>
      </w:r>
    </w:p>
    <w:p>
      <w:pPr>
        <w:pStyle w:val="BodyText"/>
      </w:pPr>
      <w:r>
        <w:t>SUMMARY VERSUS RAW TEXT. Capsule summaries matched raw chunk text at rank one and beat it at top five. The pools differ by two orders of magnitude, so this answers 'can a summary find its own case' — it can — rather than settling which is the better search target.</w:t>
      </w:r>
    </w:p>
    <w:p>
      <w:pPr>
        <w:pStyle w:val="Heading2"/>
      </w:pPr>
      <w:r>
        <w:t>17.4 Four questions that came back negative, and stay recorded</w:t>
      </w:r>
    </w:p>
    <w:p>
      <w:pPr>
        <w:pStyle w:val="BodyText"/>
      </w:pPr>
      <w:r>
        <w:t>Negative results are kept because the alternative is re-asking them later.</w:t>
      </w:r>
    </w:p>
    <w:tbl>
      <w:tblPr>
        <w:tblStyle w:val="Table"/>
        <w:tblW w:type="auto" w:w="0"/>
        <w:tblLook w:firstColumn="1" w:firstRow="1" w:lastColumn="0" w:lastRow="0" w:noHBand="0" w:noVBand="1" w:val="04A0"/>
      </w:tblPr>
      <w:tblGrid>
        <w:gridCol w:w="5040"/>
        <w:gridCol w:w="5040"/>
      </w:tblGrid>
      <w:tr>
        <w:tc>
          <w:tcPr>
            <w:tcW w:type="dxa" w:w="5040"/>
          </w:tcPr>
          <w:p>
            <w:r>
              <w:rPr>
                <w:b/>
              </w:rPr>
              <w:t>Question</w:t>
            </w:r>
          </w:p>
        </w:tc>
        <w:tc>
          <w:tcPr>
            <w:tcW w:type="dxa" w:w="5040"/>
          </w:tcPr>
          <w:p>
            <w:r>
              <w:rPr>
                <w:b/>
              </w:rPr>
              <w:t>Answer</w:t>
            </w:r>
          </w:p>
        </w:tc>
      </w:tr>
      <w:tr>
        <w:tc>
          <w:tcPr>
            <w:tcW w:type="dxa" w:w="5040"/>
          </w:tcPr>
          <w:p>
            <w:r>
              <w:t>Is the 2,000-character cap too small? Chunks use 2% of what bge-m3 accepts, and 93 of 142 are cap-split pieces.</w:t>
            </w:r>
          </w:p>
        </w:tc>
        <w:tc>
          <w:tcPr>
            <w:tcW w:type="dxa" w:w="5040"/>
          </w:tcPr>
          <w:p>
            <w:r>
              <w:t>NO CHANGE NEEDED. Adjacent chunks were merged programmatically at 1,500, 3,000, 4,000 and 6,000 characters and re-scored. Every level scored identically to no merging at all: 25 of 30 at rank one, MRR 0.847, paragraph 16 of 20. The effect does not track size.</w:t>
            </w:r>
          </w:p>
        </w:tc>
      </w:tr>
      <w:tr>
        <w:tc>
          <w:tcPr>
            <w:tcW w:type="dxa" w:w="5040"/>
          </w:tcPr>
          <w:p>
            <w:r>
              <w:t>Does sending more query formulations help? Production's tool demands at least three.</w:t>
            </w:r>
          </w:p>
        </w:tc>
        <w:tc>
          <w:tcPr>
            <w:tcW w:type="dxa" w:w="5040"/>
          </w:tcPr>
          <w:p>
            <w:r>
              <w:t>NO. Budgets of 1, 3 and 10 formulations produced identical top-one scores. A larger candidate pool does not change which document ranks first.</w:t>
            </w:r>
          </w:p>
        </w:tc>
      </w:tr>
      <w:tr>
        <w:tc>
          <w:tcPr>
            <w:tcW w:type="dxa" w:w="5040"/>
          </w:tcPr>
          <w:p>
            <w:r>
              <w:t>Does the procedural penalty punish chunks unfairly? A one-line conclusion chunk has no surrounding text to dilute a phrase like dilekçenin reddine.</w:t>
            </w:r>
          </w:p>
        </w:tc>
        <w:tc>
          <w:tcPr>
            <w:tcW w:type="dxa" w:w="5040"/>
          </w:tcPr>
          <w:p>
            <w:r>
              <w:t>NOT OBSERVED. One document flagged, one chunk flagged, and that chunk's parent is flagged too. Zero chunks penalised purely for being chunks. Under-powered rather than settled: only one chunk of 142 trips any pattern.</w:t>
            </w:r>
          </w:p>
        </w:tc>
      </w:tr>
      <w:tr>
        <w:tc>
          <w:tcPr>
            <w:tcW w:type="dxa" w:w="5040"/>
          </w:tcPr>
          <w:p>
            <w:r>
              <w:t>Is any change to chunk_generate.py required?</w:t>
            </w:r>
          </w:p>
        </w:tc>
        <w:tc>
          <w:tcPr>
            <w:tcW w:type="dxa" w:w="5040"/>
          </w:tcPr>
          <w:p>
            <w:r>
              <w:t>NO. Every test was positive or neutral for the current design.</w:t>
            </w:r>
          </w:p>
        </w:tc>
      </w:tr>
    </w:tbl>
    <w:p>
      <w:pPr>
        <w:pStyle w:val="BodyText"/>
      </w:pPr>
    </w:p>
    <w:p>
      <w:pPr>
        <w:pStyle w:val="Heading2"/>
      </w:pPr>
      <w:r>
        <w:t>17.5 Two measurement bugs found in our own harness</w:t>
      </w:r>
    </w:p>
    <w:p>
      <w:pPr>
        <w:pStyle w:val="BodyText"/>
      </w:pPr>
      <w:r>
        <w:t>Both are recorded because each one produced a number that looked like a result.</w:t>
      </w:r>
    </w:p>
    <w:p>
      <w:pPr>
        <w:pStyle w:val="BodyText"/>
      </w:pPr>
      <w:r>
        <w:t>THE SHUFFLED CONTROL DID NOT CONTROL ANYTHING. It shuffled a list of ranks and counted how many equalled one — which is the same count in every permutation, so it returned the real score and agreed with whatever it was meant to test. A control that cannot disagree is worse than no control, because it manufactures confidence. It now permutes the query-to-answer mapping and re-scores.</w:t>
      </w:r>
    </w:p>
    <w:p>
      <w:pPr>
        <w:pStyle w:val="BodyText"/>
      </w:pPr>
      <w:r>
        <w:t>FOURTEEN QUERIES WERE COUNTED AS FAILURES IN BOTH ARMS. The topic queries key their ground truth to search terms rather than a document id, so they could never register a hit here. The first run reported 14 of 44 where the honest figure was 14 of 30. They are now excluded and measured by the harness that understands their answer key.</w:t>
      </w:r>
    </w:p>
    <w:p>
      <w:pPr>
        <w:pStyle w:val="Heading2"/>
      </w:pPr>
      <w:r>
        <w:t>17.6 What this means for the corpus run</w:t>
      </w:r>
    </w:p>
    <w:p>
      <w:pPr>
        <w:pStyle w:val="BodyText"/>
      </w:pPr>
      <w:r>
        <w:t>The chunker needs no changes, so the next generation can proceed on a larger corpus with the pipeline exactly as it stands. The five prompt improvements written earlier — the case-law citation filter, the strengthened case-law instruction, the term-of-art rule, the ban on an unspecified subject_id, and the two new sources — are already in the code and will take effect on that run without further edits.</w:t>
      </w:r>
    </w:p>
    <w:p>
      <w:pPr>
        <w:pStyle w:val="BodyText"/>
      </w:pPr>
      <w:r>
        <w:t>The intended corpus is one decision per year per court, roughly seventy documents, which is six times the current set and spread across years. The spread matters: the freshness finding in 17.1 is currently measured on twelve decisions clustered in 2017 to 2019, and a year-stratified corpus is what turns it from a strong signal into a defensible number.</w:t>
      </w:r>
    </w:p>
    <w:p>
      <w:pPr>
        <w:pStyle w:val="BodyText"/>
      </w:pPr>
      <w:r>
        <w:t>Every measurement in this section should be repeated on that corpus. The merge test in particular could change: a corpus with longer decisions may reward larger chunks in a way twelve decisions cannot reveal.</w:t>
      </w:r>
    </w:p>
    <w:p>
      <w:pPr>
        <w:pStyle w:val="BodyText"/>
      </w:pPr>
      <w:r>
        <w:t>Version: September 2026 — section 15 rewritten from plan to built: single-call design (two-pass rejected), full field-ownership tables for chunks/citations/capsules finalized, chunk_id a deterministic UUID from the start, pilot findings in 15.8, and 15.9 added after yargitay became the first structurally heterogeneous source. Implementation dates: 11–14 September 2026. chunk_id a deterministic UUID from the start, pilot findings recorded in 15.8. Implementation date: 11–14 September 2026.</w:t>
      </w:r>
    </w:p>
    <w:sectPr>
      <w:footerReference w:type="default" r:id="rIdFtr1"/>
      <w:pgSz w:w="12240" w:h="15840" w:orient="portrait"/>
      <w:pgMar w:top="1080" w:right="1080" w:bottom="1080" w:left="1080" w:header="708" w:footer="60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4" w:color="c9d3de"/>
      </w:pBdr>
      <w:tabs>
        <w:tab w:val="right" w:pos="10080"/>
      </w:tabs>
      <w:spacing w:before="0" w:after="0"/>
    </w:pPr>
    <w:r>
      <w:rPr>
        <w:rFonts w:ascii="Cambria" w:hAnsi="Cambria"/>
        <w:color w:val="666666"/>
        <w:sz w:val="16"/>
      </w:rPr>
      <w:t xml:space="preserve">Chunk Structure &amp; Retrieval Architecture — September 2026</w:t>
    </w:r>
    <w:r>
      <w:rPr>
        <w:rFonts w:ascii="Cambria" w:hAnsi="Cambria"/>
        <w:color w:val="666666"/>
        <w:sz w:val="16"/>
      </w:rPr>
      <w:tab/>
    </w:r>
    <w:r>
      <w:rPr>
        <w:rFonts w:ascii="Cambria" w:hAnsi="Cambria"/>
        <w:color w:val="666666"/>
        <w:sz w:val="16"/>
      </w:rPr>
      <w:fldChar w:fldCharType="begin"/>
    </w:r>
    <w:r>
      <w:rPr>
        <w:rFonts w:ascii="Cambria" w:hAnsi="Cambria"/>
        <w:color w:val="666666"/>
        <w:sz w:val="16"/>
      </w:rPr>
      <w:instrText xml:space="preserve"> PAGE </w:instrText>
    </w:r>
    <w:r>
      <w:rPr>
        <w:rFonts w:ascii="Cambria" w:hAnsi="Cambria"/>
        <w:color w:val="666666"/>
        <w:sz w:val="16"/>
      </w:rPr>
      <w:fldChar w:fldCharType="separate"/>
    </w:r>
    <w:r>
      <w:rPr>
        <w:rFonts w:ascii="Cambria" w:hAnsi="Cambria"/>
        <w:color w:val="666666"/>
        <w:sz w:val="16"/>
      </w:rPr>
      <w:t>1</w:t>
    </w:r>
    <w:r>
      <w:rPr>
        <w:rFonts w:ascii="Cambria" w:hAnsi="Cambria"/>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360" w:hanging="250"/>
      </w:pPr>
    </w:lvl>
    <w:lvl w:ilvl="1">
      <w:numFmt w:val="bullet"/>
      <w:lvlText w:val="•"/>
      <w:lvlJc w:val="left"/>
      <w:pPr>
        <w:ind w:left="720" w:hanging="25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1">
    <w:nsid w:val="0000A991"/>
    <w:multiLevelType w:val="multilevel"/>
    <w:lvl w:ilvl="0">
      <w:numFmt w:val="bullet"/>
      <w:lvlText w:val="•"/>
      <w:lvlJc w:val="left"/>
      <w:pPr>
        <w:ind w:left="360" w:hanging="250"/>
      </w:pPr>
    </w:lvl>
    <w:lvl w:ilvl="1">
      <w:numFmt w:val="bullet"/>
      <w:lvlText w:val="–"/>
      <w:lvlJc w:val="left"/>
      <w:pPr>
        <w:ind w:left="720" w:hanging="25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360" w:hanging="250"/>
      </w:pPr>
    </w:lvl>
    <w:lvl w:ilvl="1">
      <w:start w:val="1"/>
      <w:numFmt w:val="decimal"/>
      <w:lvlText w:val="%2."/>
      <w:lvlJc w:val="left"/>
      <w:pPr>
        <w:ind w:left="720" w:hanging="25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default="1" w:styleId="Normal">
    <w:name w:val="Normal"/>
    <w:pPr>
      <w:spacing w:before="120" w:after="120" w:line="276" w:lineRule="auto"/>
      <w:jc w:val="left"/>
    </w:pPr>
    <w:rPr>
      <w:rFonts w:ascii="Cambria" w:hAnsi="Cambria" w:cs="Cambria" w:eastAsia="Cambria"/>
      <w:color w:val="1a1a1a"/>
      <w:sz w:val="22"/>
      <w:szCs w:val="22"/>
    </w:rPr>
  </w:style>
  <w:style w:type="paragraph" w:styleId="BodyText">
    <w:name w:val="Body Text"/>
    <w:basedOn w:val="Normal"/>
    <w:pPr>
      <w:spacing w:before="0" w:after="140" w:line="276" w:lineRule="auto"/>
    </w:pPr>
  </w:style>
  <w:style w:type="paragraph" w:styleId="FirstParagraph">
    <w:name w:val="First Paragraph"/>
    <w:basedOn w:val="BodyText"/>
  </w:style>
  <w:style w:type="paragraph" w:styleId="Compact">
    <w:name w:val="Compact"/>
    <w:basedOn w:val="Normal"/>
    <w:pPr>
      <w:spacing w:before="20" w:after="20" w:line="252" w:lineRule="auto"/>
    </w:pPr>
    <w:rPr>
      <w:sz w:val="20"/>
      <w:szCs w:val="20"/>
    </w:rPr>
  </w:style>
  <w:style w:type="paragraph" w:styleId="Title">
    <w:name w:val="Title"/>
    <w:basedOn w:val="Normal"/>
    <w:next w:val="Normal"/>
    <w:pPr>
      <w:spacing w:before="0" w:after="60"/>
      <w:contextualSpacing/>
    </w:pPr>
    <w:rPr>
      <w:rFonts w:ascii="Times New Roman" w:hAnsi="Times New Roman" w:cs="Times New Roman" w:eastAsia="Times New Roman"/>
      <w:b/>
      <w:color w:val="1f4e79"/>
      <w:sz w:val="52"/>
      <w:szCs w:val="52"/>
    </w:rPr>
  </w:style>
  <w:style w:type="paragraph" w:styleId="Subtitle">
    <w:name w:val="Subtitle"/>
    <w:basedOn w:val="Normal"/>
    <w:next w:val="Normal"/>
    <w:pPr>
      <w:pBdr>
        <w:bottom w:val="single" w:sz="8" w:space="6" w:color="0d7377"/>
      </w:pBdr>
      <w:spacing w:before="0" w:after="320"/>
    </w:pPr>
    <w:rPr>
      <w:rFonts w:ascii="Times New Roman" w:hAnsi="Times New Roman" w:cs="Times New Roman" w:eastAsia="Times New Roman"/>
      <w:color w:val="0d7377"/>
      <w:sz w:val="26"/>
      <w:szCs w:val="26"/>
    </w:rPr>
  </w:style>
  <w:style w:type="paragraph" w:styleId="Heading1">
    <w:name w:val="heading 1"/>
    <w:basedOn w:val="Normal"/>
    <w:next w:val="Normal"/>
    <w:pPr>
      <w:keepNext/>
      <w:keepLines/>
      <w:pBdr>
        <w:bottom w:val="single" w:sz="6" w:space="4" w:color="cfd8e3"/>
      </w:pBdr>
      <w:spacing w:before="400" w:after="180"/>
      <w:outlineLvl w:val="0"/>
    </w:pPr>
    <w:rPr>
      <w:rFonts w:ascii="Times New Roman" w:hAnsi="Times New Roman" w:cs="Times New Roman" w:eastAsia="Times New Roman"/>
      <w:b/>
      <w:color w:val="1f4e79"/>
      <w:sz w:val="32"/>
      <w:szCs w:val="32"/>
    </w:rPr>
  </w:style>
  <w:style w:type="paragraph" w:styleId="Heading2">
    <w:name w:val="heading 2"/>
    <w:basedOn w:val="Normal"/>
    <w:next w:val="Normal"/>
    <w:pPr>
      <w:keepNext/>
      <w:keepLines/>
      <w:spacing w:before="300" w:after="130"/>
      <w:outlineLvl w:val="1"/>
    </w:pPr>
    <w:rPr>
      <w:rFonts w:ascii="Times New Roman" w:hAnsi="Times New Roman" w:cs="Times New Roman" w:eastAsia="Times New Roman"/>
      <w:b/>
      <w:color w:val="0d7377"/>
      <w:sz w:val="26"/>
      <w:szCs w:val="26"/>
    </w:rPr>
  </w:style>
  <w:style w:type="paragraph" w:styleId="Heading3">
    <w:name w:val="heading 3"/>
    <w:basedOn w:val="Normal"/>
    <w:next w:val="Normal"/>
    <w:pPr>
      <w:keepNext/>
      <w:keepLines/>
      <w:spacing w:before="220" w:after="90"/>
      <w:outlineLvl w:val="2"/>
    </w:pPr>
    <w:rPr>
      <w:rFonts w:ascii="Times New Roman" w:hAnsi="Times New Roman" w:cs="Times New Roman" w:eastAsia="Times New Roman"/>
      <w:b/>
      <w:color w:val="2d2d2d"/>
      <w:sz w:val="23"/>
      <w:szCs w:val="23"/>
    </w:rPr>
  </w:style>
  <w:style w:type="paragraph" w:styleId="BlockText">
    <w:name w:val="Block Text"/>
    <w:basedOn w:val="Normal"/>
    <w:pPr>
      <w:keepLines/>
      <w:pBdr>
        <w:left w:val="single" w:sz="18" w:space="8" w:color="0d7377"/>
      </w:pBdr>
      <w:shd w:val="clear" w:color="auto" w:fill="f2f7f7"/>
      <w:spacing w:before="160" w:after="200"/>
      <w:ind w:left="180" w:right="120"/>
    </w:pPr>
    <w:rPr>
      <w:sz w:val="21"/>
      <w:szCs w:val="21"/>
    </w:rPr>
  </w:style>
  <w:style w:type="paragraph" w:styleId="SourceCode">
    <w:name w:val="Source Code"/>
    <w:basedOn w:val="Normal"/>
    <w:pPr>
      <w:pBdr>
        <w:top w:val="single" w:sz="4" w:space="2" w:color="dbe2ea"/>
        <w:left w:val="single" w:sz="4" w:space="6" w:color="dbe2ea"/>
        <w:bottom w:val="single" w:sz="4" w:space="2" w:color="dbe2ea"/>
        <w:right w:val="single" w:sz="4" w:space="4" w:color="dbe2ea"/>
      </w:pBdr>
      <w:shd w:val="clear" w:color="auto" w:fill="f7f9fb"/>
      <w:spacing w:before="0" w:after="0" w:line="240" w:lineRule="auto"/>
      <w:ind w:left="120" w:right="60"/>
    </w:pPr>
    <w:rPr>
      <w:rFonts w:ascii="Consolas" w:hAnsi="Consolas" w:cs="Consolas" w:eastAsia="Consolas"/>
      <w:color w:val="24292f"/>
      <w:sz w:val="17"/>
      <w:szCs w:val="17"/>
    </w:rPr>
  </w:style>
  <w:style w:type="character" w:styleId="VerbatimChar">
    <w:name w:val="Verbatim Char"/>
    <w:rPr>
      <w:rFonts w:ascii="Consolas" w:hAnsi="Consolas" w:cs="Consolas" w:eastAsia="Consolas"/>
      <w:color w:val="0b4f55"/>
      <w:sz w:val="19"/>
      <w:szCs w:val="19"/>
      <w:shd w:val="clear" w:color="auto" w:fill="eef3f3"/>
    </w:rPr>
  </w:style>
  <w:style w:type="table" w:styleId="Table">
    <w:name w:val="Table"/>
    <w:tblPr>
      <w:tblBorders>
        <w:top w:val="single" w:sz="4" w:space="0" w:color="c9d3de"/>
        <w:left w:val="single" w:sz="4" w:space="0" w:color="c9d3de"/>
        <w:bottom w:val="single" w:sz="4" w:space="0" w:color="c9d3de"/>
        <w:right w:val="single" w:sz="4" w:space="0" w:color="c9d3de"/>
        <w:insideH w:val="single" w:sz="4" w:space="0" w:color="dde4ec"/>
        <w:insideV w:val="single" w:sz="4" w:space="0" w:color="dde4ec"/>
      </w:tblBorders>
      <w:tblCellMar>
        <w:top w:w="80" w:type="dxa"/>
        <w:left w:w="110" w:type="dxa"/>
        <w:bottom w:w="80" w:type="dxa"/>
        <w:right w:w="110" w:type="dxa"/>
      </w:tblCellMar>
    </w:tblPr>
    <w:tblStylePr w:type="firstRow">
      <w:pPr>
        <w:keepNext/>
      </w:pPr>
      <w:rPr>
        <w:b/>
        <w:color w:val="ffffff"/>
      </w:rPr>
      <w:tcPr>
        <w:shd w:val="clear" w:color="auto" w:fill="0d7377"/>
      </w:tcPr>
    </w:tblStylePr>
    <w:tblStylePr w:type="band2Horz">
      <w:tcPr>
        <w:shd w:val="clear" w:color="auto" w:fill="f5f8fa"/>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Chunk Structure &amp; Retrieval Architecture</dc:title>
  <dc:creator/>
  <cp:keywords/>
  <dcterms:created xsi:type="dcterms:W3CDTF">2026-09-14T03:51:52Z</dcterms:created>
  <dcterms:modified xsi:type="dcterms:W3CDTF">2026-09-14T03:51:52Z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Legal AI — Technical and Product Documentation</vt:lpwstr>
  </property>
</Properties>
</file>