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864"/>
          <w:sz w:val="48"/>
          <w:szCs w:val="48"/>
        </w:rPr>
        <w:t xml:space="preserve">Trader Performance vs. Market Sentiment</w:t>
      </w:r>
    </w:p>
    <w:p>
      <w:pPr>
        <w:spacing w:after="100" w:before="200"/>
        <w:jc w:val="center"/>
      </w:pPr>
      <w:r>
        <w:rPr>
          <w:color w:val="2E75B6"/>
          <w:sz w:val="26"/>
          <w:szCs w:val="26"/>
        </w:rPr>
        <w:t xml:space="preserve">An Analysis of Hyperliquid Trading Behavior Against the Bitcoin Fear &amp; Greed Index</w:t>
      </w:r>
    </w:p>
    <w:p>
      <w:pPr>
        <w:spacing w:before="600"/>
        <w:jc w:val="center"/>
      </w:pPr>
      <w:r>
        <w:rPr>
          <w:color w:val="595959"/>
          <w:sz w:val="22"/>
          <w:szCs w:val="22"/>
        </w:rPr>
        <w:t xml:space="preserve">Data Science Take-Home Assignment — PrimeTrade.ai</w:t>
      </w:r>
    </w:p>
    <w:p>
      <w:pPr>
        <w:spacing w:before="100"/>
        <w:jc w:val="center"/>
      </w:pPr>
      <w:r>
        <w:rPr>
          <w:i/>
          <w:iCs/>
          <w:color w:val="595959"/>
          <w:sz w:val="20"/>
          <w:szCs w:val="20"/>
        </w:rPr>
        <w:t xml:space="preserve">Prepared July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Executive Summary</w:t>
      </w:r>
    </w:p>
    <w:p>
      <w:pPr>
        <w:spacing w:after="160" w:line="300"/>
      </w:pPr>
      <w:r>
        <w:t xml:space="preserve">This report examines whether Bitcoin market sentiment — as measured by the Fear &amp; Greed Index — is associated with systematic differences in how traders on Hyperliquid behave and perform. The analysis merges 211,224 individual trade executions from 32 accounts across 246 tokens with the daily Fear/Greed classification, covering a trading history from May 2023 through May 2025 (the bulk of activity falls in 2024–2025).</w:t>
      </w:r>
    </w:p>
    <w:p>
      <w:pPr>
        <w:spacing w:after="160" w:line="300"/>
      </w:pPr>
      <w:r>
        <w:t xml:space="preserve">Four patterns stand out: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</w:rPr>
        <w:t xml:space="preserve">Win rates are highest at sentiment extremes, but not symmetrically. </w:t>
      </w:r>
      <w:r>
        <w:t xml:space="preserve">Trades closed during Extreme Greed win 89.2% of the time and during Fear 87.3% of the time — both well above the 83.2% overall average. Extreme Fear (76.2%) and plain Greed (76.9%) are the weakest regimes for win rate.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</w:rPr>
        <w:t xml:space="preserve">Activity spikes sharply during fear. </w:t>
      </w:r>
      <w:r>
        <w:t xml:space="preserve">Average daily trading volume is roughly 5–7x higher in Fear and Extreme Fear regimes ( 5.3M and  8.2M per day respectively) than in Greed ( 1.5M per day), and traders execute far more orders per day (680–1,529 vs. 261) when the market is fearful.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</w:rPr>
        <w:t xml:space="preserve">Extreme Greed is where the best risk-adjusted trades happen. </w:t>
      </w:r>
      <w:r>
        <w:t xml:space="preserve">It combines the highest win rate (89.2%) with the highest average profit per closed trade ($130), while occurring on relatively low volume — suggesting cleaner, more trending conditions rather than panic-driven churn.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</w:rPr>
        <w:t xml:space="preserve">Liquidations and forced deleveraging cluster in Greed, not Fear. </w:t>
      </w:r>
      <w:r>
        <w:t xml:space="preserve">All 9 liquidation/auto-deleveraging events in the dataset occurred on Greed-classified days, despite Greed accounting for a minority of trading days — consistent with overconfidence and excess leverage building up during optimistic markets.</w:t>
      </w:r>
    </w:p>
    <w:p>
      <w:pPr>
        <w:spacing w:after="160" w:line="300"/>
      </w:pPr>
      <w:r>
        <w:t xml:space="preserve">Taken together, the data supports a contrarian, sentiment-aware approach: trade size and leverage discipline should tighten during Extreme Fear (high activity, lower win rate) and during Greed (where blow-ups concentrate), while Extreme Greed and Fear windows appear to reward continued participation.</w:t>
      </w:r>
    </w:p>
    <w:p>
      <w:pPr>
        <w:pStyle w:val="Heading1"/>
        <w:spacing w:after="160" w:before="320"/>
      </w:pPr>
      <w:r>
        <w:t xml:space="preserve">1. Data &amp; Methodology</w:t>
      </w:r>
    </w:p>
    <w:p>
      <w:pPr>
        <w:pStyle w:val="Heading2"/>
        <w:spacing w:after="120" w:before="260"/>
      </w:pPr>
      <w:r>
        <w:t xml:space="preserve">1.1 Datasets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</w:rPr>
        <w:t xml:space="preserve">Hyperliquid historical trades: </w:t>
      </w:r>
      <w:r>
        <w:t xml:space="preserve">211,224 rows covering account, coin, execution price, size (tokens &amp; USD), side, direction (open/close/liquidation/ADL), closed PnL, fees, and timestamp.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</w:rPr>
        <w:t xml:space="preserve">Bitcoin Fear &amp; Greed Index: </w:t>
      </w:r>
      <w:r>
        <w:t xml:space="preserve">daily sentiment classification (Extreme Fear → Extreme Greed) and a 0–100 index value, spanning 2018–2025.</w:t>
      </w:r>
    </w:p>
    <w:p>
      <w:pPr>
        <w:pStyle w:val="Heading2"/>
        <w:spacing w:after="120" w:before="260"/>
      </w:pPr>
      <w:r>
        <w:t xml:space="preserve">1.2 Processing steps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Parsed trade timestamps and derived a calendar date key to join with the daily sentiment index (exact-date match — 99.997% of trades matched successfully).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Collapsed the 5-class sentiment label into a simplified Fear / Neutral / Greed bucket for higher-level comparisons, while retaining the full 5-class breakdown for granular analysis.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Defined a “close event” as any row with non-zero Closed PnL (i.e., a realized gain or loss), used for win-rate and per-trade PnL statistics. Rows with zero Closed PnL are typically position-opening trades and were excluded from win-rate math but retained for volume/activity metrics.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Aggregated to daily level (total PnL, total volume, trade count per day) to analyze regime-level behavior independent of any single large trader.</w:t>
      </w:r>
    </w:p>
    <w:p>
      <w:pPr>
        <w:pStyle w:val="Heading2"/>
        <w:spacing w:after="120" w:before="260"/>
      </w:pPr>
      <w:r>
        <w:t xml:space="preserve">1.3 Scope note</w:t>
      </w:r>
    </w:p>
    <w:p>
      <w:pPr>
        <w:spacing w:after="160" w:line="300"/>
      </w:pPr>
      <w:r>
        <w:t xml:space="preserve">The dataset contains 32 accounts, so account-level findings (Section 4) should be read as illustrative of behavioral variety rather than a statistically representative trader population. Aggregate/regime-level findings (Sections 2–3) are based on the full 211K-row trade log and are more robust.</w:t>
      </w:r>
    </w:p>
    <w:p>
      <w:pPr>
        <w:pStyle w:val="Heading1"/>
        <w:spacing w:after="160" w:before="320"/>
      </w:pPr>
      <w:r>
        <w:t xml:space="preserve">2. Performance by Market Sentiment</w:t>
      </w:r>
    </w:p>
    <w:p>
      <w:pPr>
        <w:pStyle w:val="Heading2"/>
        <w:spacing w:after="120" w:before="260"/>
      </w:pPr>
      <w:r>
        <w:t xml:space="preserve">2.1 Win rate and average profitability</w:t>
      </w:r>
    </w:p>
    <w:p>
      <w:pPr>
        <w:spacing w:after="160" w:line="300"/>
      </w:pPr>
      <w:r>
        <w:t xml:space="preserve">Win rate (share of closed trades with positive PnL) and average PnL per closed trade both vary meaningfully by sentiment regime: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1. Win rate (bars, left axis) and average PnL per closed trade (line, right axis) by sentiment.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400"/>
        <w:gridCol w:w="2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Sentiment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Win Rate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Avg PnL / Close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 Closed Trades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Extreme Greed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89.2%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$130.21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20,853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Fear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87.3%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$112.63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29,808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Neutral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82.4%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$71.20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18,159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Greed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76.9%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$85.40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25,176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Extreme Fear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76.2%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$71.03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10,406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The pattern is not a simple “fear is bad, greed is good” story. Extreme Greed and Fear — arguably the two regimes with the clearest directional conviction in the market — produce the best trader outcomes. Extreme Fear (capitulation) and ordinary Greed (complacency / late-stage rallies) are where outcomes are weakest, plausibly because these are periods of sharper reversals and crowded, one-sided positioning.</w:t>
      </w:r>
    </w:p>
    <w:p>
      <w:pPr>
        <w:pStyle w:val="Heading2"/>
        <w:spacing w:after="120" w:before="260"/>
      </w:pPr>
      <w:r>
        <w:t xml:space="preserve">2.2 Activity and volume</w:t>
      </w:r>
    </w:p>
    <w:p>
      <w:pPr>
        <w:spacing w:after="160" w:line="300"/>
      </w:pPr>
      <w:r>
        <w:t xml:space="preserve">Trading activity is far from uniform across sentiment regimes. Traders are dramatically more active — in both volume and trade count — when the market is fearful: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2. Average daily trading volume and average daily realized PnL, by sentiment regime.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000"/>
        <w:gridCol w:w="2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Sentiment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Avg Daily Volume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Avg Trades / Day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Avg Daily PnL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Calendar Days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Extreme Fear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$8.18M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1,529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$52,794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Fear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$5.31M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680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$36,892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Neutral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$2.69M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562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$19,297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67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Extreme Greed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$1.09M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351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$23,817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114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Greed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$1.50M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261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$11,141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193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Extreme Fear days are rare (14 of 479 days in the sample) but disproportionately active — nearly 6x the average daily volume of Greed days. This is consistent with capitulation-style behavior: sharp moves draw high participation (stop-outs, panic exits, and opportunistic entries all at once), even though the win rate during these days is below average.</w:t>
      </w:r>
    </w:p>
    <w:p>
      <w:pPr>
        <w:pStyle w:val="Heading2"/>
        <w:spacing w:after="120" w:before="260"/>
      </w:pPr>
      <w:r>
        <w:t xml:space="preserve">2.3 Trade sizing</w:t>
      </w:r>
    </w:p>
    <w:p>
      <w:pPr>
        <w:spacing w:after="60" w:before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3. Median trade size (USD) by sentiment.</w:t>
      </w:r>
    </w:p>
    <w:p>
      <w:pPr>
        <w:spacing w:after="160" w:line="300"/>
      </w:pPr>
      <w:r>
        <w:t xml:space="preserve">Median trade size is broadly similar across regimes ($500–$766), indicating traders in this dataset don’t dramatically resize individual orders based on sentiment — the volume differences in Section 2.2 are driven mainly by trade frequency, not order size.</w:t>
      </w:r>
    </w:p>
    <w:p>
      <w:pPr>
        <w:pStyle w:val="Heading2"/>
        <w:spacing w:after="120" w:before="260"/>
      </w:pPr>
      <w:r>
        <w:t xml:space="preserve">2.4 PnL over time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4. 7-day rolling average of total daily realized PnL across the sample period.</w:t>
      </w:r>
    </w:p>
    <w:p>
      <w:pPr>
        <w:spacing w:after="160" w:line="300"/>
      </w:pPr>
      <w:r>
        <w:t xml:space="preserve">The correlation between the raw Fear/Greed index value (0–100) and daily realized PnL is weakly negative (r ≈ −0.08), and the correlation with daily volume is more clearly negative (r ≈ −0.26) — confirming quantitatively that lower sentiment readings (more fear) are associated with higher trading activity, and mildly with higher profitability.</w:t>
      </w:r>
    </w:p>
    <w:p>
      <w:pPr>
        <w:pStyle w:val="Heading1"/>
        <w:spacing w:after="160" w:before="320"/>
      </w:pPr>
      <w:r>
        <w:t xml:space="preserve">3. Risk Events: Liquidations &amp; Auto-Deleveraging</w:t>
      </w:r>
    </w:p>
    <w:p>
      <w:pPr>
        <w:spacing w:after="160" w:line="300"/>
      </w:pPr>
      <w:r>
        <w:t xml:space="preserve">The dataset contains 9 forced-risk events (liquidations and auto-deleveraging). All 9 occurred on days classified as Greed — none during Fear, Extreme Fear, Extreme Greed, or Neutral days. With Greed accounting for only about 40% of calendar days in the sample, this concentration is notable.</w:t>
      </w:r>
    </w:p>
    <w:p>
      <w:pPr>
        <w:spacing w:after="160" w:line="300"/>
      </w:pPr>
      <w:r>
        <w:t xml:space="preserve">A plausible interpretation: rallies during “Greed” (as opposed to euphoric “Extreme Greed” blow-off tops) are where traders are most likely to add leverage into a market that then reverses or chops, triggering forced closes. This is a useful, low-noise signal for risk management: leverage limits and margin buffers could reasonably be tightened specifically during Greed-labeled conditions, not just during Fear as intuition might suggest.</w:t>
      </w:r>
    </w:p>
    <w:p>
      <w:pPr>
        <w:pStyle w:val="Heading1"/>
        <w:spacing w:after="160" w:before="320"/>
      </w:pPr>
      <w:r>
        <w:t xml:space="preserve">4. Coin- and Account-Level Variation</w:t>
      </w:r>
    </w:p>
    <w:p>
      <w:pPr>
        <w:pStyle w:val="Heading2"/>
        <w:spacing w:after="120" w:before="260"/>
      </w:pPr>
      <w:r>
        <w:t xml:space="preserve">4.1 Coins behave differently across regimes</w:t>
      </w:r>
    </w:p>
    <w:p>
      <w:pPr>
        <w:spacing w:after="160" w:line="300"/>
      </w:pPr>
      <w:r>
        <w:t xml:space="preserve">Realized PnL by coin is highly regime-dependent. For example, in this dataset ETH and HYPE were profitable across every sentiment regime including Extreme Fear, while more speculative tokens (e.g., FARTCOIN, and the anonymized “@107” market) swung from large gains in Extreme Greed to losses in Extreme Fear — consistent with higher-beta, sentiment-sensitive assets amplifying regime effects.</w:t>
      </w:r>
    </w:p>
    <w:p>
      <w:pPr>
        <w:pStyle w:val="Heading2"/>
        <w:spacing w:after="120" w:before="260"/>
      </w:pPr>
      <w:r>
        <w:t xml:space="preserve">4.2 Traders are not uniform</w:t>
      </w:r>
    </w:p>
    <w:p>
      <w:pPr>
        <w:spacing w:after="160" w:line="300"/>
      </w:pPr>
      <w:r>
        <w:t xml:space="preserve">Looking at the ten highest-volume accounts, average PnL by sentiment bucket varies by trader: some accounts perform best in Fear, others in Greed, and a couple are consistently positive across all regimes while others are consistently marginal. This indicates sentiment is one useful factor among several — not a variable that overrides individual strategy or skill — and supports treating sentiment as a position-sizing/risk overlay rather than a standalone signal.</w:t>
      </w:r>
    </w:p>
    <w:p>
      <w:pPr>
        <w:pStyle w:val="Heading1"/>
        <w:spacing w:after="160" w:before="320"/>
      </w:pPr>
      <w:r>
        <w:t xml:space="preserve">5. Strategic Recommendations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</w:rPr>
        <w:t xml:space="preserve">1. Use sentiment as a risk-sizing overlay, not a directional signal on its own. </w:t>
      </w:r>
      <w:r>
        <w:t xml:space="preserve">Win rate and profitability differences across regimes are real but moderate (roughly 10–15 percentage points of win rate) — large enough to inform position sizing and leverage limits, not large enough to justify a binary “only trade in Regime X” rule.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</w:rPr>
        <w:t xml:space="preserve">2. Tighten leverage/margin buffers specifically during Greed (not just Fear). </w:t>
      </w:r>
      <w:r>
        <w:t xml:space="preserve">This is the regime where all observed forced-liquidation events occurred, likely reflecting overconfidence and leverage build-up ahead of reversals.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</w:rPr>
        <w:t xml:space="preserve">3. Expect — and prepare operationally for — activity surges during Fear and Extreme Fear. </w:t>
      </w:r>
      <w:r>
        <w:t xml:space="preserve">Volume and trade counts rise 5–7x versus Greed conditions; execution infrastructure, slippage assumptions, and risk monitoring should scale accordingly during these windows.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</w:rPr>
        <w:t xml:space="preserve">4. Treat Extreme Greed as a higher-quality trending regime. </w:t>
      </w:r>
      <w:r>
        <w:t xml:space="preserve">It shows the best combination of win rate and average PnL per trade, on relatively controlled volume — a profile more consistent with clean trends than panic-driven churn.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</w:rPr>
        <w:t xml:space="preserve">5. Layer in asset-level sentiment sensitivity. </w:t>
      </w:r>
      <w:r>
        <w:t xml:space="preserve">Higher-beta / narrative-driven tokens amplify sentiment regime effects far more than large-cap assets like BTC and ETH; sentiment-based risk adjustments should be more aggressive for these tokens specifically.</w:t>
      </w:r>
    </w:p>
    <w:p>
      <w:pPr>
        <w:pStyle w:val="Heading1"/>
        <w:spacing w:after="160" w:before="320"/>
      </w:pPr>
      <w:r>
        <w:t xml:space="preserve">6. Limitations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Only 32 accounts are represented; account-level conclusions (Section 4.2) are illustrative, not statistically generalizable to the broader trader population.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Daily sentiment classification is a blunt instrument — it doesn’t capture intraday sentiment shifts, and trades are matched to sentiment by calendar date only.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“Closed PnL” reflects realized outcomes only; open, unrealized positions at the end of the sample are not captured in the win-rate calculation.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t xml:space="preserve">Correlation results (Section 2.4) are associational; the analysis does not establish that sentiment causes the observed behavior, only that the two are related.</w:t>
      </w:r>
    </w:p>
    <w:p>
      <w:pPr>
        <w:pStyle w:val="Heading1"/>
        <w:spacing w:after="160" w:before="320"/>
      </w:pPr>
      <w:r>
        <w:t xml:space="preserve">7. Conclusion</w:t>
      </w:r>
    </w:p>
    <w:p>
      <w:pPr>
        <w:spacing w:after="160" w:line="300"/>
      </w:pPr>
      <w:r>
        <w:t xml:space="preserve">Market sentiment, as captured by the Fear &amp; Greed Index, is a meaningful but secondary factor in trader outcomes on Hyperliquid. The clearest, most actionable finding is behavioral rather than purely about profitability: traders are far more active during fear, and risk events cluster during greed — which argues for a sentiment-aware risk framework (leverage limits, margin buffers, execution capacity) layered on top of — not in place of — existing trading strategy.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1b305f3bec0f9355896d34cc5327839d1e81fe.png"/><Relationship Id="rId8" Type="http://schemas.openxmlformats.org/officeDocument/2006/relationships/image" Target="media/947a5e358ec7476e3bac1969d44c923257060b03.png"/><Relationship Id="rId9" Type="http://schemas.openxmlformats.org/officeDocument/2006/relationships/image" Target="media/d3ebdbec50b6657b2ffbd5a3170b265e1d6cbcbf.png"/><Relationship Id="rId10" Type="http://schemas.openxmlformats.org/officeDocument/2006/relationships/image" Target="media/940ef9cbd33490320bc8752aebe6ff71521d4fe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2026-07-03T10:03:42.611Z</dcterms:created>
  <dcterms:modified xsi:type="dcterms:W3CDTF">2026-07-03T10:03:42.611Z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