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AMENDMENT NO. 1 TO MASTER SERVICES AGREEMENT</w:t>
      </w:r>
    </w:p>
    <w:p>
      <w:r>
        <w:t>This Amendment No. 1 is effective as of March 1, 2026 and amends the Master Services Agreement dated December 1, 2023 between Acme Corp and Northwind Software Ltd.</w:t>
      </w:r>
    </w:p>
    <w:p>
      <w:r>
        <w:t>1. Section 9.2 is deleted and replaced with: "9.2 Cap on Indemnity. Supplier's total liability under this Section 9 shall not exceed two times (2x) the annual Fees paid in the twelve (12) months preceding the claim."</w:t>
      </w:r>
    </w:p>
    <w:p>
      <w:r>
        <w:t>2. Section 2.1 is deleted and replaced with: "2.1 Term. This Agreement begins on the Effective Date and continues for five (5) years unless terminated earlier in accordance with this Agreement."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