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December 1, 2023 (the "Effective Date") between Acme Corp ("Customer") and Northwind Software Ltd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three (3) years unless terminated earlier in accordance with this Agreement.</w:t>
      </w:r>
    </w:p>
    <w:p>
      <w:r>
        <w:t>2.2 Renewal. This Agreement renews automatically for successive one (1) year periods unless either party gives ninety (90) days written notice of non-renewal.</w:t>
      </w:r>
    </w:p>
    <w:p>
      <w:r>
        <w:t>3. Fees and Payment</w:t>
      </w:r>
    </w:p>
    <w:p>
      <w:r>
        <w:t>3.1 Fees. Customer shall pay the Fees within thirty (30)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five (5) years after termination.</w:t>
      </w:r>
    </w:p>
    <w:p>
      <w:r>
        <w:t>5. Intellectual Property</w:t>
      </w:r>
    </w:p>
    <w:p>
      <w:r>
        <w:t>5.1 Ownership. Customer owns all deliverables created specifically for Customer, subject to Section 12.3.</w:t>
      </w:r>
    </w:p>
    <w:p>
      <w:r>
        <w:t>5.2 Supplier Materials. Supplier retains ownership of its pre-existing materials and tools.</w:t>
      </w:r>
    </w:p>
    <w:p>
      <w:r>
        <w:t>9. Indemnification</w:t>
      </w:r>
    </w:p>
    <w:p>
      <w:r>
        <w:t>9.1 Supplier Indemnity. Supplier shall defend and indemnify Customer against third-party claims arising from:</w:t>
      </w:r>
    </w:p>
    <w:p>
      <w:r>
        <w:t>(a) infringement of any intellectual property right by the deliverables;</w:t>
      </w:r>
    </w:p>
    <w:p>
      <w:r>
        <w:t>(b) Supplier's gross negligence or willful misconduct; or</w:t>
      </w:r>
    </w:p>
    <w:p>
      <w:r>
        <w:t>(c) breach of Section 4 (Confidentiality).</w:t>
      </w:r>
    </w:p>
    <w:p>
      <w:r>
        <w:t>9.2 Cap on Indemnity. Supplier's total liability under this Section 9 shall not exceed one times (1x) the annual Fees paid in the twelve (12) months preceding the claim.</w:t>
      </w:r>
    </w:p>
    <w:p>
      <w:r>
        <w:t>10. Limitation of Liability</w:t>
      </w:r>
    </w:p>
    <w:p>
      <w:r>
        <w:t>10.1 Exclusion. Neither party is liable for indirect or consequential damages.</w:t>
      </w:r>
    </w:p>
    <w:p>
      <w:r>
        <w:t>10.2 Cap. Each party's aggregate liability shall not exceed the annual Fees, except for liability under Section 9.1(b).</w:t>
      </w:r>
    </w:p>
    <w:p>
      <w:r>
        <w:t>12. General</w:t>
      </w:r>
    </w:p>
    <w:p>
      <w:r>
        <w:t>12.1 Notices. Notices must be in writing and delivered to the addresses set out in the applicable Statement of Work.</w:t>
      </w:r>
    </w:p>
    <w:p>
      <w:r>
        <w:t>12.2 Governing Law. This Agreement is governed by the laws of the State of New York.</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