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NO. 1</w:t>
      </w:r>
    </w:p>
    <w:p>
      <w:r>
        <w:t>This Statement of Work is effective as of January 15, 2024 and is issued under the Master Services Agreement dated December 1, 2023 between Acme Corp and Northwind Software Ltd.</w:t>
      </w:r>
    </w:p>
    <w:p>
      <w:r>
        <w:t>1. Services</w:t>
      </w:r>
    </w:p>
    <w:p>
      <w:r>
        <w:t>Supplier shall provide the data migration services described in Schedule A.</w:t>
      </w:r>
    </w:p>
    <w:p>
      <w:r>
        <w:t>2. Fees</w:t>
      </w:r>
    </w:p>
    <w:p>
      <w:r>
        <w:t>2.1 Fixed Fee. Customer shall pay a fixed annual fee of USD 240,000.</w:t>
      </w:r>
    </w:p>
    <w:p>
      <w:r>
        <w:t>3. Term</w:t>
      </w:r>
    </w:p>
    <w:p>
      <w:r>
        <w:t>This Statement of Work begins on January 15, 2024 and ends on January 14, 2027.</w:t>
      </w:r>
    </w:p>
    <w:p>
      <w:r>
        <w:t>4. General</w:t>
      </w:r>
    </w:p>
    <w:p>
      <w:r>
        <w:t>4.1 Governing Law. This Statement of Work is governed by the laws of the State of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