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November 2, 2024 (the "Effective Date") between Acme Corp ("Customer") and Hooli Systems Inc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begins on the Effective Date and continues for two (2) years unless terminated earlier in accordance with this Agreement.</w:t>
      </w:r>
    </w:p>
    <w:p>
      <w:r>
        <w:t>2.2 Renewal. This Agreement renews automatically for successive one (1) year periods unless either party gives ninety (90) days written notice of non-renewal.</w:t>
      </w:r>
    </w:p>
    <w:p>
      <w:r>
        <w:t>3. Fees and Payment</w:t>
      </w:r>
    </w:p>
    <w:p>
      <w:r>
        <w:t>3.1 Fees. Customer shall pay the Fees within thirty (30) days of receipt of an undisputed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five (5) years after termination.</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Supplier shall defend and indemnify Customer against third-party claims arising from Supplier's gross negligence or willful misconduct.</w:t>
      </w:r>
    </w:p>
    <w:p>
      <w:r>
        <w:t>9.2 Cap on Indemnity. The indemnifying party's total liability under this Section 9 shall not exceed one times (1x) the annual Fees paid in the twelve (12) months preceding the claim.</w:t>
      </w:r>
    </w:p>
    <w:p>
      <w:r>
        <w:t>10. Limitation of Liability</w:t>
      </w:r>
    </w:p>
    <w:p>
      <w:r>
        <w:t>10.1 Exclusion. Neither party is liable for indirect or consequential damages.</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New York.</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