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is effective as of April 1, 2025 (the "Effective Date") between Acme Europe Ltd ("Customer") and Hooli Systems Inc ("Supplier").</w:t>
      </w:r>
    </w:p>
    <w:p>
      <w:r>
        <w:t>1. Definitions</w:t>
      </w:r>
    </w:p>
    <w:p>
      <w:r>
        <w:t>"Fees" means the annual fees payable by Customer under each Statement of Work.</w:t>
      </w:r>
    </w:p>
    <w:p>
      <w:r>
        <w:t>"Confidential Information" means non-public information disclosed by one party to the other.</w:t>
      </w:r>
    </w:p>
    <w:p>
      <w:r>
        <w:t>2. Term and Renewal</w:t>
      </w:r>
    </w:p>
    <w:p>
      <w:r>
        <w:t>2.1 Term. This Agreement begins on the Effective Date and continues for two (2) years unless terminated earlier in accordance with this Agreement.</w:t>
      </w:r>
    </w:p>
    <w:p>
      <w:r>
        <w:t>2.2 Renewal. This Agreement renews automatically for successive one (1) year periods unless either party gives ninety (90) days written notice of non-renewal.</w:t>
      </w:r>
    </w:p>
    <w:p>
      <w:r>
        <w:t>3. Fees and Payment</w:t>
      </w:r>
    </w:p>
    <w:p>
      <w:r>
        <w:t>3.1 Fees. Customer shall pay the Fees within thirty (30) days of receipt of an undisputed invoice.</w:t>
      </w:r>
    </w:p>
    <w:p>
      <w:r>
        <w:t>3.2 Late Payment. Overdue amounts accrue interest at one percent (1%) per month.</w:t>
      </w:r>
    </w:p>
    <w:p>
      <w:r>
        <w:t>4. Confidentiality</w:t>
      </w:r>
    </w:p>
    <w:p>
      <w:r>
        <w:t>Each party shall keep the other party's Confidential Information confidential and shall not disclose it to any third party without prior written consent, except as required by law. This obligation survives for five (5) years after termination.</w:t>
      </w:r>
    </w:p>
    <w:p>
      <w:r>
        <w:t>5. Intellectual Property</w:t>
      </w:r>
    </w:p>
    <w:p>
      <w:r>
        <w:t>5.1 Ownership. Customer owns all deliverables created specifically for Customer.</w:t>
      </w:r>
    </w:p>
    <w:p>
      <w:r>
        <w:t>5.2 Supplier Materials. Supplier retains ownership of its pre-existing materials and tools.</w:t>
      </w:r>
    </w:p>
    <w:p>
      <w:r>
        <w:t>9. Indemnification</w:t>
      </w:r>
    </w:p>
    <w:p>
      <w:r>
        <w:t>9.1 Indemnity. Supplier shall defend and indemnify Customer against third-party claims arising from Supplier's gross negligence or willful misconduct.</w:t>
      </w:r>
    </w:p>
    <w:p>
      <w:r>
        <w:t>9.2 Cap on Indemnity. The indemnifying party's total liability under this Section 9 shall not exceed one times (1x) the annual Fees paid in the twelve (12) months preceding the claim.</w:t>
      </w:r>
    </w:p>
    <w:p>
      <w:r>
        <w:t>10. Limitation of Liability</w:t>
      </w:r>
    </w:p>
    <w:p>
      <w:r>
        <w:t>10.1 Exclusion. Neither party is liable for indirect or consequential damages.</w:t>
      </w:r>
    </w:p>
    <w:p>
      <w:r>
        <w:t>10.2 Cap. Each party's aggregate liability shall not exceed the annual Fees.</w:t>
      </w:r>
    </w:p>
    <w:p>
      <w:r>
        <w:t>12. General</w:t>
      </w:r>
    </w:p>
    <w:p>
      <w:r>
        <w:t>12.1 Notices. Notices must be in writing and delivered to the addresses set out in the applicable Statement of Work.</w:t>
      </w:r>
    </w:p>
    <w:p>
      <w:r>
        <w:t>12.2 Governing Law. This Agreement is governed by the laws of England and Wales.</w:t>
      </w:r>
    </w:p>
    <w:p>
      <w:r>
        <w:t>12.3 Order of Precedence. In case of conflict, this Agreement prevails over any Statement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