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July 1, 2024 (the "Effective Date") between Acme Corp ("Customer") and Wayne Analytics LLC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does not renew automatically.</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three (3)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w:t>
      </w:r>
    </w:p>
    <w:p>
      <w:r>
        <w:t>9.2 Cap on Indemnity. The indemnifying party's total liability under this Section 9 shall not exceed two times (2x) the annual Fees paid in the twelve (12) months preceding the claim.</w:t>
      </w:r>
    </w:p>
    <w:p>
      <w:r>
        <w:t>10. Limitation of Liability</w:t>
      </w:r>
    </w:p>
    <w:p>
      <w:r>
        <w:t>10.1 Exclusion. Neither party is liable for indirect or consequential damages. This exclusion does not apply to claims arising from gross negligence.</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Texas.</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