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September 1, 2025 between Acme Corp and Stark Cloud Corp.</w:t>
      </w:r>
    </w:p>
    <w:p>
      <w:r>
        <w:t>1. Confidential Information</w:t>
      </w:r>
    </w:p>
    <w:p>
      <w:r>
        <w:t>"Confidential Information" means all technical or business information disclosed by either party.</w:t>
      </w:r>
    </w:p>
    <w:p>
      <w:r>
        <w:t>2. Non-Disclosure Obligations</w:t>
      </w:r>
    </w:p>
    <w:p>
      <w:r>
        <w:t>Each party agrees to protect the Confidential Information of the other party with the same degree of care it uses for its own confidential information.</w:t>
      </w:r>
    </w:p>
    <w:p>
      <w:r>
        <w:t>3. Term</w:t>
      </w:r>
    </w:p>
    <w:p>
      <w:r>
        <w:t>3.1 Term. This Agreement begins on the Effective Date and continues for two (2) years. Obligations survive for three (3) years after termination.</w:t>
      </w:r>
    </w:p>
    <w:p>
      <w:r>
        <w:t>4. General</w:t>
      </w:r>
    </w:p>
    <w:p>
      <w:r>
        <w:t>4.1 Governing Law. This Agreement is governed by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