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NO. 1</w:t>
      </w:r>
    </w:p>
    <w:p>
      <w:r>
        <w:t>This Statement of Work is effective as of January 1, 2025 and is issued under the Master Services Agreement dated November 2, 2024 between Acme Corp and Hooli Systems Inc.</w:t>
      </w:r>
    </w:p>
    <w:p>
      <w:r>
        <w:t>1. Services</w:t>
      </w:r>
    </w:p>
    <w:p>
      <w:r>
        <w:t>Supplier shall provide the software development services described in Schedule A.</w:t>
      </w:r>
    </w:p>
    <w:p>
      <w:r>
        <w:t>2. Fees</w:t>
      </w:r>
    </w:p>
    <w:p>
      <w:r>
        <w:t>2.1 Fixed Fee. Customer shall pay a fixed annual fee of USD 180,000.</w:t>
      </w:r>
    </w:p>
    <w:p>
      <w:r>
        <w:t>3. Term</w:t>
      </w:r>
    </w:p>
    <w:p>
      <w:r>
        <w:t>This Statement of Work begins on January 1, 2025 and ends on December 31, 2026.</w:t>
      </w:r>
    </w:p>
    <w:p>
      <w:r>
        <w:t>4. General</w:t>
      </w:r>
    </w:p>
    <w:p>
      <w:r>
        <w:t>4.1 Governing Law. This Statement of Work is governed by the laws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