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ENGINEERING APPROVAL NOTE</w:t>
      </w:r>
    </w:p>
    <w:p>
      <w:pPr>
        <w:pStyle w:val="Heading1"/>
      </w:pPr>
      <w:r>
        <w:t>Executive Summary</w:t>
      </w:r>
    </w:p>
    <w:p>
      <w:r>
        <w:t>Industrial inspection report analysis performed under air-gapped Sovereign AI Workbench supervision.</w:t>
      </w:r>
    </w:p>
    <w:p>
      <w:pPr>
        <w:pStyle w:val="Heading1"/>
      </w:pPr>
      <w:r>
        <w:t>Key Finding &amp; Deviation</w:t>
      </w:r>
    </w:p>
    <w:p>
      <w:r>
        <w:t>Critical pressure reading detected. Calculation result: Pressure Variance: 19.00% (CRITICAL OVERPRESSURE)</w:t>
      </w:r>
    </w:p>
    <w:p>
      <w:pPr>
        <w:pStyle w:val="Heading1"/>
      </w:pPr>
      <w:r>
        <w:t>Safety SOP Compliance Reference</w:t>
      </w:r>
    </w:p>
    <w:p>
      <w:r>
        <w:t>Safety_SOP_Standard_Procedure.pdf (Page 13): SOP-17 Section 4.2: Pressure relief valve inspection must occur every 90 days with documented calibration logs.</w:t>
      </w:r>
    </w:p>
    <w:p>
      <w:pPr>
        <w:pStyle w:val="Heading1"/>
      </w:pPr>
      <w:r>
        <w:t>Operator Approval Sign-off</w:t>
      </w:r>
    </w:p>
    <w:p>
      <w:r>
        <w:t>Action approved by Operator. Approval Ticket ID: e6db12d7-044e-46d2-9eaf-d279ddb0607c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