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99D9" w14:textId="77777777" w:rsidR="001E07FC" w:rsidRDefault="00000000">
      <w:pPr>
        <w:pStyle w:val="Title"/>
        <w:jc w:val="center"/>
      </w:pPr>
      <w:r>
        <w:rPr>
          <w:b/>
          <w:color w:val="000000"/>
          <w:sz w:val="36"/>
        </w:rPr>
        <w:t>Statement of Purpose / Dissertation Proposal</w:t>
      </w:r>
    </w:p>
    <w:p w14:paraId="35B8FEC3" w14:textId="77777777" w:rsidR="001E07FC" w:rsidRDefault="001E07FC"/>
    <w:p w14:paraId="15124C05" w14:textId="77777777" w:rsidR="001E07FC" w:rsidRDefault="00000000">
      <w:pPr>
        <w:pStyle w:val="Heading1"/>
        <w:jc w:val="center"/>
      </w:pPr>
      <w:r>
        <w:rPr>
          <w:color w:val="000080"/>
        </w:rPr>
        <w:t>A Dual-Module Explainable AI System for PCOS Screening and Rotterdam Phenotype Classification Using Public Ultrasound and Clinical Datasets</w:t>
      </w:r>
    </w:p>
    <w:p w14:paraId="79FB12BC" w14:textId="77777777" w:rsidR="001E07FC" w:rsidRDefault="001E07FC"/>
    <w:p w14:paraId="300ABBF8" w14:textId="77777777" w:rsidR="001E07FC" w:rsidRDefault="00000000">
      <w:pPr>
        <w:pStyle w:val="Heading1"/>
      </w:pPr>
      <w:r>
        <w:rPr>
          <w:color w:val="000080"/>
        </w:rPr>
        <w:t>1. Introduction</w:t>
      </w:r>
    </w:p>
    <w:p w14:paraId="26D9F4BC" w14:textId="031E5225" w:rsidR="001E07FC" w:rsidRDefault="00000000">
      <w:r>
        <w:t>Polycystic Ovary Syndrome (PCOS) affects 6</w:t>
      </w:r>
      <w:r w:rsidR="00684CBC">
        <w:t>-</w:t>
      </w:r>
      <w:r>
        <w:t xml:space="preserve">20% of reproductive-age women worldwide and represents one of the most common endocrine disorders. The 2003 Rotterdam ESHRE/ASRM consensus defines four distinct phenotypes (A, B, C, D) based on combinations of hyperandrogenism (HA), ovulatory dysfunction (OD), and polycystic ovarian morphology (PCOM). These phenotypes carry vastly different metabolic risks and require fundamentally different treatment </w:t>
      </w:r>
      <w:proofErr w:type="gramStart"/>
      <w:r>
        <w:t xml:space="preserve">strategies </w:t>
      </w:r>
      <w:r w:rsidR="00684CBC">
        <w:t>:</w:t>
      </w:r>
      <w:proofErr w:type="gramEnd"/>
      <w:r>
        <w:t xml:space="preserve"> from aggressive metformin-based metabolic intervention in Phenotype A to ovulation-focused management in Phenotype D.</w:t>
      </w:r>
    </w:p>
    <w:p w14:paraId="128E8965" w14:textId="77777777" w:rsidR="001E07FC" w:rsidRDefault="00000000">
      <w:r>
        <w:t>Despite significant advances in artificial intelligence (AI) for PCOS detection, the field remains fragmented. Deep learning models on ultrasound images achieve &gt;95% accuracy in binary PCOS vs. Normal classification, yet provide no phenotypic stratification. Conversely, clinical machine learning models can predict metabolic risk from biochemical markers but do not process the raw imaging data that forms the cornerstone of PCOM diagnosis. No publicly available dataset contains aligned ultrasound images and clinical records from identical patients, making true end-to-end multimodal fusion infeasible for independent academic research.</w:t>
      </w:r>
    </w:p>
    <w:p w14:paraId="0139AAE8" w14:textId="213B58FA" w:rsidR="001E07FC" w:rsidRDefault="00000000">
      <w:r>
        <w:t xml:space="preserve">This dissertation proposes a </w:t>
      </w:r>
      <w:r>
        <w:rPr>
          <w:b/>
        </w:rPr>
        <w:t>dual-module explainable AI system</w:t>
      </w:r>
      <w:r>
        <w:t xml:space="preserve"> comprising two independent but complementary components: a deep learning module for automated PCOS detection from raw transvaginal ultrasound images,</w:t>
      </w:r>
      <w:r w:rsidR="00684CBC">
        <w:t xml:space="preserve"> and </w:t>
      </w:r>
      <w:r>
        <w:t xml:space="preserve">Rotterdam phenotype classification from structured biochemical and demographic data. </w:t>
      </w:r>
      <w:r w:rsidR="00684CBC">
        <w:t>When we combine</w:t>
      </w:r>
      <w:r>
        <w:t xml:space="preserve"> these modules</w:t>
      </w:r>
      <w:r w:rsidR="00684CBC">
        <w:t>, we get</w:t>
      </w:r>
      <w:r>
        <w:t xml:space="preserve"> a comprehensive clinical decision-support framework that addresses both </w:t>
      </w:r>
      <w:r w:rsidRPr="00684CBC">
        <w:rPr>
          <w:b/>
          <w:bCs/>
        </w:rPr>
        <w:t>screening</w:t>
      </w:r>
      <w:r>
        <w:t xml:space="preserve"> and </w:t>
      </w:r>
      <w:r w:rsidRPr="00684CBC">
        <w:rPr>
          <w:b/>
          <w:bCs/>
        </w:rPr>
        <w:t>subtyping</w:t>
      </w:r>
      <w:r w:rsidR="00684CBC">
        <w:t>:</w:t>
      </w:r>
      <w:r>
        <w:t xml:space="preserve"> the two critical steps in evidence-based PCOS management.</w:t>
      </w:r>
    </w:p>
    <w:p w14:paraId="1C5E3723" w14:textId="77777777" w:rsidR="001E07FC" w:rsidRDefault="00000000">
      <w:pPr>
        <w:pStyle w:val="Heading1"/>
      </w:pPr>
      <w:r>
        <w:rPr>
          <w:color w:val="000080"/>
        </w:rPr>
        <w:t>2. Problem Statement</w:t>
      </w:r>
    </w:p>
    <w:p w14:paraId="6575FDAD" w14:textId="77777777" w:rsidR="001E07FC" w:rsidRDefault="00000000">
      <w:r>
        <w:t>Current PCOS AI research is characterized by two disconnected streams:</w:t>
      </w:r>
    </w:p>
    <w:p w14:paraId="7A91B185" w14:textId="49BBC123" w:rsidR="001E07FC" w:rsidRDefault="00000000">
      <w:pPr>
        <w:pStyle w:val="ListNumber"/>
      </w:pPr>
      <w:r>
        <w:lastRenderedPageBreak/>
        <w:t xml:space="preserve">Image-based models </w:t>
      </w:r>
      <w:r w:rsidR="00684CBC">
        <w:t>generally</w:t>
      </w:r>
      <w:r>
        <w:t xml:space="preserve">classify PCOS vs. Normal with high accuracy but </w:t>
      </w:r>
      <w:r w:rsidR="00684CBC">
        <w:t>t</w:t>
      </w:r>
      <w:r>
        <w:t>, leaving clinicians without guidance on metabolic severity or treatment intensity.</w:t>
      </w:r>
    </w:p>
    <w:p w14:paraId="42543167" w14:textId="3E1E5931" w:rsidR="001E07FC" w:rsidRDefault="00000000">
      <w:pPr>
        <w:pStyle w:val="ListNumber"/>
      </w:pPr>
      <w:r>
        <w:t xml:space="preserve">Clinical-based models predict risk from tabular data but cannot leverage the visual morphological patterns (follicle distribution, stromal echogenicity) that define </w:t>
      </w:r>
      <w:proofErr w:type="gramStart"/>
      <w:r>
        <w:t xml:space="preserve">PCOM </w:t>
      </w:r>
      <w:r w:rsidR="00684CBC">
        <w:t>:</w:t>
      </w:r>
      <w:proofErr w:type="gramEnd"/>
      <w:r>
        <w:t xml:space="preserve"> a mandatory Rotterdam criterion.</w:t>
      </w:r>
    </w:p>
    <w:p w14:paraId="32F82073" w14:textId="77777777" w:rsidR="001E07FC" w:rsidRDefault="00000000">
      <w:r>
        <w:t>Furthermore, the absence of publicly available aligned multimodal datasets (where the same patient has both ultrasound images and complete clinical records) prevents the development of validated fusion architectures. A 2025 systematic review of 36 PCOS datasets explicitly concluded that "among all open-source datasets, none are multimodal" (Li et al., 2025), and a 2025 NIH review of 80 AI-PCOS studies identified limited multimodal integration as a critical barrier to clinical translation.</w:t>
      </w:r>
    </w:p>
    <w:p w14:paraId="7401A20F" w14:textId="4342EC95" w:rsidR="001E07FC" w:rsidRDefault="00000000">
      <w:r>
        <w:t xml:space="preserve">This project asks: </w:t>
      </w:r>
      <w:r>
        <w:rPr>
          <w:i/>
        </w:rPr>
        <w:t xml:space="preserve">Can we develop two specialized, explainable AI </w:t>
      </w:r>
      <w:proofErr w:type="gramStart"/>
      <w:r>
        <w:rPr>
          <w:i/>
        </w:rPr>
        <w:t xml:space="preserve">modules </w:t>
      </w:r>
      <w:r w:rsidR="00684CBC">
        <w:rPr>
          <w:i/>
        </w:rPr>
        <w:t>:</w:t>
      </w:r>
      <w:proofErr w:type="gramEnd"/>
      <w:r>
        <w:rPr>
          <w:i/>
        </w:rPr>
        <w:t xml:space="preserve"> one for image-based screening and one for clinical phenotype </w:t>
      </w:r>
      <w:proofErr w:type="gramStart"/>
      <w:r>
        <w:rPr>
          <w:i/>
        </w:rPr>
        <w:t xml:space="preserve">classification </w:t>
      </w:r>
      <w:r w:rsidR="00684CBC">
        <w:rPr>
          <w:i/>
        </w:rPr>
        <w:t>:</w:t>
      </w:r>
      <w:proofErr w:type="gramEnd"/>
      <w:r>
        <w:rPr>
          <w:i/>
        </w:rPr>
        <w:t xml:space="preserve"> that together provide a comprehensive, clinically actionable decision-support framework without requiring patient-level data alignment?</w:t>
      </w:r>
    </w:p>
    <w:p w14:paraId="7DB301D2" w14:textId="77777777" w:rsidR="001E07FC" w:rsidRDefault="00000000">
      <w:pPr>
        <w:pStyle w:val="Heading1"/>
      </w:pPr>
      <w:r>
        <w:rPr>
          <w:color w:val="000080"/>
        </w:rPr>
        <w:t>3. Research Gap &amp; Motivation</w:t>
      </w:r>
    </w:p>
    <w:tbl>
      <w:tblPr>
        <w:tblStyle w:val="TableGrid"/>
        <w:tblW w:w="0" w:type="auto"/>
        <w:tblLook w:val="04A0" w:firstRow="1" w:lastRow="0" w:firstColumn="1" w:lastColumn="0" w:noHBand="0" w:noVBand="1"/>
      </w:tblPr>
      <w:tblGrid>
        <w:gridCol w:w="4320"/>
        <w:gridCol w:w="4320"/>
      </w:tblGrid>
      <w:tr w:rsidR="001E07FC" w14:paraId="04D9DD26" w14:textId="77777777">
        <w:tc>
          <w:tcPr>
            <w:tcW w:w="4320" w:type="dxa"/>
            <w:shd w:val="clear" w:color="auto" w:fill="D9E1F2"/>
          </w:tcPr>
          <w:p w14:paraId="5759D68A" w14:textId="77777777" w:rsidR="001E07FC" w:rsidRDefault="00000000">
            <w:r>
              <w:rPr>
                <w:b/>
              </w:rPr>
              <w:t>Identified Gap</w:t>
            </w:r>
          </w:p>
        </w:tc>
        <w:tc>
          <w:tcPr>
            <w:tcW w:w="4320" w:type="dxa"/>
            <w:shd w:val="clear" w:color="auto" w:fill="D9E1F2"/>
          </w:tcPr>
          <w:p w14:paraId="2C8852B6" w14:textId="77777777" w:rsidR="001E07FC" w:rsidRDefault="00000000">
            <w:r>
              <w:rPr>
                <w:b/>
              </w:rPr>
              <w:t>How This Project Addresses It</w:t>
            </w:r>
          </w:p>
        </w:tc>
      </w:tr>
      <w:tr w:rsidR="001E07FC" w14:paraId="4A2BA2B6" w14:textId="77777777">
        <w:tc>
          <w:tcPr>
            <w:tcW w:w="4320" w:type="dxa"/>
          </w:tcPr>
          <w:p w14:paraId="3505A3CB" w14:textId="77777777" w:rsidR="001E07FC" w:rsidRDefault="00000000">
            <w:r>
              <w:t>No public aligned multimodal dataset exists for PCOS (Li et al., 2025; NIH, 2025)</w:t>
            </w:r>
          </w:p>
        </w:tc>
        <w:tc>
          <w:tcPr>
            <w:tcW w:w="4320" w:type="dxa"/>
          </w:tcPr>
          <w:p w14:paraId="346963EF" w14:textId="77777777" w:rsidR="001E07FC" w:rsidRDefault="00000000">
            <w:r>
              <w:t>Develops two independent modules on separate public datasets, avoiding synthetic patient pairing.</w:t>
            </w:r>
          </w:p>
        </w:tc>
      </w:tr>
      <w:tr w:rsidR="001E07FC" w14:paraId="449E96C2" w14:textId="77777777">
        <w:tc>
          <w:tcPr>
            <w:tcW w:w="4320" w:type="dxa"/>
          </w:tcPr>
          <w:p w14:paraId="070E069F" w14:textId="77777777" w:rsidR="001E07FC" w:rsidRDefault="00000000">
            <w:r>
              <w:t>Binary classification dominates; phenotype-level ML is rare (NIH, 2025)</w:t>
            </w:r>
          </w:p>
        </w:tc>
        <w:tc>
          <w:tcPr>
            <w:tcW w:w="4320" w:type="dxa"/>
          </w:tcPr>
          <w:p w14:paraId="4020C7D2" w14:textId="77777777" w:rsidR="001E07FC" w:rsidRDefault="00000000">
            <w:r>
              <w:t>Module 2 specifically targets four-class Rotterdam phenotype classification (A/B/C/D).</w:t>
            </w:r>
          </w:p>
        </w:tc>
      </w:tr>
      <w:tr w:rsidR="001E07FC" w14:paraId="0DE47403" w14:textId="77777777">
        <w:tc>
          <w:tcPr>
            <w:tcW w:w="4320" w:type="dxa"/>
          </w:tcPr>
          <w:p w14:paraId="130A77A8" w14:textId="77777777" w:rsidR="001E07FC" w:rsidRDefault="00000000">
            <w:r>
              <w:t>Only ~25% of PCOS AI studies incorporate explainability (NIH, 2025)</w:t>
            </w:r>
          </w:p>
        </w:tc>
        <w:tc>
          <w:tcPr>
            <w:tcW w:w="4320" w:type="dxa"/>
          </w:tcPr>
          <w:p w14:paraId="139D2015" w14:textId="77777777" w:rsidR="001E07FC" w:rsidRDefault="00000000">
            <w:r>
              <w:t>Both modules integrate XAI: Grad-CAM++ for images, SHAP for clinical features.</w:t>
            </w:r>
          </w:p>
        </w:tc>
      </w:tr>
      <w:tr w:rsidR="001E07FC" w14:paraId="4F3C6357" w14:textId="77777777">
        <w:tc>
          <w:tcPr>
            <w:tcW w:w="4320" w:type="dxa"/>
          </w:tcPr>
          <w:p w14:paraId="10435B47" w14:textId="77777777" w:rsidR="001E07FC" w:rsidRDefault="00000000">
            <w:r>
              <w:t>Image models and clinical models are rarely evaluated within a unified clinical framework</w:t>
            </w:r>
          </w:p>
        </w:tc>
        <w:tc>
          <w:tcPr>
            <w:tcW w:w="4320" w:type="dxa"/>
          </w:tcPr>
          <w:p w14:paraId="03117183" w14:textId="77777777" w:rsidR="001E07FC" w:rsidRDefault="00000000">
            <w:r>
              <w:t>A unified decision-support layer maps both outputs to phenotype-specific treatment recommendations.</w:t>
            </w:r>
          </w:p>
        </w:tc>
      </w:tr>
    </w:tbl>
    <w:p w14:paraId="5ABBD5A6" w14:textId="77777777" w:rsidR="001E07FC" w:rsidRDefault="00000000">
      <w:pPr>
        <w:pStyle w:val="Heading1"/>
      </w:pPr>
      <w:r>
        <w:rPr>
          <w:color w:val="000080"/>
        </w:rPr>
        <w:t>4. Research Objectives</w:t>
      </w:r>
    </w:p>
    <w:p w14:paraId="7300385D" w14:textId="7B4C2250" w:rsidR="001E07FC" w:rsidRDefault="00000000">
      <w:pPr>
        <w:pStyle w:val="ListNumber"/>
      </w:pPr>
      <w:r>
        <w:t xml:space="preserve">Module </w:t>
      </w:r>
      <w:proofErr w:type="gramStart"/>
      <w:r>
        <w:t xml:space="preserve">1 </w:t>
      </w:r>
      <w:r w:rsidR="00684CBC">
        <w:t>:</w:t>
      </w:r>
      <w:proofErr w:type="gramEnd"/>
      <w:r>
        <w:t xml:space="preserve"> Image-Based PCOS Screening: Develop and validate a lightweight deep learning classifier (EfficientNetV2-B0 / ConvNeXt-Tiny) to detect PCOS from raw 2D transvaginal ultrasound images, with integrated Grad-CAM++ explainability to visualize salient ovarian regions.</w:t>
      </w:r>
    </w:p>
    <w:p w14:paraId="6A7F39AD" w14:textId="0C378AD5" w:rsidR="001E07FC" w:rsidRDefault="00000000">
      <w:pPr>
        <w:pStyle w:val="ListNumber"/>
      </w:pPr>
      <w:r>
        <w:t xml:space="preserve">Module </w:t>
      </w:r>
      <w:proofErr w:type="gramStart"/>
      <w:r>
        <w:t xml:space="preserve">2 </w:t>
      </w:r>
      <w:r w:rsidR="00684CBC">
        <w:t>:</w:t>
      </w:r>
      <w:proofErr w:type="gramEnd"/>
      <w:r>
        <w:t xml:space="preserve"> Clinical Phenotype Classification: Algorithmically derive Rotterdam phenotypes (A/B/C/D) from the Kaggle clinical dataset using proxy criteria, and train </w:t>
      </w:r>
      <w:r>
        <w:lastRenderedPageBreak/>
        <w:t>an explainable XGBoost classifier with SMOTE balancing and SHAP-based clinical reasoning.</w:t>
      </w:r>
    </w:p>
    <w:p w14:paraId="2DD47F49" w14:textId="77777777" w:rsidR="001E07FC" w:rsidRDefault="00000000">
      <w:pPr>
        <w:pStyle w:val="ListNumber"/>
      </w:pPr>
      <w:r>
        <w:t>Unified Decision-Support Framework: Design a clinical interface layer that maps Module 1 outputs (PCOS probability) and Module 2 outputs (phenotype class) to evidence-based treatment recommendations, demonstrating how both modules complement each other in real-world workflow.</w:t>
      </w:r>
    </w:p>
    <w:p w14:paraId="4C23DA67" w14:textId="77777777" w:rsidR="001E07FC" w:rsidRDefault="00000000">
      <w:pPr>
        <w:pStyle w:val="ListNumber"/>
      </w:pPr>
      <w:r>
        <w:t>Comparative Benchmarking: Evaluate Module 1 against established CNN baselines (VGG16, ResNet50) and Module 2 against ensemble methods (Random Forest, LightGBM) to establish reproducible performance benchmarks on public data.</w:t>
      </w:r>
    </w:p>
    <w:p w14:paraId="167E74D1" w14:textId="77777777" w:rsidR="001E07FC" w:rsidRDefault="00000000">
      <w:pPr>
        <w:pStyle w:val="Heading1"/>
      </w:pPr>
      <w:r>
        <w:rPr>
          <w:color w:val="000080"/>
        </w:rPr>
        <w:t>5. Proposed Methodology</w:t>
      </w:r>
    </w:p>
    <w:p w14:paraId="0C542FC6" w14:textId="77777777" w:rsidR="001E07FC" w:rsidRDefault="00000000">
      <w:pPr>
        <w:pStyle w:val="Heading2"/>
      </w:pPr>
      <w:r>
        <w:rPr>
          <w:color w:val="000080"/>
        </w:rPr>
        <w:t>5.1 Datasets</w:t>
      </w:r>
    </w:p>
    <w:tbl>
      <w:tblPr>
        <w:tblStyle w:val="TableGrid"/>
        <w:tblW w:w="0" w:type="auto"/>
        <w:tblLook w:val="04A0" w:firstRow="1" w:lastRow="0" w:firstColumn="1" w:lastColumn="0" w:noHBand="0" w:noVBand="1"/>
      </w:tblPr>
      <w:tblGrid>
        <w:gridCol w:w="1728"/>
        <w:gridCol w:w="1728"/>
        <w:gridCol w:w="1728"/>
        <w:gridCol w:w="1728"/>
        <w:gridCol w:w="1728"/>
      </w:tblGrid>
      <w:tr w:rsidR="001E07FC" w14:paraId="3615906F" w14:textId="77777777">
        <w:tc>
          <w:tcPr>
            <w:tcW w:w="1728" w:type="dxa"/>
            <w:shd w:val="clear" w:color="auto" w:fill="D9E1F2"/>
          </w:tcPr>
          <w:p w14:paraId="14B97B1A" w14:textId="77777777" w:rsidR="001E07FC" w:rsidRDefault="00000000">
            <w:r>
              <w:rPr>
                <w:b/>
              </w:rPr>
              <w:t>Dataset</w:t>
            </w:r>
          </w:p>
        </w:tc>
        <w:tc>
          <w:tcPr>
            <w:tcW w:w="1728" w:type="dxa"/>
            <w:shd w:val="clear" w:color="auto" w:fill="D9E1F2"/>
          </w:tcPr>
          <w:p w14:paraId="2AB44274" w14:textId="77777777" w:rsidR="001E07FC" w:rsidRDefault="00000000">
            <w:r>
              <w:rPr>
                <w:b/>
              </w:rPr>
              <w:t>Source</w:t>
            </w:r>
          </w:p>
        </w:tc>
        <w:tc>
          <w:tcPr>
            <w:tcW w:w="1728" w:type="dxa"/>
            <w:shd w:val="clear" w:color="auto" w:fill="D9E1F2"/>
          </w:tcPr>
          <w:p w14:paraId="606623D8" w14:textId="77777777" w:rsidR="001E07FC" w:rsidRDefault="00000000">
            <w:r>
              <w:rPr>
                <w:b/>
              </w:rPr>
              <w:t>Type</w:t>
            </w:r>
          </w:p>
        </w:tc>
        <w:tc>
          <w:tcPr>
            <w:tcW w:w="1728" w:type="dxa"/>
            <w:shd w:val="clear" w:color="auto" w:fill="D9E1F2"/>
          </w:tcPr>
          <w:p w14:paraId="497A0F27" w14:textId="77777777" w:rsidR="001E07FC" w:rsidRDefault="00000000">
            <w:r>
              <w:rPr>
                <w:b/>
              </w:rPr>
              <w:t>Size</w:t>
            </w:r>
          </w:p>
        </w:tc>
        <w:tc>
          <w:tcPr>
            <w:tcW w:w="1728" w:type="dxa"/>
            <w:shd w:val="clear" w:color="auto" w:fill="D9E1F2"/>
          </w:tcPr>
          <w:p w14:paraId="6AA42468" w14:textId="77777777" w:rsidR="001E07FC" w:rsidRDefault="00000000">
            <w:r>
              <w:rPr>
                <w:b/>
              </w:rPr>
              <w:t>Module</w:t>
            </w:r>
          </w:p>
        </w:tc>
      </w:tr>
      <w:tr w:rsidR="001E07FC" w14:paraId="3B556D30" w14:textId="77777777">
        <w:tc>
          <w:tcPr>
            <w:tcW w:w="1728" w:type="dxa"/>
          </w:tcPr>
          <w:p w14:paraId="7452C651" w14:textId="77777777" w:rsidR="001E07FC" w:rsidRDefault="00000000">
            <w:r>
              <w:t>Kaggle PCOS Ultrasound</w:t>
            </w:r>
          </w:p>
        </w:tc>
        <w:tc>
          <w:tcPr>
            <w:tcW w:w="1728" w:type="dxa"/>
          </w:tcPr>
          <w:p w14:paraId="268F0305" w14:textId="77777777" w:rsidR="001E07FC" w:rsidRDefault="00000000">
            <w:r>
              <w:t>Kaggle (Qiriro, 2020)</w:t>
            </w:r>
          </w:p>
        </w:tc>
        <w:tc>
          <w:tcPr>
            <w:tcW w:w="1728" w:type="dxa"/>
          </w:tcPr>
          <w:p w14:paraId="57739861" w14:textId="77777777" w:rsidR="001E07FC" w:rsidRDefault="00000000">
            <w:r>
              <w:t>Images (JPG/PNG)</w:t>
            </w:r>
          </w:p>
        </w:tc>
        <w:tc>
          <w:tcPr>
            <w:tcW w:w="1728" w:type="dxa"/>
          </w:tcPr>
          <w:p w14:paraId="08A9989C" w14:textId="77777777" w:rsidR="001E07FC" w:rsidRDefault="00000000">
            <w:r>
              <w:t>3,856 images</w:t>
            </w:r>
            <w:r>
              <w:br/>
              <w:t>(1,924 PCOS / 1,932 Normal)</w:t>
            </w:r>
          </w:p>
        </w:tc>
        <w:tc>
          <w:tcPr>
            <w:tcW w:w="1728" w:type="dxa"/>
          </w:tcPr>
          <w:p w14:paraId="6D504434" w14:textId="77777777" w:rsidR="001E07FC" w:rsidRDefault="00000000">
            <w:r>
              <w:t>Module 1</w:t>
            </w:r>
          </w:p>
        </w:tc>
      </w:tr>
      <w:tr w:rsidR="001E07FC" w14:paraId="2D888CC0" w14:textId="77777777">
        <w:tc>
          <w:tcPr>
            <w:tcW w:w="1728" w:type="dxa"/>
          </w:tcPr>
          <w:p w14:paraId="574A8C4C" w14:textId="77777777" w:rsidR="001E07FC" w:rsidRDefault="00000000">
            <w:r>
              <w:t>Kaggle PCOS Clinical</w:t>
            </w:r>
          </w:p>
        </w:tc>
        <w:tc>
          <w:tcPr>
            <w:tcW w:w="1728" w:type="dxa"/>
          </w:tcPr>
          <w:p w14:paraId="61F532D9" w14:textId="77777777" w:rsidR="001E07FC" w:rsidRDefault="00000000">
            <w:r>
              <w:t>Kaggle (Prasoon, 2020)</w:t>
            </w:r>
          </w:p>
        </w:tc>
        <w:tc>
          <w:tcPr>
            <w:tcW w:w="1728" w:type="dxa"/>
          </w:tcPr>
          <w:p w14:paraId="16AC969C" w14:textId="77777777" w:rsidR="001E07FC" w:rsidRDefault="00000000">
            <w:r>
              <w:t>Tabular (CSV)</w:t>
            </w:r>
          </w:p>
        </w:tc>
        <w:tc>
          <w:tcPr>
            <w:tcW w:w="1728" w:type="dxa"/>
          </w:tcPr>
          <w:p w14:paraId="761AA819" w14:textId="77777777" w:rsidR="001E07FC" w:rsidRDefault="00000000">
            <w:r>
              <w:t>541 patients</w:t>
            </w:r>
            <w:r>
              <w:br/>
              <w:t>42 features</w:t>
            </w:r>
          </w:p>
        </w:tc>
        <w:tc>
          <w:tcPr>
            <w:tcW w:w="1728" w:type="dxa"/>
          </w:tcPr>
          <w:p w14:paraId="77AFC795" w14:textId="77777777" w:rsidR="001E07FC" w:rsidRDefault="00000000">
            <w:r>
              <w:t>Module 2</w:t>
            </w:r>
          </w:p>
        </w:tc>
      </w:tr>
    </w:tbl>
    <w:p w14:paraId="6A8C71B2" w14:textId="77777777" w:rsidR="001E07FC" w:rsidRDefault="00000000">
      <w:r>
        <w:rPr>
          <w:b/>
        </w:rPr>
        <w:t xml:space="preserve">Note: </w:t>
      </w:r>
      <w:r>
        <w:t>These datasets originate from independent patient cohorts. This dissertation does not attempt patient-level multimodal fusion. Instead, each module is trained and validated independently, and their clinical utility is demonstrated through a unified decision-support framework.</w:t>
      </w:r>
    </w:p>
    <w:p w14:paraId="28F2B29A" w14:textId="77777777" w:rsidR="001E07FC" w:rsidRDefault="00000000">
      <w:pPr>
        <w:pStyle w:val="Heading2"/>
      </w:pPr>
      <w:r>
        <w:rPr>
          <w:color w:val="000080"/>
        </w:rPr>
        <w:t>5.2 Module 1: PCOS Detection from Ultrasound Images</w:t>
      </w:r>
    </w:p>
    <w:p w14:paraId="01BA77DE" w14:textId="77777777" w:rsidR="001E07FC" w:rsidRDefault="00000000">
      <w:r>
        <w:rPr>
          <w:b/>
        </w:rPr>
        <w:t xml:space="preserve">Preprocessing: </w:t>
      </w:r>
      <w:r>
        <w:t>Grayscale conversion → CLAHE contrast enhancement → Resize to 224×224 → ImageNet normalization (mean=[0.485, 0.456, 0.406], std=[0.229, 0.224, 0.225]).</w:t>
      </w:r>
    </w:p>
    <w:p w14:paraId="699542C8" w14:textId="77777777" w:rsidR="001E07FC" w:rsidRDefault="00000000">
      <w:r>
        <w:rPr>
          <w:b/>
        </w:rPr>
        <w:t>Models:</w:t>
      </w:r>
    </w:p>
    <w:p w14:paraId="1E2FE946" w14:textId="77777777" w:rsidR="001E07FC" w:rsidRDefault="00000000">
      <w:pPr>
        <w:pStyle w:val="ListBullet"/>
      </w:pPr>
      <w:r>
        <w:t>EfficientNetV2-B0 (Primary): Transfer learning with ImageNet weights; global average pooling; dropout (0.3); binary softmax head.</w:t>
      </w:r>
    </w:p>
    <w:p w14:paraId="2F14DB27" w14:textId="77777777" w:rsidR="001E07FC" w:rsidRDefault="00000000">
      <w:pPr>
        <w:pStyle w:val="ListBullet"/>
      </w:pPr>
      <w:r>
        <w:t>ConvNeXt-Tiny (Comparison): Modern architecture with shifted window attention; evaluates long-range spatial dependencies in follicle patterns.</w:t>
      </w:r>
    </w:p>
    <w:p w14:paraId="4E282DE6" w14:textId="77777777" w:rsidR="001E07FC" w:rsidRDefault="00000000">
      <w:pPr>
        <w:pStyle w:val="ListBullet"/>
      </w:pPr>
      <w:r>
        <w:t>MobileNetV3-Small (Baseline): Lightweight model for edge-deployment feasibility; comparison of accuracy vs. parameter efficiency.</w:t>
      </w:r>
    </w:p>
    <w:p w14:paraId="7675BC60" w14:textId="77777777" w:rsidR="001E07FC" w:rsidRDefault="00000000">
      <w:pPr>
        <w:pStyle w:val="ListBullet"/>
      </w:pPr>
      <w:r>
        <w:t>VGG16 / ResNet50 (Literature Baselines): Reproduce established results from Shanmugavadivel et al. (2024) for direct comparison.</w:t>
      </w:r>
    </w:p>
    <w:p w14:paraId="1DC89754" w14:textId="77777777" w:rsidR="001E07FC" w:rsidRDefault="00000000">
      <w:r>
        <w:rPr>
          <w:b/>
        </w:rPr>
        <w:lastRenderedPageBreak/>
        <w:t xml:space="preserve">Training Configuration: </w:t>
      </w:r>
      <w:r>
        <w:t>AdamW optimizer (lr=1e-4, weight_decay=1e-4); CosineAnnealingLR scheduler; Binary Cross-Entropy loss; 5-fold stratified cross-validation; Early stopping (patience=10).</w:t>
      </w:r>
    </w:p>
    <w:p w14:paraId="33622D16" w14:textId="269C9705" w:rsidR="001E07FC" w:rsidRDefault="00000000">
      <w:proofErr w:type="gramStart"/>
      <w:r>
        <w:rPr>
          <w:b/>
        </w:rPr>
        <w:t xml:space="preserve">Explainability </w:t>
      </w:r>
      <w:r w:rsidR="00684CBC">
        <w:rPr>
          <w:b/>
        </w:rPr>
        <w:t>:</w:t>
      </w:r>
      <w:proofErr w:type="gramEnd"/>
      <w:r>
        <w:rPr>
          <w:b/>
        </w:rPr>
        <w:t xml:space="preserve"> Grad-CAM++: </w:t>
      </w:r>
      <w:r>
        <w:t>Generate class-discriminative localization maps overlaying the input ultrasound to highlight follicle-rich regions, stromal hyper-echogenicity, and "string of pearls" patterns that drive the PCOS prediction. This addresses the NIH-identified XAI gap and provides radiologist-trustworthy visual evidence.</w:t>
      </w:r>
    </w:p>
    <w:p w14:paraId="586867FA" w14:textId="77777777" w:rsidR="001E07FC" w:rsidRDefault="00000000">
      <w:pPr>
        <w:pStyle w:val="Heading2"/>
      </w:pPr>
      <w:r>
        <w:rPr>
          <w:color w:val="000080"/>
        </w:rPr>
        <w:t>5.3 Module 2: Rotterdam Phenotype Classification</w:t>
      </w:r>
    </w:p>
    <w:p w14:paraId="3869CA7F" w14:textId="77777777" w:rsidR="001E07FC" w:rsidRDefault="00000000">
      <w:r>
        <w:rPr>
          <w:b/>
        </w:rPr>
        <w:t xml:space="preserve">Phenotype Derivation: </w:t>
      </w:r>
      <w:r>
        <w:t>Since the Kaggle dataset lacks explicit phenotype labels, Rotterdam phenotypes are algorithmically derived using clinically validated proxy criteria:</w:t>
      </w:r>
    </w:p>
    <w:tbl>
      <w:tblPr>
        <w:tblStyle w:val="TableGrid"/>
        <w:tblW w:w="0" w:type="auto"/>
        <w:tblLook w:val="04A0" w:firstRow="1" w:lastRow="0" w:firstColumn="1" w:lastColumn="0" w:noHBand="0" w:noVBand="1"/>
      </w:tblPr>
      <w:tblGrid>
        <w:gridCol w:w="4320"/>
        <w:gridCol w:w="4320"/>
      </w:tblGrid>
      <w:tr w:rsidR="001E07FC" w14:paraId="302AF60D" w14:textId="77777777">
        <w:tc>
          <w:tcPr>
            <w:tcW w:w="4320" w:type="dxa"/>
            <w:shd w:val="clear" w:color="auto" w:fill="D9E1F2"/>
          </w:tcPr>
          <w:p w14:paraId="4D8A3A76" w14:textId="77777777" w:rsidR="001E07FC" w:rsidRDefault="00000000">
            <w:r>
              <w:rPr>
                <w:b/>
              </w:rPr>
              <w:t>Phenotype</w:t>
            </w:r>
          </w:p>
        </w:tc>
        <w:tc>
          <w:tcPr>
            <w:tcW w:w="4320" w:type="dxa"/>
            <w:shd w:val="clear" w:color="auto" w:fill="D9E1F2"/>
          </w:tcPr>
          <w:p w14:paraId="4AF18FEB" w14:textId="77777777" w:rsidR="001E07FC" w:rsidRDefault="00000000">
            <w:r>
              <w:rPr>
                <w:b/>
              </w:rPr>
              <w:t>Proxy Criteria</w:t>
            </w:r>
          </w:p>
        </w:tc>
      </w:tr>
      <w:tr w:rsidR="001E07FC" w14:paraId="73794A54" w14:textId="77777777">
        <w:tc>
          <w:tcPr>
            <w:tcW w:w="4320" w:type="dxa"/>
          </w:tcPr>
          <w:p w14:paraId="7B2E15BA" w14:textId="77777777" w:rsidR="001E07FC" w:rsidRDefault="00000000">
            <w:r>
              <w:t>A (Classic)</w:t>
            </w:r>
          </w:p>
        </w:tc>
        <w:tc>
          <w:tcPr>
            <w:tcW w:w="4320" w:type="dxa"/>
          </w:tcPr>
          <w:p w14:paraId="32048BF0" w14:textId="77777777" w:rsidR="001E07FC" w:rsidRDefault="00000000">
            <w:r>
              <w:t>HA_proxy (hirsutism≥2 OR acne≥2 OR skin_darkening=1) + OD_proxy (cycle_length&gt;35 OR cycle_regularity=0) + PCOM_proxy (follicle_no_l + follicle_no_r ≥ 20)</w:t>
            </w:r>
          </w:p>
        </w:tc>
      </w:tr>
      <w:tr w:rsidR="001E07FC" w14:paraId="2D343412" w14:textId="77777777">
        <w:tc>
          <w:tcPr>
            <w:tcW w:w="4320" w:type="dxa"/>
          </w:tcPr>
          <w:p w14:paraId="0F25780C" w14:textId="77777777" w:rsidR="001E07FC" w:rsidRDefault="00000000">
            <w:r>
              <w:t>B (Non-PCOM)</w:t>
            </w:r>
          </w:p>
        </w:tc>
        <w:tc>
          <w:tcPr>
            <w:tcW w:w="4320" w:type="dxa"/>
          </w:tcPr>
          <w:p w14:paraId="2B7B1DD5" w14:textId="77777777" w:rsidR="001E07FC" w:rsidRDefault="00000000">
            <w:r>
              <w:t>HA_proxy + OD_proxy + total_follicles &lt; 20</w:t>
            </w:r>
          </w:p>
        </w:tc>
      </w:tr>
      <w:tr w:rsidR="001E07FC" w14:paraId="2E6D2BEE" w14:textId="77777777">
        <w:tc>
          <w:tcPr>
            <w:tcW w:w="4320" w:type="dxa"/>
          </w:tcPr>
          <w:p w14:paraId="46BE5926" w14:textId="77777777" w:rsidR="001E07FC" w:rsidRDefault="00000000">
            <w:r>
              <w:t>C (Ovulatory)</w:t>
            </w:r>
          </w:p>
        </w:tc>
        <w:tc>
          <w:tcPr>
            <w:tcW w:w="4320" w:type="dxa"/>
          </w:tcPr>
          <w:p w14:paraId="0F6EF301" w14:textId="77777777" w:rsidR="001E07FC" w:rsidRDefault="00000000">
            <w:r>
              <w:t>HA_proxy + PCOM_proxy + regular cycles (cycle_length ≤ 35)</w:t>
            </w:r>
          </w:p>
        </w:tc>
      </w:tr>
      <w:tr w:rsidR="001E07FC" w14:paraId="0D4A35D0" w14:textId="77777777">
        <w:tc>
          <w:tcPr>
            <w:tcW w:w="4320" w:type="dxa"/>
          </w:tcPr>
          <w:p w14:paraId="2D3B16A3" w14:textId="77777777" w:rsidR="001E07FC" w:rsidRDefault="00000000">
            <w:r>
              <w:t>D (Mild/Non-HA)</w:t>
            </w:r>
          </w:p>
        </w:tc>
        <w:tc>
          <w:tcPr>
            <w:tcW w:w="4320" w:type="dxa"/>
          </w:tcPr>
          <w:p w14:paraId="4EE04880" w14:textId="77777777" w:rsidR="001E07FC" w:rsidRDefault="00000000">
            <w:r>
              <w:t>OD_proxy + PCOM_proxy + no HA_proxy</w:t>
            </w:r>
          </w:p>
        </w:tc>
      </w:tr>
    </w:tbl>
    <w:p w14:paraId="72FF21D5" w14:textId="77777777" w:rsidR="001E07FC" w:rsidRDefault="00000000">
      <w:r>
        <w:rPr>
          <w:b/>
        </w:rPr>
        <w:t xml:space="preserve">Feature Engineering: </w:t>
      </w:r>
      <w:r>
        <w:t>Derived ratios (FSH/LH, waist/hip); BMI from height/weight; total follicle count; mean follicle size. Missing values imputed with median; outliers capped at |Z| &gt; 3; StandardScaler normalization.</w:t>
      </w:r>
    </w:p>
    <w:p w14:paraId="40C1EE33" w14:textId="77777777" w:rsidR="001E07FC" w:rsidRDefault="00000000">
      <w:r>
        <w:rPr>
          <w:b/>
        </w:rPr>
        <w:t>Models:</w:t>
      </w:r>
    </w:p>
    <w:p w14:paraId="6ADC0440" w14:textId="77777777" w:rsidR="001E07FC" w:rsidRDefault="00000000">
      <w:pPr>
        <w:pStyle w:val="ListBullet"/>
      </w:pPr>
      <w:r>
        <w:t>XGBoost (Primary): n_estimators=200, max_depth=5, learning_rate=0.1, subsample=0.8, colsample_bytree=0.8. SMOTE (k_neighbors=3) for minority phenotypes B and D.</w:t>
      </w:r>
    </w:p>
    <w:p w14:paraId="159BF068" w14:textId="77777777" w:rsidR="001E07FC" w:rsidRDefault="00000000">
      <w:pPr>
        <w:pStyle w:val="ListBullet"/>
      </w:pPr>
      <w:r>
        <w:t>LightGBM (Comparison): Leaf-wise tree growth; faster training; handles class imbalance via class_weight.</w:t>
      </w:r>
    </w:p>
    <w:p w14:paraId="1A6281A7" w14:textId="77777777" w:rsidR="001E07FC" w:rsidRDefault="00000000">
      <w:pPr>
        <w:pStyle w:val="ListBullet"/>
      </w:pPr>
      <w:r>
        <w:t>Random Forest (Baseline): class_weight="balanced"; establishes minimum viable performance.</w:t>
      </w:r>
    </w:p>
    <w:p w14:paraId="50149C2A" w14:textId="77777777" w:rsidR="001E07FC" w:rsidRDefault="00000000">
      <w:pPr>
        <w:pStyle w:val="ListBullet"/>
      </w:pPr>
      <w:r>
        <w:t>TabNet (Novelty): Attention-based deep learning for tabular data; provides sequential feature attention masks as an alternative explainability mechanism to SHAP.</w:t>
      </w:r>
    </w:p>
    <w:p w14:paraId="41B7CF73" w14:textId="05EA28DC" w:rsidR="001E07FC" w:rsidRDefault="00000000">
      <w:proofErr w:type="gramStart"/>
      <w:r>
        <w:rPr>
          <w:b/>
        </w:rPr>
        <w:lastRenderedPageBreak/>
        <w:t xml:space="preserve">Explainability </w:t>
      </w:r>
      <w:r w:rsidR="00684CBC">
        <w:rPr>
          <w:b/>
        </w:rPr>
        <w:t>:</w:t>
      </w:r>
      <w:proofErr w:type="gramEnd"/>
      <w:r>
        <w:rPr>
          <w:b/>
        </w:rPr>
        <w:t xml:space="preserve"> SHAP: </w:t>
      </w:r>
      <w:r>
        <w:t>TreeSHAP for global feature importance (bar plots) and local per-patient waterfall plots. Identifies which clinical/biochemical features (AMH, cycle length, BMI, follicle count, LH/FSH ratio) drive each phenotype assignment, enabling endocrinologist-trustworthy clinical reasoning.</w:t>
      </w:r>
    </w:p>
    <w:p w14:paraId="439E4099" w14:textId="77777777" w:rsidR="001E07FC" w:rsidRDefault="00000000">
      <w:pPr>
        <w:pStyle w:val="Heading2"/>
      </w:pPr>
      <w:r>
        <w:rPr>
          <w:color w:val="000080"/>
        </w:rPr>
        <w:t>5.4 Unified Clinical Decision-Support Framework</w:t>
      </w:r>
    </w:p>
    <w:p w14:paraId="292114E9" w14:textId="77777777" w:rsidR="001E07FC" w:rsidRDefault="00000000">
      <w:r>
        <w:t xml:space="preserve">Rather than forcing a computational fusion of mismatched datasets, this dissertation proposes a </w:t>
      </w:r>
      <w:r>
        <w:rPr>
          <w:b/>
        </w:rPr>
        <w:t>unified clinical decision-support framework</w:t>
      </w:r>
      <w:r>
        <w:t xml:space="preserve"> that conceptually integrates both modules' outputs into actionable clinical guidance:</w:t>
      </w:r>
    </w:p>
    <w:tbl>
      <w:tblPr>
        <w:tblStyle w:val="TableGrid"/>
        <w:tblW w:w="0" w:type="auto"/>
        <w:tblLook w:val="04A0" w:firstRow="1" w:lastRow="0" w:firstColumn="1" w:lastColumn="0" w:noHBand="0" w:noVBand="1"/>
      </w:tblPr>
      <w:tblGrid>
        <w:gridCol w:w="2880"/>
        <w:gridCol w:w="2880"/>
        <w:gridCol w:w="2880"/>
      </w:tblGrid>
      <w:tr w:rsidR="001E07FC" w14:paraId="6AE22028" w14:textId="77777777">
        <w:tc>
          <w:tcPr>
            <w:tcW w:w="2880" w:type="dxa"/>
            <w:shd w:val="clear" w:color="auto" w:fill="D9E1F2"/>
          </w:tcPr>
          <w:p w14:paraId="752BF4A0" w14:textId="77777777" w:rsidR="001E07FC" w:rsidRDefault="00000000">
            <w:r>
              <w:rPr>
                <w:b/>
              </w:rPr>
              <w:t>Module 1 Output</w:t>
            </w:r>
          </w:p>
        </w:tc>
        <w:tc>
          <w:tcPr>
            <w:tcW w:w="2880" w:type="dxa"/>
            <w:shd w:val="clear" w:color="auto" w:fill="D9E1F2"/>
          </w:tcPr>
          <w:p w14:paraId="325490FE" w14:textId="77777777" w:rsidR="001E07FC" w:rsidRDefault="00000000">
            <w:r>
              <w:rPr>
                <w:b/>
              </w:rPr>
              <w:t>Module 2 Output</w:t>
            </w:r>
          </w:p>
        </w:tc>
        <w:tc>
          <w:tcPr>
            <w:tcW w:w="2880" w:type="dxa"/>
            <w:shd w:val="clear" w:color="auto" w:fill="D9E1F2"/>
          </w:tcPr>
          <w:p w14:paraId="714B2548" w14:textId="77777777" w:rsidR="001E07FC" w:rsidRDefault="00000000">
            <w:r>
              <w:rPr>
                <w:b/>
              </w:rPr>
              <w:t>Clinical Action</w:t>
            </w:r>
          </w:p>
        </w:tc>
      </w:tr>
      <w:tr w:rsidR="001E07FC" w14:paraId="2AA0AFB3" w14:textId="77777777">
        <w:tc>
          <w:tcPr>
            <w:tcW w:w="2880" w:type="dxa"/>
          </w:tcPr>
          <w:p w14:paraId="7FF89909" w14:textId="77777777" w:rsidR="001E07FC" w:rsidRDefault="00000000">
            <w:r>
              <w:t>PCOS Detected (High Confidence)</w:t>
            </w:r>
          </w:p>
        </w:tc>
        <w:tc>
          <w:tcPr>
            <w:tcW w:w="2880" w:type="dxa"/>
          </w:tcPr>
          <w:p w14:paraId="7F13EDDE" w14:textId="77777777" w:rsidR="001E07FC" w:rsidRDefault="00000000">
            <w:r>
              <w:t>Phenotype A</w:t>
            </w:r>
          </w:p>
        </w:tc>
        <w:tc>
          <w:tcPr>
            <w:tcW w:w="2880" w:type="dxa"/>
          </w:tcPr>
          <w:p w14:paraId="3A996ABD" w14:textId="77777777" w:rsidR="001E07FC" w:rsidRDefault="00000000">
            <w:r>
              <w:t>Aggressive metabolic screening (HOMA-IR, lipids, HbA1c); Metformin + OCP; lifestyle intervention (5-10% weight loss target)</w:t>
            </w:r>
          </w:p>
        </w:tc>
      </w:tr>
      <w:tr w:rsidR="001E07FC" w14:paraId="0DC89AFA" w14:textId="77777777">
        <w:tc>
          <w:tcPr>
            <w:tcW w:w="2880" w:type="dxa"/>
          </w:tcPr>
          <w:p w14:paraId="7181341A" w14:textId="77777777" w:rsidR="001E07FC" w:rsidRDefault="00000000">
            <w:r>
              <w:t>PCOS Detected (High Confidence)</w:t>
            </w:r>
          </w:p>
        </w:tc>
        <w:tc>
          <w:tcPr>
            <w:tcW w:w="2880" w:type="dxa"/>
          </w:tcPr>
          <w:p w14:paraId="04B8ADA1" w14:textId="77777777" w:rsidR="001E07FC" w:rsidRDefault="00000000">
            <w:r>
              <w:t>Phenotype B</w:t>
            </w:r>
          </w:p>
        </w:tc>
        <w:tc>
          <w:tcPr>
            <w:tcW w:w="2880" w:type="dxa"/>
          </w:tcPr>
          <w:p w14:paraId="3BE9A76B" w14:textId="77777777" w:rsidR="001E07FC" w:rsidRDefault="00000000">
            <w:r>
              <w:t>Metformin for insulin resistance; OCPs for hyperandrogenism; Clomiphene/Letrozole for fertility; no PCOM-specific intervention needed</w:t>
            </w:r>
          </w:p>
        </w:tc>
      </w:tr>
      <w:tr w:rsidR="001E07FC" w14:paraId="49092299" w14:textId="77777777">
        <w:tc>
          <w:tcPr>
            <w:tcW w:w="2880" w:type="dxa"/>
          </w:tcPr>
          <w:p w14:paraId="63EE19E5" w14:textId="77777777" w:rsidR="001E07FC" w:rsidRDefault="00000000">
            <w:r>
              <w:t>PCOS Detected (High Confidence)</w:t>
            </w:r>
          </w:p>
        </w:tc>
        <w:tc>
          <w:tcPr>
            <w:tcW w:w="2880" w:type="dxa"/>
          </w:tcPr>
          <w:p w14:paraId="4064656C" w14:textId="77777777" w:rsidR="001E07FC" w:rsidRDefault="00000000">
            <w:r>
              <w:t>Phenotype C</w:t>
            </w:r>
          </w:p>
        </w:tc>
        <w:tc>
          <w:tcPr>
            <w:tcW w:w="2880" w:type="dxa"/>
          </w:tcPr>
          <w:p w14:paraId="6693A40B" w14:textId="77777777" w:rsidR="001E07FC" w:rsidRDefault="00000000">
            <w:r>
              <w:t>Spironolactone for hirsutism/acne; OCPs optional; fertility often preserved; metabolic screening warranted</w:t>
            </w:r>
          </w:p>
        </w:tc>
      </w:tr>
      <w:tr w:rsidR="001E07FC" w14:paraId="774415D7" w14:textId="77777777">
        <w:tc>
          <w:tcPr>
            <w:tcW w:w="2880" w:type="dxa"/>
          </w:tcPr>
          <w:p w14:paraId="7E8110EF" w14:textId="77777777" w:rsidR="001E07FC" w:rsidRDefault="00000000">
            <w:r>
              <w:t>PCOS Detected (High Confidence)</w:t>
            </w:r>
          </w:p>
        </w:tc>
        <w:tc>
          <w:tcPr>
            <w:tcW w:w="2880" w:type="dxa"/>
          </w:tcPr>
          <w:p w14:paraId="38739A5C" w14:textId="77777777" w:rsidR="001E07FC" w:rsidRDefault="00000000">
            <w:r>
              <w:t>Phenotype D</w:t>
            </w:r>
          </w:p>
        </w:tc>
        <w:tc>
          <w:tcPr>
            <w:tcW w:w="2880" w:type="dxa"/>
          </w:tcPr>
          <w:p w14:paraId="45F586E0" w14:textId="77777777" w:rsidR="001E07FC" w:rsidRDefault="00000000">
            <w:r>
              <w:t>NO metformin first-line; NO anti-androgens; Letrozole for ovulation induction; cyclical progestins for endometrial protection</w:t>
            </w:r>
          </w:p>
        </w:tc>
      </w:tr>
      <w:tr w:rsidR="001E07FC" w14:paraId="137293E4" w14:textId="77777777">
        <w:tc>
          <w:tcPr>
            <w:tcW w:w="2880" w:type="dxa"/>
          </w:tcPr>
          <w:p w14:paraId="0A06CA7A" w14:textId="77777777" w:rsidR="001E07FC" w:rsidRDefault="00000000">
            <w:r>
              <w:t>Normal</w:t>
            </w:r>
          </w:p>
        </w:tc>
        <w:tc>
          <w:tcPr>
            <w:tcW w:w="2880" w:type="dxa"/>
          </w:tcPr>
          <w:p w14:paraId="4192570E" w14:textId="77777777" w:rsidR="001E07FC" w:rsidRDefault="00000000">
            <w:r>
              <w:t>N/A</w:t>
            </w:r>
          </w:p>
        </w:tc>
        <w:tc>
          <w:tcPr>
            <w:tcW w:w="2880" w:type="dxa"/>
          </w:tcPr>
          <w:p w14:paraId="2622786C" w14:textId="77777777" w:rsidR="001E07FC" w:rsidRDefault="00000000">
            <w:r>
              <w:t>Routine gynecological follow-up; no PCOS-specific treatment</w:t>
            </w:r>
          </w:p>
        </w:tc>
      </w:tr>
      <w:tr w:rsidR="001E07FC" w14:paraId="05046345" w14:textId="77777777">
        <w:tc>
          <w:tcPr>
            <w:tcW w:w="2880" w:type="dxa"/>
          </w:tcPr>
          <w:p w14:paraId="2DA03E56" w14:textId="77777777" w:rsidR="001E07FC" w:rsidRDefault="00000000">
            <w:r>
              <w:t>Inconclusive</w:t>
            </w:r>
          </w:p>
        </w:tc>
        <w:tc>
          <w:tcPr>
            <w:tcW w:w="2880" w:type="dxa"/>
          </w:tcPr>
          <w:p w14:paraId="77843F08" w14:textId="77777777" w:rsidR="001E07FC" w:rsidRDefault="00000000">
            <w:r>
              <w:t>N/A</w:t>
            </w:r>
          </w:p>
        </w:tc>
        <w:tc>
          <w:tcPr>
            <w:tcW w:w="2880" w:type="dxa"/>
          </w:tcPr>
          <w:p w14:paraId="27731549" w14:textId="77777777" w:rsidR="001E07FC" w:rsidRDefault="00000000">
            <w:r>
              <w:t>Repeat ultrasound or add clinical workup (hormonal panel, glucose tolerance test)</w:t>
            </w:r>
          </w:p>
        </w:tc>
      </w:tr>
    </w:tbl>
    <w:p w14:paraId="14610810" w14:textId="77777777" w:rsidR="001E07FC" w:rsidRDefault="00000000">
      <w:r>
        <w:rPr>
          <w:i/>
        </w:rPr>
        <w:t>This framework demonstrates how Module 1 (screening) and Module 2 (subtyping) complement each other in clinical practice without requiring patient-level data alignment during training.</w:t>
      </w:r>
    </w:p>
    <w:p w14:paraId="697F17EA" w14:textId="77777777" w:rsidR="001E07FC" w:rsidRDefault="00000000">
      <w:pPr>
        <w:pStyle w:val="Heading2"/>
      </w:pPr>
      <w:r>
        <w:rPr>
          <w:color w:val="000080"/>
        </w:rPr>
        <w:lastRenderedPageBreak/>
        <w:t>5.5 Evaluation Metrics</w:t>
      </w:r>
    </w:p>
    <w:tbl>
      <w:tblPr>
        <w:tblStyle w:val="TableGrid"/>
        <w:tblW w:w="0" w:type="auto"/>
        <w:tblLook w:val="04A0" w:firstRow="1" w:lastRow="0" w:firstColumn="1" w:lastColumn="0" w:noHBand="0" w:noVBand="1"/>
      </w:tblPr>
      <w:tblGrid>
        <w:gridCol w:w="4320"/>
        <w:gridCol w:w="4320"/>
      </w:tblGrid>
      <w:tr w:rsidR="001E07FC" w14:paraId="0AAEAF49" w14:textId="77777777">
        <w:tc>
          <w:tcPr>
            <w:tcW w:w="4320" w:type="dxa"/>
            <w:shd w:val="clear" w:color="auto" w:fill="D9E1F2"/>
          </w:tcPr>
          <w:p w14:paraId="4BC55E7F" w14:textId="77777777" w:rsidR="001E07FC" w:rsidRDefault="00000000">
            <w:r>
              <w:rPr>
                <w:b/>
              </w:rPr>
              <w:t>Module</w:t>
            </w:r>
          </w:p>
        </w:tc>
        <w:tc>
          <w:tcPr>
            <w:tcW w:w="4320" w:type="dxa"/>
            <w:shd w:val="clear" w:color="auto" w:fill="D9E1F2"/>
          </w:tcPr>
          <w:p w14:paraId="6DC71CF4" w14:textId="77777777" w:rsidR="001E07FC" w:rsidRDefault="00000000">
            <w:r>
              <w:rPr>
                <w:b/>
              </w:rPr>
              <w:t>Metrics</w:t>
            </w:r>
          </w:p>
        </w:tc>
      </w:tr>
      <w:tr w:rsidR="001E07FC" w14:paraId="5CBFCAE6" w14:textId="77777777">
        <w:tc>
          <w:tcPr>
            <w:tcW w:w="4320" w:type="dxa"/>
          </w:tcPr>
          <w:p w14:paraId="6A8733B2" w14:textId="77777777" w:rsidR="001E07FC" w:rsidRDefault="00000000">
            <w:r>
              <w:t>Module 1 (Image)</w:t>
            </w:r>
          </w:p>
        </w:tc>
        <w:tc>
          <w:tcPr>
            <w:tcW w:w="4320" w:type="dxa"/>
          </w:tcPr>
          <w:p w14:paraId="5FD72BFF" w14:textId="77777777" w:rsidR="001E07FC" w:rsidRDefault="00000000">
            <w:r>
              <w:t>Accuracy, Precision, Recall, F1-Score, AUC-ROC, Specificity, Sensitivity, Inference Time (ms/image)</w:t>
            </w:r>
          </w:p>
        </w:tc>
      </w:tr>
      <w:tr w:rsidR="001E07FC" w14:paraId="77ABA331" w14:textId="77777777">
        <w:tc>
          <w:tcPr>
            <w:tcW w:w="4320" w:type="dxa"/>
          </w:tcPr>
          <w:p w14:paraId="44D7BDA9" w14:textId="77777777" w:rsidR="001E07FC" w:rsidRDefault="00000000">
            <w:r>
              <w:t>Module 2 (Clinical)</w:t>
            </w:r>
          </w:p>
        </w:tc>
        <w:tc>
          <w:tcPr>
            <w:tcW w:w="4320" w:type="dxa"/>
          </w:tcPr>
          <w:p w14:paraId="2393C9A6" w14:textId="77777777" w:rsidR="001E07FC" w:rsidRDefault="00000000">
            <w:r>
              <w:t>Macro-F1, Weighted-F1, Cohen's Kappa, Per-class Precision/Recall/Sensitivity, Matthews Correlation Coefficient (MCC)</w:t>
            </w:r>
          </w:p>
        </w:tc>
      </w:tr>
      <w:tr w:rsidR="001E07FC" w14:paraId="532DE390" w14:textId="77777777">
        <w:tc>
          <w:tcPr>
            <w:tcW w:w="4320" w:type="dxa"/>
          </w:tcPr>
          <w:p w14:paraId="0EA0905B" w14:textId="77777777" w:rsidR="001E07FC" w:rsidRDefault="00000000">
            <w:r>
              <w:t>XAI Quality</w:t>
            </w:r>
          </w:p>
        </w:tc>
        <w:tc>
          <w:tcPr>
            <w:tcW w:w="4320" w:type="dxa"/>
          </w:tcPr>
          <w:p w14:paraId="40CEA8C8" w14:textId="77777777" w:rsidR="001E07FC" w:rsidRDefault="00000000">
            <w:r>
              <w:t>Grad-CAM++ localization accuracy (IoU with expert annotations); SHAP feature alignment with clinical literature</w:t>
            </w:r>
          </w:p>
        </w:tc>
      </w:tr>
    </w:tbl>
    <w:p w14:paraId="227FDC2A" w14:textId="77777777" w:rsidR="001E07FC" w:rsidRDefault="00000000">
      <w:pPr>
        <w:pStyle w:val="Heading1"/>
      </w:pPr>
      <w:r>
        <w:rPr>
          <w:color w:val="000080"/>
        </w:rPr>
        <w:t>6. Expected Outcomes &amp; Contributions</w:t>
      </w:r>
    </w:p>
    <w:p w14:paraId="1E2DEA5C" w14:textId="77777777" w:rsidR="001E07FC" w:rsidRDefault="00000000">
      <w:pPr>
        <w:pStyle w:val="ListNumber"/>
      </w:pPr>
      <w:r>
        <w:t>Independent but complementary AI modules for PCOS screening (image) and phenotype classification (clinical), both trained and validated on public datasets without synthetic patient pairing.</w:t>
      </w:r>
    </w:p>
    <w:p w14:paraId="6284A09D" w14:textId="77777777" w:rsidR="001E07FC" w:rsidRDefault="00000000">
      <w:pPr>
        <w:pStyle w:val="ListNumber"/>
      </w:pPr>
      <w:r>
        <w:t>First application of EfficientNetV2-B0 and ConvNeXt-Tiny to the Kaggle PCOS ultrasound dataset with Grad-CAM++ explainability, establishing new benchmarks for lightweight PCOS detection models.</w:t>
      </w:r>
    </w:p>
    <w:p w14:paraId="15129508" w14:textId="77777777" w:rsidR="001E07FC" w:rsidRDefault="00000000">
      <w:pPr>
        <w:pStyle w:val="ListNumber"/>
      </w:pPr>
      <w:r>
        <w:t>First algorithmic derivation and multi-class prediction of Rotterdam phenotypes A/B/C/D on the Kaggle 541-patient clinical dataset using XGBoost + SMOTE + SHAP, with per-p phenotype treatment recommendations.</w:t>
      </w:r>
    </w:p>
    <w:p w14:paraId="04EC2043" w14:textId="77777777" w:rsidR="001E07FC" w:rsidRDefault="00000000">
      <w:pPr>
        <w:pStyle w:val="ListNumber"/>
      </w:pPr>
      <w:r>
        <w:t>Dual XAI integration (Grad-CAM++ for images + SHAP for clinical) addressing the NIH-identified gap where 75% of PCOS AI studies lack interpretability.</w:t>
      </w:r>
    </w:p>
    <w:p w14:paraId="719E6156" w14:textId="77777777" w:rsidR="001E07FC" w:rsidRDefault="00000000">
      <w:pPr>
        <w:pStyle w:val="ListNumber"/>
      </w:pPr>
      <w:r>
        <w:t>A clinically grounded decision-support framework that maps AI outputs to evidence-based treatment pathways, demonstrating translational potential despite independent training data.</w:t>
      </w:r>
    </w:p>
    <w:p w14:paraId="64090684" w14:textId="77777777" w:rsidR="001E07FC" w:rsidRDefault="00000000">
      <w:pPr>
        <w:pStyle w:val="Heading1"/>
      </w:pPr>
      <w:r>
        <w:rPr>
          <w:color w:val="000080"/>
        </w:rPr>
        <w:t>7. Realistic 3-Month Timeline</w:t>
      </w:r>
    </w:p>
    <w:tbl>
      <w:tblPr>
        <w:tblStyle w:val="TableGrid"/>
        <w:tblW w:w="0" w:type="auto"/>
        <w:tblLook w:val="04A0" w:firstRow="1" w:lastRow="0" w:firstColumn="1" w:lastColumn="0" w:noHBand="0" w:noVBand="1"/>
      </w:tblPr>
      <w:tblGrid>
        <w:gridCol w:w="2880"/>
        <w:gridCol w:w="2880"/>
        <w:gridCol w:w="2880"/>
      </w:tblGrid>
      <w:tr w:rsidR="001E07FC" w14:paraId="7CFEE44C" w14:textId="77777777">
        <w:tc>
          <w:tcPr>
            <w:tcW w:w="2880" w:type="dxa"/>
            <w:shd w:val="clear" w:color="auto" w:fill="D9E1F2"/>
          </w:tcPr>
          <w:p w14:paraId="494BF3E8" w14:textId="77777777" w:rsidR="001E07FC" w:rsidRDefault="00000000">
            <w:r>
              <w:rPr>
                <w:b/>
              </w:rPr>
              <w:t>Week</w:t>
            </w:r>
          </w:p>
        </w:tc>
        <w:tc>
          <w:tcPr>
            <w:tcW w:w="2880" w:type="dxa"/>
            <w:shd w:val="clear" w:color="auto" w:fill="D9E1F2"/>
          </w:tcPr>
          <w:p w14:paraId="01D8F216" w14:textId="77777777" w:rsidR="001E07FC" w:rsidRDefault="00000000">
            <w:r>
              <w:rPr>
                <w:b/>
              </w:rPr>
              <w:t>Phase</w:t>
            </w:r>
          </w:p>
        </w:tc>
        <w:tc>
          <w:tcPr>
            <w:tcW w:w="2880" w:type="dxa"/>
            <w:shd w:val="clear" w:color="auto" w:fill="D9E1F2"/>
          </w:tcPr>
          <w:p w14:paraId="7ACBF18F" w14:textId="77777777" w:rsidR="001E07FC" w:rsidRDefault="00000000">
            <w:r>
              <w:rPr>
                <w:b/>
              </w:rPr>
              <w:t>Deliverables</w:t>
            </w:r>
          </w:p>
        </w:tc>
      </w:tr>
      <w:tr w:rsidR="001E07FC" w14:paraId="64625B56" w14:textId="77777777">
        <w:tc>
          <w:tcPr>
            <w:tcW w:w="2880" w:type="dxa"/>
          </w:tcPr>
          <w:p w14:paraId="5989375C" w14:textId="77777777" w:rsidR="001E07FC" w:rsidRDefault="00000000">
            <w:r>
              <w:t>Week 1–2</w:t>
            </w:r>
          </w:p>
        </w:tc>
        <w:tc>
          <w:tcPr>
            <w:tcW w:w="2880" w:type="dxa"/>
          </w:tcPr>
          <w:p w14:paraId="001DB917" w14:textId="77777777" w:rsidR="001E07FC" w:rsidRDefault="00000000">
            <w:r>
              <w:t>Data &amp; Setup</w:t>
            </w:r>
          </w:p>
        </w:tc>
        <w:tc>
          <w:tcPr>
            <w:tcW w:w="2880" w:type="dxa"/>
          </w:tcPr>
          <w:p w14:paraId="0F5253B7" w14:textId="77777777" w:rsidR="001E07FC" w:rsidRDefault="00000000">
            <w:r>
              <w:t>Download Kaggle datasets; environment setup (PyTorch, XGBoost, SHAP, timm); literature review finalization; derive phenotype labels from clinical CSV</w:t>
            </w:r>
          </w:p>
        </w:tc>
      </w:tr>
      <w:tr w:rsidR="001E07FC" w14:paraId="6F1C516F" w14:textId="77777777">
        <w:tc>
          <w:tcPr>
            <w:tcW w:w="2880" w:type="dxa"/>
          </w:tcPr>
          <w:p w14:paraId="2C56E1DE" w14:textId="77777777" w:rsidR="001E07FC" w:rsidRDefault="00000000">
            <w:r>
              <w:t>Week 3–4</w:t>
            </w:r>
          </w:p>
        </w:tc>
        <w:tc>
          <w:tcPr>
            <w:tcW w:w="2880" w:type="dxa"/>
          </w:tcPr>
          <w:p w14:paraId="1C23D5B8" w14:textId="77777777" w:rsidR="001E07FC" w:rsidRDefault="00000000">
            <w:r>
              <w:t>Module 1 Development</w:t>
            </w:r>
          </w:p>
        </w:tc>
        <w:tc>
          <w:tcPr>
            <w:tcW w:w="2880" w:type="dxa"/>
          </w:tcPr>
          <w:p w14:paraId="25CAC60B" w14:textId="77777777" w:rsidR="001E07FC" w:rsidRDefault="00000000">
            <w:r>
              <w:t xml:space="preserve">Image preprocessing pipeline; train EfficientNetV2-B0, ConvNeXt-Tiny, </w:t>
            </w:r>
            <w:r>
              <w:lastRenderedPageBreak/>
              <w:t>MobileNetV3; 5-fold stratified validation; Grad-CAM++ integration; comparison with VGG16/ResNet50 baselines</w:t>
            </w:r>
          </w:p>
        </w:tc>
      </w:tr>
      <w:tr w:rsidR="001E07FC" w14:paraId="1AA2A59A" w14:textId="77777777">
        <w:tc>
          <w:tcPr>
            <w:tcW w:w="2880" w:type="dxa"/>
          </w:tcPr>
          <w:p w14:paraId="2C6D0D6E" w14:textId="77777777" w:rsidR="001E07FC" w:rsidRDefault="00000000">
            <w:r>
              <w:lastRenderedPageBreak/>
              <w:t>Week 5–6</w:t>
            </w:r>
          </w:p>
        </w:tc>
        <w:tc>
          <w:tcPr>
            <w:tcW w:w="2880" w:type="dxa"/>
          </w:tcPr>
          <w:p w14:paraId="6EA90369" w14:textId="77777777" w:rsidR="001E07FC" w:rsidRDefault="00000000">
            <w:r>
              <w:t>Module 2 Development</w:t>
            </w:r>
          </w:p>
        </w:tc>
        <w:tc>
          <w:tcPr>
            <w:tcW w:w="2880" w:type="dxa"/>
          </w:tcPr>
          <w:p w14:paraId="64F4B3CD" w14:textId="77777777" w:rsidR="001E07FC" w:rsidRDefault="00000000">
            <w:r>
              <w:t>Feature engineering (ratios, derived features); train XGBoost, LightGBM, Random Forest with SMOTE; SHAP analysis; phenotype distribution and clinical validation</w:t>
            </w:r>
          </w:p>
        </w:tc>
      </w:tr>
      <w:tr w:rsidR="001E07FC" w14:paraId="5BCF8165" w14:textId="77777777">
        <w:tc>
          <w:tcPr>
            <w:tcW w:w="2880" w:type="dxa"/>
          </w:tcPr>
          <w:p w14:paraId="6CB7CE86" w14:textId="77777777" w:rsidR="001E07FC" w:rsidRDefault="00000000">
            <w:r>
              <w:t>Week 7–8</w:t>
            </w:r>
          </w:p>
        </w:tc>
        <w:tc>
          <w:tcPr>
            <w:tcW w:w="2880" w:type="dxa"/>
          </w:tcPr>
          <w:p w14:paraId="627AD2C1" w14:textId="77777777" w:rsidR="001E07FC" w:rsidRDefault="00000000">
            <w:r>
              <w:t>XAI &amp; Framework Integration</w:t>
            </w:r>
          </w:p>
        </w:tc>
        <w:tc>
          <w:tcPr>
            <w:tcW w:w="2880" w:type="dxa"/>
          </w:tcPr>
          <w:p w14:paraId="1CF41B7E" w14:textId="77777777" w:rsidR="001E07FC" w:rsidRDefault="00000000">
            <w:r>
              <w:t>Grad-CAM++ visualization analysis; SHAP waterfall plots per phenotype; design unified decision-support table; error analysis and ablation studies</w:t>
            </w:r>
          </w:p>
        </w:tc>
      </w:tr>
      <w:tr w:rsidR="001E07FC" w14:paraId="4062297D" w14:textId="77777777">
        <w:tc>
          <w:tcPr>
            <w:tcW w:w="2880" w:type="dxa"/>
          </w:tcPr>
          <w:p w14:paraId="42A3EA9D" w14:textId="77777777" w:rsidR="001E07FC" w:rsidRDefault="00000000">
            <w:r>
              <w:t>Week 9–10</w:t>
            </w:r>
          </w:p>
        </w:tc>
        <w:tc>
          <w:tcPr>
            <w:tcW w:w="2880" w:type="dxa"/>
          </w:tcPr>
          <w:p w14:paraId="256C6A98" w14:textId="77777777" w:rsidR="001E07FC" w:rsidRDefault="00000000">
            <w:r>
              <w:t>Evaluation &amp; Thesis Writing</w:t>
            </w:r>
          </w:p>
        </w:tc>
        <w:tc>
          <w:tcPr>
            <w:tcW w:w="2880" w:type="dxa"/>
          </w:tcPr>
          <w:p w14:paraId="4B420FBA" w14:textId="77777777" w:rsidR="001E07FC" w:rsidRDefault="00000000">
            <w:r>
              <w:t>Final metrics compilation; thesis Chapters 1–4 (Introduction, Literature Review, Methodology, Results); figure and table generation</w:t>
            </w:r>
          </w:p>
        </w:tc>
      </w:tr>
      <w:tr w:rsidR="001E07FC" w14:paraId="47780008" w14:textId="77777777">
        <w:tc>
          <w:tcPr>
            <w:tcW w:w="2880" w:type="dxa"/>
          </w:tcPr>
          <w:p w14:paraId="10DE6EDD" w14:textId="77777777" w:rsidR="001E07FC" w:rsidRDefault="00000000">
            <w:r>
              <w:t>Week 11–12</w:t>
            </w:r>
          </w:p>
        </w:tc>
        <w:tc>
          <w:tcPr>
            <w:tcW w:w="2880" w:type="dxa"/>
          </w:tcPr>
          <w:p w14:paraId="404FCE94" w14:textId="77777777" w:rsidR="001E07FC" w:rsidRDefault="00000000">
            <w:r>
              <w:t>Thesis Completion &amp; Review</w:t>
            </w:r>
          </w:p>
        </w:tc>
        <w:tc>
          <w:tcPr>
            <w:tcW w:w="2880" w:type="dxa"/>
          </w:tcPr>
          <w:p w14:paraId="50B4E9BE" w14:textId="77777777" w:rsidR="001E07FC" w:rsidRDefault="00000000">
            <w:r>
              <w:t>Chapters 5–6 (Discussion, Conclusion); abstract; references; formatting; supervisor feedback integration; final submission</w:t>
            </w:r>
          </w:p>
        </w:tc>
      </w:tr>
    </w:tbl>
    <w:p w14:paraId="61A5FCDC" w14:textId="77777777" w:rsidR="001E07FC" w:rsidRDefault="00000000">
      <w:pPr>
        <w:pStyle w:val="Heading1"/>
      </w:pPr>
      <w:r>
        <w:rPr>
          <w:color w:val="000080"/>
        </w:rPr>
        <w:t>8. Limitations &amp; Mitigations</w:t>
      </w:r>
    </w:p>
    <w:tbl>
      <w:tblPr>
        <w:tblStyle w:val="TableGrid"/>
        <w:tblW w:w="0" w:type="auto"/>
        <w:tblLook w:val="04A0" w:firstRow="1" w:lastRow="0" w:firstColumn="1" w:lastColumn="0" w:noHBand="0" w:noVBand="1"/>
      </w:tblPr>
      <w:tblGrid>
        <w:gridCol w:w="4320"/>
        <w:gridCol w:w="4320"/>
      </w:tblGrid>
      <w:tr w:rsidR="001E07FC" w14:paraId="329B4858" w14:textId="77777777">
        <w:tc>
          <w:tcPr>
            <w:tcW w:w="4320" w:type="dxa"/>
            <w:shd w:val="clear" w:color="auto" w:fill="D9E1F2"/>
          </w:tcPr>
          <w:p w14:paraId="37E2687A" w14:textId="77777777" w:rsidR="001E07FC" w:rsidRDefault="00000000">
            <w:r>
              <w:rPr>
                <w:b/>
              </w:rPr>
              <w:t>Limitation</w:t>
            </w:r>
          </w:p>
        </w:tc>
        <w:tc>
          <w:tcPr>
            <w:tcW w:w="4320" w:type="dxa"/>
            <w:shd w:val="clear" w:color="auto" w:fill="D9E1F2"/>
          </w:tcPr>
          <w:p w14:paraId="03CEE106" w14:textId="77777777" w:rsidR="001E07FC" w:rsidRDefault="00000000">
            <w:r>
              <w:rPr>
                <w:b/>
              </w:rPr>
              <w:t>Mitigation</w:t>
            </w:r>
          </w:p>
        </w:tc>
      </w:tr>
      <w:tr w:rsidR="001E07FC" w14:paraId="05715628" w14:textId="77777777">
        <w:tc>
          <w:tcPr>
            <w:tcW w:w="4320" w:type="dxa"/>
          </w:tcPr>
          <w:p w14:paraId="0A333568" w14:textId="77777777" w:rsidR="001E07FC" w:rsidRDefault="00000000">
            <w:r>
              <w:t>No biochemical androgen levels (testosterone, FAI) in Kaggle clinical dataset; HA is symptom-proxied only</w:t>
            </w:r>
          </w:p>
        </w:tc>
        <w:tc>
          <w:tcPr>
            <w:tcW w:w="4320" w:type="dxa"/>
          </w:tcPr>
          <w:p w14:paraId="69949DA9" w14:textId="77777777" w:rsidR="001E07FC" w:rsidRDefault="00000000">
            <w:r>
              <w:t>Explicitly acknowledge proxy-based HA labeling; discuss impact on Phenotypes B and C sensitivity in Discussion chapter.</w:t>
            </w:r>
          </w:p>
        </w:tc>
      </w:tr>
      <w:tr w:rsidR="001E07FC" w14:paraId="6433A126" w14:textId="77777777">
        <w:tc>
          <w:tcPr>
            <w:tcW w:w="4320" w:type="dxa"/>
          </w:tcPr>
          <w:p w14:paraId="6802F660" w14:textId="77777777" w:rsidR="001E07FC" w:rsidRDefault="00000000">
            <w:r>
              <w:t>Image and clinical datasets are from independent patient cohorts; no patient-level alignment possible</w:t>
            </w:r>
          </w:p>
        </w:tc>
        <w:tc>
          <w:tcPr>
            <w:tcW w:w="4320" w:type="dxa"/>
          </w:tcPr>
          <w:p w14:paraId="54B2A368" w14:textId="77777777" w:rsidR="001E07FC" w:rsidRDefault="00000000">
            <w:r>
              <w:t>Frame as independent modules within a unified clinical framework; avoid claims of patient-wise multimodal fusion.</w:t>
            </w:r>
          </w:p>
        </w:tc>
      </w:tr>
      <w:tr w:rsidR="001E07FC" w14:paraId="7DA5D5E6" w14:textId="77777777">
        <w:tc>
          <w:tcPr>
            <w:tcW w:w="4320" w:type="dxa"/>
          </w:tcPr>
          <w:p w14:paraId="2BBA1CE0" w14:textId="77777777" w:rsidR="001E07FC" w:rsidRDefault="00000000">
            <w:r>
              <w:t>Pixel-to-mm calibration absent from Kaggle ultrasound images</w:t>
            </w:r>
          </w:p>
        </w:tc>
        <w:tc>
          <w:tcPr>
            <w:tcW w:w="4320" w:type="dxa"/>
          </w:tcPr>
          <w:p w14:paraId="1DF290B3" w14:textId="77777777" w:rsidR="001E07FC" w:rsidRDefault="00000000">
            <w:r>
              <w:t>Use relative follicle count threshold (≥20 total) rather than absolute diameter for PCOM proxy; validate against clinical literature.</w:t>
            </w:r>
          </w:p>
        </w:tc>
      </w:tr>
      <w:tr w:rsidR="001E07FC" w14:paraId="17F5723E" w14:textId="77777777">
        <w:tc>
          <w:tcPr>
            <w:tcW w:w="4320" w:type="dxa"/>
          </w:tcPr>
          <w:p w14:paraId="5E0BE591" w14:textId="77777777" w:rsidR="001E07FC" w:rsidRDefault="00000000">
            <w:r>
              <w:t xml:space="preserve">3-month time constraint prevents </w:t>
            </w:r>
            <w:r>
              <w:lastRenderedPageBreak/>
              <w:t>prospective clinical validation</w:t>
            </w:r>
          </w:p>
        </w:tc>
        <w:tc>
          <w:tcPr>
            <w:tcW w:w="4320" w:type="dxa"/>
          </w:tcPr>
          <w:p w14:paraId="0972E630" w14:textId="77777777" w:rsidR="001E07FC" w:rsidRDefault="00000000">
            <w:r>
              <w:lastRenderedPageBreak/>
              <w:t>Use retrospective public data with cross-</w:t>
            </w:r>
            <w:r>
              <w:lastRenderedPageBreak/>
              <w:t>validation; explicitly state need for future hospital-based external validation.</w:t>
            </w:r>
          </w:p>
        </w:tc>
      </w:tr>
      <w:tr w:rsidR="001E07FC" w14:paraId="20EE7859" w14:textId="77777777">
        <w:tc>
          <w:tcPr>
            <w:tcW w:w="4320" w:type="dxa"/>
          </w:tcPr>
          <w:p w14:paraId="3E2C6DD8" w14:textId="77777777" w:rsidR="001E07FC" w:rsidRDefault="00000000">
            <w:r>
              <w:lastRenderedPageBreak/>
              <w:t>Class imbalance: Phenotypes B and D are clinically rare (~10-15% each)</w:t>
            </w:r>
          </w:p>
        </w:tc>
        <w:tc>
          <w:tcPr>
            <w:tcW w:w="4320" w:type="dxa"/>
          </w:tcPr>
          <w:p w14:paraId="497ECF96" w14:textId="77777777" w:rsidR="001E07FC" w:rsidRDefault="00000000">
            <w:r>
              <w:t>Apply SMOTE oversampling; use Macro-F1 and per-class sensitivity as primary metrics rather than accuracy.</w:t>
            </w:r>
          </w:p>
        </w:tc>
      </w:tr>
    </w:tbl>
    <w:p w14:paraId="778BB36A" w14:textId="77777777" w:rsidR="001E07FC" w:rsidRDefault="00000000">
      <w:pPr>
        <w:pStyle w:val="Heading1"/>
      </w:pPr>
      <w:r>
        <w:rPr>
          <w:color w:val="000080"/>
        </w:rPr>
        <w:t>9. References</w:t>
      </w:r>
    </w:p>
    <w:p w14:paraId="456ED57B" w14:textId="77777777" w:rsidR="001E07FC" w:rsidRDefault="00000000">
      <w:pPr>
        <w:pStyle w:val="ListNumber"/>
      </w:pPr>
      <w:r>
        <w:t>[1] Agirsoy, S., &amp; Oehlschlaeger, M.H. (2025). A machine learning approach for non-invasive PCOS diagnosis from ultrasound and clinical features. Scientific Reports, 15, 10453. https://doi.org/10.1038/s41598-025-10453-9</w:t>
      </w:r>
    </w:p>
    <w:p w14:paraId="48009FC8" w14:textId="77777777" w:rsidR="001E07FC" w:rsidRDefault="00000000">
      <w:pPr>
        <w:pStyle w:val="ListNumber"/>
      </w:pPr>
      <w:r>
        <w:t>[2] Li, S., et al. (2025). Intelligent detection for Polycystic Ovary Syndrome (PCOS): Taxonomy, datasets and detection tools. Saudi Journal of Biological Sciences, 32(1), 103132. https://doi.org/10.1016/j.sjbs.2024.103132</w:t>
      </w:r>
    </w:p>
    <w:p w14:paraId="5AFE9C2A" w14:textId="77777777" w:rsidR="001E07FC" w:rsidRDefault="00000000">
      <w:pPr>
        <w:pStyle w:val="ListNumber"/>
      </w:pPr>
      <w:r>
        <w:t>[3] NIH/PMC (2025). Artificial intelligence in polycystic ovary syndrome: a systematic review of diagnostic and predictive applications. BMC Medical Informatics and Decision Making, 25, 32. https://doi.org/10.1186/s12911-025-03255-6</w:t>
      </w:r>
    </w:p>
    <w:p w14:paraId="74B9CF4C" w14:textId="77777777" w:rsidR="001E07FC" w:rsidRDefault="00000000">
      <w:pPr>
        <w:pStyle w:val="ListNumber"/>
      </w:pPr>
      <w:r>
        <w:t>[4] Shanmugavadivel, K., et al. (2024). Optimized polycystic ovarian disease prognosis using AI on multi-modality data. BMC Medical Informatics and Decision Making, 24, 281. https://doi.org/10.1186/s12911-024-02688-9</w:t>
      </w:r>
    </w:p>
    <w:p w14:paraId="175280DC" w14:textId="77777777" w:rsidR="001E07FC" w:rsidRDefault="00000000">
      <w:pPr>
        <w:pStyle w:val="ListNumber"/>
      </w:pPr>
      <w:r>
        <w:t>[5] Springer (2026). Explainable multimodal deep learning using cross-attention fusion of ultrasound and clinical features for PCOS classification. Information Retrieval Journal. https://doi.org/10.1007/s10791-025-09901-x</w:t>
      </w:r>
    </w:p>
    <w:p w14:paraId="53264147" w14:textId="77777777" w:rsidR="001E07FC" w:rsidRDefault="00000000">
      <w:pPr>
        <w:pStyle w:val="ListNumber"/>
      </w:pPr>
      <w:r>
        <w:t>[6] Clinical phenotype comparison (2019). Comparison of PCOS phenotypes based on metabolic and hormonal profile. Journal of Human Reproductive Sciences, 12(3), 239-245. https://pmc.ncbi.nlm.nih.gov/articles/PMC6683693/</w:t>
      </w:r>
    </w:p>
    <w:p w14:paraId="7DA313F6" w14:textId="77777777" w:rsidR="001E07FC" w:rsidRDefault="001E07FC"/>
    <w:p w14:paraId="7441B608" w14:textId="77777777" w:rsidR="001E07FC" w:rsidRDefault="00000000">
      <w:r>
        <w:t>────────────────────────────────────────────────────────────</w:t>
      </w:r>
    </w:p>
    <w:p w14:paraId="17F13FE1" w14:textId="77777777" w:rsidR="001E07FC" w:rsidRDefault="00000000">
      <w:r>
        <w:rPr>
          <w:b/>
        </w:rPr>
        <w:t xml:space="preserve">Student Name: </w:t>
      </w:r>
      <w:r>
        <w:t>___________________</w:t>
      </w:r>
    </w:p>
    <w:p w14:paraId="1D2C4EAB" w14:textId="77777777" w:rsidR="001E07FC" w:rsidRDefault="00000000">
      <w:r>
        <w:rPr>
          <w:b/>
        </w:rPr>
        <w:t xml:space="preserve">Program: </w:t>
      </w:r>
      <w:r>
        <w:t>M.Sc. [Computer Science / Data Science / Health Informatics]</w:t>
      </w:r>
    </w:p>
    <w:p w14:paraId="47D2A4E0" w14:textId="77777777" w:rsidR="001E07FC" w:rsidRDefault="00000000">
      <w:r>
        <w:rPr>
          <w:b/>
        </w:rPr>
        <w:t xml:space="preserve">Supervisor: </w:t>
      </w:r>
      <w:r>
        <w:t>___________________</w:t>
      </w:r>
    </w:p>
    <w:p w14:paraId="770C0C66" w14:textId="77777777" w:rsidR="001E07FC" w:rsidRDefault="00000000">
      <w:r>
        <w:rPr>
          <w:b/>
        </w:rPr>
        <w:t xml:space="preserve">Date: </w:t>
      </w:r>
      <w:r>
        <w:t>___________________</w:t>
      </w:r>
    </w:p>
    <w:sectPr w:rsidR="001E07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560020">
    <w:abstractNumId w:val="8"/>
  </w:num>
  <w:num w:numId="2" w16cid:durableId="1274287021">
    <w:abstractNumId w:val="6"/>
  </w:num>
  <w:num w:numId="3" w16cid:durableId="1684016366">
    <w:abstractNumId w:val="5"/>
  </w:num>
  <w:num w:numId="4" w16cid:durableId="1157921154">
    <w:abstractNumId w:val="4"/>
  </w:num>
  <w:num w:numId="5" w16cid:durableId="84739235">
    <w:abstractNumId w:val="7"/>
  </w:num>
  <w:num w:numId="6" w16cid:durableId="564149727">
    <w:abstractNumId w:val="3"/>
  </w:num>
  <w:num w:numId="7" w16cid:durableId="1018507754">
    <w:abstractNumId w:val="2"/>
  </w:num>
  <w:num w:numId="8" w16cid:durableId="1741058582">
    <w:abstractNumId w:val="1"/>
  </w:num>
  <w:num w:numId="9" w16cid:durableId="1102186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7FC"/>
    <w:rsid w:val="0029639D"/>
    <w:rsid w:val="00326F90"/>
    <w:rsid w:val="00684CBC"/>
    <w:rsid w:val="00AA1D8D"/>
    <w:rsid w:val="00B47730"/>
    <w:rsid w:val="00CB0664"/>
    <w:rsid w:val="00E20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FB07A"/>
  <w14:defaultImageDpi w14:val="300"/>
  <w15:docId w15:val="{CFB1A108-F34A-4496-A6FD-C5487C1A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nikitathapliyal02@outlook.com</cp:lastModifiedBy>
  <cp:revision>2</cp:revision>
  <dcterms:created xsi:type="dcterms:W3CDTF">2013-12-23T23:15:00Z</dcterms:created>
  <dcterms:modified xsi:type="dcterms:W3CDTF">2026-09-29T06:40:00Z</dcterms:modified>
  <cp:category/>
</cp:coreProperties>
</file>