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6F9D8" w14:textId="5475FE80" w:rsidR="00085A60" w:rsidRPr="00085A60" w:rsidRDefault="00085A60" w:rsidP="00085A60">
      <w:pPr>
        <w:rPr>
          <w:sz w:val="32"/>
          <w:szCs w:val="32"/>
        </w:rPr>
      </w:pPr>
      <w:r w:rsidRPr="00085A60">
        <w:rPr>
          <w:sz w:val="32"/>
          <w:szCs w:val="32"/>
        </w:rPr>
        <w:t>Conclusions and Inferences</w:t>
      </w:r>
    </w:p>
    <w:p w14:paraId="4DB1548F" w14:textId="6880E6D0" w:rsidR="00085A60" w:rsidRDefault="00085A60" w:rsidP="00085A60">
      <w:r>
        <w:t>Regressions:</w:t>
      </w:r>
    </w:p>
    <w:p w14:paraId="5661F6F1" w14:textId="77777777" w:rsidR="00085A60" w:rsidRPr="00085A60" w:rsidRDefault="00085A60" w:rsidP="00085A60">
      <w:pPr>
        <w:rPr>
          <w:rFonts w:ascii="Cambria Math" w:hAnsi="Cambria Math"/>
          <w:i/>
        </w:rPr>
      </w:pPr>
      <w:r>
        <w:t xml:space="preserve">Regression 1: </w:t>
      </w:r>
      <w:r w:rsidRPr="00085A60">
        <w:rPr>
          <w:rFonts w:ascii="Cambria Math" w:hAnsi="Cambria Math"/>
          <w:i/>
        </w:rPr>
        <w:t>FPI</w:t>
      </w:r>
      <w:r w:rsidRPr="00085A60">
        <w:rPr>
          <w:rFonts w:ascii="Cambria Math" w:hAnsi="Cambria Math"/>
          <w:i/>
          <w:vertAlign w:val="subscript"/>
        </w:rPr>
        <w:t>t</w:t>
      </w:r>
      <w:r w:rsidRPr="00085A60">
        <w:rPr>
          <w:rFonts w:ascii="Cambria Math" w:hAnsi="Cambria Math"/>
          <w:i/>
        </w:rPr>
        <w:t>= β</w:t>
      </w:r>
      <w:r w:rsidRPr="00085A60">
        <w:rPr>
          <w:rFonts w:ascii="Cambria Math" w:hAnsi="Cambria Math"/>
          <w:i/>
          <w:vertAlign w:val="subscript"/>
        </w:rPr>
        <w:t>0</w:t>
      </w:r>
      <w:r w:rsidRPr="00085A60">
        <w:rPr>
          <w:rFonts w:ascii="Cambria Math" w:hAnsi="Cambria Math"/>
          <w:i/>
        </w:rPr>
        <w:t>+β</w:t>
      </w:r>
      <w:r w:rsidRPr="00085A60">
        <w:rPr>
          <w:rFonts w:ascii="Cambria Math" w:hAnsi="Cambria Math"/>
          <w:i/>
          <w:vertAlign w:val="subscript"/>
        </w:rPr>
        <w:t>1</w:t>
      </w:r>
      <w:r w:rsidRPr="00085A60">
        <w:rPr>
          <w:rFonts w:ascii="Cambria Math" w:hAnsi="Cambria Math"/>
          <w:i/>
        </w:rPr>
        <w:t>(GDP per capita</w:t>
      </w:r>
      <w:r w:rsidRPr="00085A60">
        <w:rPr>
          <w:rFonts w:ascii="Cambria Math" w:hAnsi="Cambria Math"/>
          <w:i/>
          <w:vertAlign w:val="subscript"/>
        </w:rPr>
        <w:t>t</w:t>
      </w:r>
      <w:r w:rsidRPr="00085A60">
        <w:rPr>
          <w:rFonts w:ascii="Cambria Math" w:hAnsi="Cambria Math"/>
          <w:i/>
        </w:rPr>
        <w:t>) +β</w:t>
      </w:r>
      <w:r w:rsidRPr="00085A60">
        <w:rPr>
          <w:rFonts w:ascii="Cambria Math" w:hAnsi="Cambria Math"/>
          <w:i/>
          <w:vertAlign w:val="subscript"/>
        </w:rPr>
        <w:t>2</w:t>
      </w:r>
      <w:r w:rsidRPr="00085A60">
        <w:rPr>
          <w:rFonts w:ascii="Cambria Math" w:hAnsi="Cambria Math"/>
          <w:i/>
        </w:rPr>
        <w:t>(log (Population)</w:t>
      </w:r>
      <w:r w:rsidRPr="00085A60">
        <w:rPr>
          <w:rFonts w:ascii="Cambria Math" w:hAnsi="Cambria Math"/>
          <w:i/>
          <w:vertAlign w:val="subscript"/>
        </w:rPr>
        <w:t>t</w:t>
      </w:r>
      <w:r w:rsidRPr="00085A60">
        <w:rPr>
          <w:rFonts w:ascii="Cambria Math" w:hAnsi="Cambria Math"/>
          <w:i/>
        </w:rPr>
        <w:t>) +β</w:t>
      </w:r>
      <w:r w:rsidRPr="00085A60">
        <w:rPr>
          <w:rFonts w:ascii="Cambria Math" w:hAnsi="Cambria Math"/>
          <w:i/>
          <w:vertAlign w:val="subscript"/>
        </w:rPr>
        <w:t>3</w:t>
      </w:r>
      <w:r w:rsidRPr="00085A60">
        <w:rPr>
          <w:rFonts w:ascii="Cambria Math" w:hAnsi="Cambria Math"/>
          <w:i/>
        </w:rPr>
        <w:t>(Rainfall</w:t>
      </w:r>
      <w:r w:rsidRPr="00085A60">
        <w:rPr>
          <w:rFonts w:ascii="Cambria Math" w:hAnsi="Cambria Math"/>
          <w:i/>
          <w:vertAlign w:val="subscript"/>
        </w:rPr>
        <w:t>t</w:t>
      </w:r>
      <w:r w:rsidRPr="00085A60">
        <w:rPr>
          <w:rFonts w:ascii="Cambria Math" w:hAnsi="Cambria Math"/>
          <w:i/>
        </w:rPr>
        <w:t>)+ µ</w:t>
      </w:r>
      <w:r w:rsidRPr="00085A60">
        <w:rPr>
          <w:rFonts w:ascii="Cambria Math" w:hAnsi="Cambria Math"/>
          <w:i/>
          <w:vertAlign w:val="subscript"/>
        </w:rPr>
        <w:t>t</w:t>
      </w:r>
    </w:p>
    <w:p w14:paraId="7121D99F" w14:textId="3CDD37CF" w:rsidR="00732B7F" w:rsidRDefault="00732B7F" w:rsidP="00085A60">
      <w:r>
        <w:t>Initial regression consisted of variables GDP, Population and Rainfall. Though through further analysis it was found that high values of GDP and population led to the problem of heteroskedasticity and thus were changed to the aforementioned.</w:t>
      </w:r>
    </w:p>
    <w:p w14:paraId="383FA268" w14:textId="67ED0AD3" w:rsidR="00085A60" w:rsidRDefault="00085A60" w:rsidP="00085A60">
      <w:r>
        <w:t>Despite our initial suspicions Food Production Index (FPI) does not significantly depend upon the rainfall received. According to the t-test, GDP per capita and log (Population) are the only two significant variables in determining the FPI. Our model is overall significant pertaining to the high F-stat value. An 88.51% R</w:t>
      </w:r>
      <w:r w:rsidRPr="00085A60">
        <w:rPr>
          <w:vertAlign w:val="superscript"/>
        </w:rPr>
        <w:t>2</w:t>
      </w:r>
      <w:r>
        <w:rPr>
          <w:vertAlign w:val="superscript"/>
        </w:rPr>
        <w:t xml:space="preserve"> </w:t>
      </w:r>
      <w:r>
        <w:t xml:space="preserve">shows that both the independent explanatory variables explains the variation in </w:t>
      </w:r>
      <w:r w:rsidR="00732B7F">
        <w:t xml:space="preserve">FPI over the years to a great extent. Positive value coefficient estimates of both the GDP per capita and </w:t>
      </w:r>
      <w:proofErr w:type="gramStart"/>
      <w:r w:rsidR="00732B7F">
        <w:t>log(</w:t>
      </w:r>
      <w:proofErr w:type="gramEnd"/>
      <w:r w:rsidR="00732B7F">
        <w:t>Population) (log taken to remove heteroskedasticity) suggests that FPI increases with increase in GDP per capita and Population. This might be due to fact that higher per capita income results in higher demand for food which in turn results in inflation in food prices thus finally resulting in an increase in supply.</w:t>
      </w:r>
    </w:p>
    <w:p w14:paraId="35B4324F" w14:textId="77777777" w:rsidR="00732B7F" w:rsidRPr="00732B7F" w:rsidRDefault="00732B7F" w:rsidP="00732B7F">
      <w:pPr>
        <w:rPr>
          <w:rFonts w:ascii="Cambria Math" w:hAnsi="Cambria Math"/>
          <w:i/>
        </w:rPr>
      </w:pPr>
      <w:r>
        <w:t xml:space="preserve">Regression 2: </w:t>
      </w:r>
      <w:r w:rsidRPr="00732B7F">
        <w:rPr>
          <w:rFonts w:ascii="Cambria Math" w:hAnsi="Cambria Math"/>
          <w:i/>
        </w:rPr>
        <w:t>LPI</w:t>
      </w:r>
      <w:r w:rsidRPr="00732B7F">
        <w:rPr>
          <w:rFonts w:ascii="Cambria Math" w:hAnsi="Cambria Math"/>
          <w:i/>
          <w:vertAlign w:val="subscript"/>
        </w:rPr>
        <w:t>t</w:t>
      </w:r>
      <w:r w:rsidRPr="00732B7F">
        <w:rPr>
          <w:rFonts w:ascii="Cambria Math" w:hAnsi="Cambria Math"/>
          <w:i/>
        </w:rPr>
        <w:t>= β</w:t>
      </w:r>
      <w:r w:rsidRPr="00732B7F">
        <w:rPr>
          <w:rFonts w:ascii="Cambria Math" w:hAnsi="Cambria Math"/>
          <w:i/>
          <w:vertAlign w:val="subscript"/>
        </w:rPr>
        <w:t>0</w:t>
      </w:r>
      <w:r w:rsidRPr="00732B7F">
        <w:rPr>
          <w:rFonts w:ascii="Cambria Math" w:hAnsi="Cambria Math"/>
          <w:i/>
        </w:rPr>
        <w:t>+β</w:t>
      </w:r>
      <w:r w:rsidRPr="00732B7F">
        <w:rPr>
          <w:rFonts w:ascii="Cambria Math" w:hAnsi="Cambria Math"/>
          <w:i/>
          <w:vertAlign w:val="subscript"/>
        </w:rPr>
        <w:t>1</w:t>
      </w:r>
      <w:r w:rsidRPr="00732B7F">
        <w:rPr>
          <w:rFonts w:ascii="Cambria Math" w:hAnsi="Cambria Math"/>
          <w:i/>
        </w:rPr>
        <w:t>(GDP per capita</w:t>
      </w:r>
      <w:r w:rsidRPr="00732B7F">
        <w:rPr>
          <w:rFonts w:ascii="Cambria Math" w:hAnsi="Cambria Math"/>
          <w:i/>
          <w:vertAlign w:val="subscript"/>
        </w:rPr>
        <w:t>t</w:t>
      </w:r>
      <w:r w:rsidRPr="00732B7F">
        <w:rPr>
          <w:rFonts w:ascii="Cambria Math" w:hAnsi="Cambria Math"/>
          <w:i/>
        </w:rPr>
        <w:t>) +β</w:t>
      </w:r>
      <w:r w:rsidRPr="00732B7F">
        <w:rPr>
          <w:rFonts w:ascii="Cambria Math" w:hAnsi="Cambria Math"/>
          <w:i/>
          <w:vertAlign w:val="subscript"/>
        </w:rPr>
        <w:t>2</w:t>
      </w:r>
      <w:r w:rsidRPr="00732B7F">
        <w:rPr>
          <w:rFonts w:ascii="Cambria Math" w:hAnsi="Cambria Math"/>
          <w:i/>
        </w:rPr>
        <w:t>(log (Population)</w:t>
      </w:r>
      <w:r w:rsidRPr="00732B7F">
        <w:rPr>
          <w:rFonts w:ascii="Cambria Math" w:hAnsi="Cambria Math"/>
          <w:i/>
          <w:vertAlign w:val="subscript"/>
        </w:rPr>
        <w:t>t</w:t>
      </w:r>
      <w:r w:rsidRPr="00732B7F">
        <w:rPr>
          <w:rFonts w:ascii="Cambria Math" w:hAnsi="Cambria Math"/>
          <w:i/>
        </w:rPr>
        <w:t>) + µ</w:t>
      </w:r>
      <w:r w:rsidRPr="00732B7F">
        <w:rPr>
          <w:rFonts w:ascii="Cambria Math" w:hAnsi="Cambria Math"/>
          <w:i/>
          <w:vertAlign w:val="subscript"/>
        </w:rPr>
        <w:t>t</w:t>
      </w:r>
    </w:p>
    <w:p w14:paraId="21AE3FF2" w14:textId="1D34A6A7" w:rsidR="00732B7F" w:rsidRDefault="00732B7F" w:rsidP="00732B7F">
      <w:r>
        <w:t>Initial regression consisted of variables GDP</w:t>
      </w:r>
      <w:r w:rsidR="00A77A77">
        <w:t xml:space="preserve"> and</w:t>
      </w:r>
      <w:r>
        <w:t xml:space="preserve"> Population. Though through further analysis it was found that high values of GDP and population led to the problem of heteroskedasticity and thus were changed to the aforementioned.</w:t>
      </w:r>
    </w:p>
    <w:p w14:paraId="6D6990E7" w14:textId="09612541" w:rsidR="00732B7F" w:rsidRDefault="00732B7F" w:rsidP="00085A60">
      <w:r>
        <w:t xml:space="preserve">Result of this regression analysis were particularly shocking. Though the model itself turned out to significant, GDP per capita was found to be an insignificant variable at </w:t>
      </w:r>
      <w:r w:rsidR="00A77A77">
        <w:t>5% significance level. Population on the other hand was in fact significant and had a positive coefficient estimate leading to the conclusion that increase in population results in greater livestock production.</w:t>
      </w:r>
    </w:p>
    <w:p w14:paraId="4B652732" w14:textId="20CC43F6" w:rsidR="00A77A77" w:rsidRPr="00A77A77" w:rsidRDefault="00A77A77" w:rsidP="00A77A77">
      <w:pPr>
        <w:spacing w:line="240" w:lineRule="auto"/>
        <w:rPr>
          <w:rFonts w:ascii="Cambria Math" w:hAnsi="Cambria Math"/>
          <w:i/>
          <w:iCs/>
        </w:rPr>
      </w:pPr>
      <w:r>
        <w:t xml:space="preserve">Regression 3: </w:t>
      </w:r>
      <m:oMath>
        <m:r>
          <m:rPr>
            <m:nor/>
          </m:rPr>
          <w:rPr>
            <w:rFonts w:ascii="Cambria Math" w:hAnsi="Cambria Math"/>
            <w:i/>
            <w:iCs/>
          </w:rPr>
          <m:t>Cereals</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0</m:t>
        </m:r>
        <m:r>
          <m:rPr>
            <m:nor/>
          </m:rPr>
          <w:rPr>
            <w:rFonts w:ascii="Cambria Math" w:hAnsi="Cambria Math"/>
            <w:i/>
            <w:iCs/>
          </w:rPr>
          <m:t>+β</m:t>
        </m:r>
        <m:r>
          <m:rPr>
            <m:nor/>
          </m:rPr>
          <w:rPr>
            <w:rFonts w:ascii="Cambria Math" w:hAnsi="Cambria Math"/>
            <w:i/>
            <w:iCs/>
            <w:vertAlign w:val="subscript"/>
          </w:rPr>
          <m:t>1</m:t>
        </m:r>
        <m:r>
          <m:rPr>
            <m:nor/>
          </m:rPr>
          <w:rPr>
            <w:rFonts w:ascii="Cambria Math" w:hAnsi="Cambria Math"/>
            <w:i/>
            <w:iCs/>
          </w:rPr>
          <m:t>(</m:t>
        </m:r>
        <m:r>
          <m:rPr>
            <m:nor/>
          </m:rPr>
          <w:rPr>
            <w:rFonts w:ascii="Cambria Math" w:hAnsi="Cambria Math"/>
            <w:i/>
          </w:rPr>
          <m:t>GDP per capita</m:t>
        </m:r>
        <m:r>
          <m:rPr>
            <m:nor/>
          </m:rPr>
          <w:rPr>
            <w:rFonts w:ascii="Cambria Math" w:hAnsi="Cambria Math"/>
            <w:i/>
            <w:iCs/>
            <w:vertAlign w:val="subscript"/>
          </w:rPr>
          <m:t>t</m:t>
        </m:r>
        <m:r>
          <m:rPr>
            <m:nor/>
          </m:rPr>
          <w:rPr>
            <w:rFonts w:ascii="Cambria Math" w:hAnsi="Cambria Math"/>
            <w:i/>
            <w:iCs/>
          </w:rPr>
          <m:t>)</m:t>
        </m:r>
        <m:r>
          <m:rPr>
            <m:nor/>
          </m:rPr>
          <w:rPr>
            <w:rFonts w:ascii="Cambria Math" w:hAnsi="Cambria Math"/>
            <w:i/>
            <w:iCs/>
          </w:rPr>
          <m:t xml:space="preserve"> </m:t>
        </m:r>
        <m:r>
          <m:rPr>
            <m:nor/>
          </m:rPr>
          <w:rPr>
            <w:rFonts w:ascii="Cambria Math" w:hAnsi="Cambria Math"/>
            <w:i/>
            <w:iCs/>
          </w:rPr>
          <m:t>+β</m:t>
        </m:r>
        <m:r>
          <m:rPr>
            <m:nor/>
          </m:rPr>
          <w:rPr>
            <w:rFonts w:ascii="Cambria Math" w:hAnsi="Cambria Math"/>
            <w:i/>
            <w:iCs/>
            <w:vertAlign w:val="subscript"/>
          </w:rPr>
          <m:t>2</m:t>
        </m:r>
        <m:r>
          <m:rPr>
            <m:nor/>
          </m:rPr>
          <w:rPr>
            <w:rFonts w:ascii="Cambria Math" w:hAnsi="Cambria Math"/>
            <w:i/>
            <w:iCs/>
          </w:rPr>
          <m:t>(</m:t>
        </m:r>
        <m:r>
          <m:rPr>
            <m:nor/>
          </m:rPr>
          <w:rPr>
            <w:rFonts w:ascii="Cambria Math" w:hAnsi="Cambria Math"/>
            <w:i/>
          </w:rPr>
          <m:t>log</m:t>
        </m:r>
        <m:r>
          <m:rPr>
            <m:nor/>
          </m:rPr>
          <w:rPr>
            <w:rFonts w:ascii="Cambria Math" w:hAnsi="Cambria Math"/>
            <w:i/>
          </w:rPr>
          <m:t xml:space="preserve"> </m:t>
        </m:r>
        <m:r>
          <m:rPr>
            <m:nor/>
          </m:rPr>
          <w:rPr>
            <w:rFonts w:ascii="Cambria Math" w:hAnsi="Cambria Math"/>
            <w:i/>
          </w:rPr>
          <m:t>(Population)</m:t>
        </m:r>
        <m:r>
          <m:rPr>
            <m:nor/>
          </m:rPr>
          <w:rPr>
            <w:rFonts w:ascii="Cambria Math" w:hAnsi="Cambria Math"/>
            <w:i/>
            <w:iCs/>
            <w:vertAlign w:val="subscript"/>
          </w:rPr>
          <m:t>t</m:t>
        </m:r>
        <m:r>
          <m:rPr>
            <m:nor/>
          </m:rPr>
          <w:rPr>
            <w:rFonts w:ascii="Cambria Math" w:hAnsi="Cambria Math"/>
            <w:i/>
            <w:iCs/>
          </w:rPr>
          <m:t>)</m:t>
        </m:r>
        <m:r>
          <m:rPr>
            <m:nor/>
          </m:rPr>
          <w:rPr>
            <w:rFonts w:ascii="Cambria Math" w:hAnsi="Cambria Math"/>
            <w:i/>
            <w:iCs/>
          </w:rPr>
          <m:t xml:space="preserve"> </m:t>
        </m:r>
        <m:r>
          <m:rPr>
            <m:nor/>
          </m:rPr>
          <w:rPr>
            <w:rFonts w:ascii="Cambria Math" w:hAnsi="Cambria Math"/>
            <w:i/>
            <w:iCs/>
          </w:rPr>
          <m:t>+ β</m:t>
        </m:r>
        <m:r>
          <m:rPr>
            <m:nor/>
          </m:rPr>
          <w:rPr>
            <w:rFonts w:ascii="Cambria Math" w:hAnsi="Cambria Math"/>
            <w:i/>
            <w:iCs/>
            <w:vertAlign w:val="subscript"/>
          </w:rPr>
          <m:t>5</m:t>
        </m:r>
        <m:r>
          <m:rPr>
            <m:nor/>
          </m:rPr>
          <w:rPr>
            <w:rFonts w:ascii="Cambria Math" w:hAnsi="Cambria Math"/>
            <w:i/>
            <w:iCs/>
          </w:rPr>
          <m:t>(FPI</m:t>
        </m:r>
        <m:r>
          <m:rPr>
            <m:nor/>
          </m:rPr>
          <w:rPr>
            <w:rFonts w:ascii="Cambria Math" w:hAnsi="Cambria Math"/>
            <w:i/>
            <w:iCs/>
            <w:vertAlign w:val="subscript"/>
          </w:rPr>
          <m:t>t</m:t>
        </m:r>
        <m:r>
          <m:rPr>
            <m:nor/>
          </m:rPr>
          <w:rPr>
            <w:rFonts w:ascii="Cambria Math" w:hAnsi="Cambria Math"/>
            <w:i/>
            <w:iCs/>
          </w:rPr>
          <m:t>)</m:t>
        </m:r>
      </m:oMath>
      <w:r w:rsidRPr="00A77A77">
        <w:rPr>
          <w:rFonts w:ascii="Cambria Math" w:eastAsiaTheme="minorEastAsia" w:hAnsi="Cambria Math"/>
          <w:i/>
          <w:iCs/>
        </w:rPr>
        <w:t xml:space="preserve"> </w:t>
      </w:r>
      <m:oMath>
        <m:r>
          <m:rPr>
            <m:nor/>
          </m:rPr>
          <w:rPr>
            <w:rFonts w:ascii="Cambria Math" w:hAnsi="Cambria Math"/>
            <w:i/>
            <w:iCs/>
          </w:rPr>
          <m:t>+ β</m:t>
        </m:r>
        <m:r>
          <m:rPr>
            <m:nor/>
          </m:rPr>
          <w:rPr>
            <w:rFonts w:ascii="Cambria Math" w:hAnsi="Cambria Math"/>
            <w:i/>
            <w:iCs/>
            <w:vertAlign w:val="subscript"/>
          </w:rPr>
          <m:t>6</m:t>
        </m:r>
        <m:r>
          <m:rPr>
            <m:nor/>
          </m:rPr>
          <w:rPr>
            <w:rFonts w:ascii="Cambria Math" w:hAnsi="Cambria Math"/>
            <w:i/>
            <w:iCs/>
          </w:rPr>
          <m:t>(LPI</m:t>
        </m:r>
        <m:r>
          <m:rPr>
            <m:nor/>
          </m:rPr>
          <w:rPr>
            <w:rFonts w:ascii="Cambria Math" w:hAnsi="Cambria Math"/>
            <w:i/>
            <w:iCs/>
            <w:vertAlign w:val="subscript"/>
          </w:rPr>
          <m:t>t</m:t>
        </m:r>
        <m:r>
          <m:rPr>
            <m:nor/>
          </m:rPr>
          <w:rPr>
            <w:rFonts w:ascii="Cambria Math" w:hAnsi="Cambria Math"/>
            <w:i/>
            <w:iCs/>
          </w:rPr>
          <m:t>)+ µ</m:t>
        </m:r>
        <m:r>
          <m:rPr>
            <m:nor/>
          </m:rPr>
          <w:rPr>
            <w:rFonts w:ascii="Cambria Math" w:hAnsi="Cambria Math"/>
            <w:i/>
            <w:iCs/>
            <w:vertAlign w:val="subscript"/>
          </w:rPr>
          <m:t>t</m:t>
        </m:r>
      </m:oMath>
    </w:p>
    <w:p w14:paraId="6368CF80" w14:textId="6A9C2D31" w:rsidR="00A77A77" w:rsidRDefault="00A77A77" w:rsidP="00A77A77">
      <w:r>
        <w:t>Initial regression consisted of variables GDP, Population</w:t>
      </w:r>
      <w:r>
        <w:t>, FPI and LPI</w:t>
      </w:r>
      <w:r>
        <w:t>. Though through further analysis it was found that high values of GDP and population led to the problem of heteroskedasticity and thus were changed to the aforementioned.</w:t>
      </w:r>
    </w:p>
    <w:p w14:paraId="27799C69" w14:textId="77777777" w:rsidR="001F5949" w:rsidRDefault="00A77A77" w:rsidP="00085A60">
      <w:r>
        <w:t>As mentioned</w:t>
      </w:r>
      <w:r w:rsidR="0013583E">
        <w:t xml:space="preserve"> before, products like pulses, fruits and vegetables are assumed to be approximately similar with respect to effects of various factors like GDP and population. The overall model </w:t>
      </w:r>
      <w:r w:rsidR="001D03FB">
        <w:t>is insignificant. After regressing the available cereals demand data on the variables, each and every explanatory variable was insignificant in explaining the variation.</w:t>
      </w:r>
      <w:r w:rsidR="001F5949">
        <w:t xml:space="preserve"> </w:t>
      </w:r>
    </w:p>
    <w:p w14:paraId="6990E523" w14:textId="7F72414E" w:rsidR="001F5949" w:rsidRDefault="001F5949" w:rsidP="00085A60">
      <w:r>
        <w:t>This was expected due several reasons:</w:t>
      </w:r>
    </w:p>
    <w:p w14:paraId="5D405362" w14:textId="437B0929" w:rsidR="001F5949" w:rsidRDefault="001F5949" w:rsidP="001F5949">
      <w:pPr>
        <w:pStyle w:val="ListParagraph"/>
        <w:numPr>
          <w:ilvl w:val="0"/>
          <w:numId w:val="3"/>
        </w:numPr>
      </w:pPr>
      <w:r>
        <w:t xml:space="preserve">The data obtained was decade wise and thus very less no. of observations </w:t>
      </w:r>
      <w:proofErr w:type="gramStart"/>
      <w:r>
        <w:t>were</w:t>
      </w:r>
      <w:proofErr w:type="gramEnd"/>
      <w:r>
        <w:t xml:space="preserve"> available to run any meaningful regression.</w:t>
      </w:r>
    </w:p>
    <w:p w14:paraId="621B4D06" w14:textId="2CD844D3" w:rsidR="001F5949" w:rsidRDefault="001F5949" w:rsidP="001F5949">
      <w:pPr>
        <w:pStyle w:val="ListParagraph"/>
        <w:numPr>
          <w:ilvl w:val="0"/>
          <w:numId w:val="3"/>
        </w:numPr>
      </w:pPr>
      <w:r>
        <w:t xml:space="preserve">As time passed, social rigidity in India broke at an </w:t>
      </w:r>
      <w:r w:rsidR="004B4959">
        <w:t>increasing rate</w:t>
      </w:r>
      <w:r>
        <w:t>. Thus as no. GDP per capita was increasing the no. of non-vegetarians were also increasing. Thus, keeping the amount of cereals consumed to be approximately same.</w:t>
      </w:r>
    </w:p>
    <w:p w14:paraId="69F156BA" w14:textId="74FB4639" w:rsidR="001F5949" w:rsidRDefault="001F5949" w:rsidP="001F5949">
      <w:pPr>
        <w:pStyle w:val="ListParagraph"/>
        <w:numPr>
          <w:ilvl w:val="0"/>
          <w:numId w:val="3"/>
        </w:numPr>
      </w:pPr>
      <w:r>
        <w:lastRenderedPageBreak/>
        <w:t xml:space="preserve">Moreover, as seen in the previous regressions FPI and LPI themselves depend upon GDP per capita and Population. </w:t>
      </w:r>
      <w:proofErr w:type="gramStart"/>
      <w:r>
        <w:t>Thus</w:t>
      </w:r>
      <w:proofErr w:type="gramEnd"/>
      <w:r>
        <w:t xml:space="preserve"> running a regression with all four of them as explanatory variables might have created a problem of autocorrelation. Though in all fairness, even after excluding them variables were still insignificant. </w:t>
      </w:r>
    </w:p>
    <w:p w14:paraId="0B19D40E" w14:textId="77777777" w:rsidR="001F5949" w:rsidRPr="001F5949" w:rsidRDefault="001F5949" w:rsidP="001F5949">
      <w:pPr>
        <w:spacing w:line="360" w:lineRule="auto"/>
        <w:rPr>
          <w:sz w:val="28"/>
          <w:szCs w:val="28"/>
        </w:rPr>
      </w:pPr>
      <w:r>
        <w:t xml:space="preserve">Regression 4: </w:t>
      </w:r>
      <m:oMath>
        <m:r>
          <m:rPr>
            <m:nor/>
          </m:rPr>
          <w:rPr>
            <w:rFonts w:ascii="Cambria Math" w:hAnsi="Cambria Math"/>
            <w:i/>
            <w:iCs/>
          </w:rPr>
          <m:t>Meat</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0</m:t>
        </m:r>
        <m:r>
          <m:rPr>
            <m:nor/>
          </m:rPr>
          <w:rPr>
            <w:rFonts w:ascii="Cambria Math" w:hAnsi="Cambria Math"/>
            <w:i/>
            <w:iCs/>
          </w:rPr>
          <m:t>+β</m:t>
        </m:r>
        <m:r>
          <m:rPr>
            <m:nor/>
          </m:rPr>
          <w:rPr>
            <w:rFonts w:ascii="Cambria Math" w:hAnsi="Cambria Math"/>
            <w:i/>
            <w:iCs/>
            <w:vertAlign w:val="subscript"/>
          </w:rPr>
          <m:t>1</m:t>
        </m:r>
        <m:r>
          <m:rPr>
            <m:nor/>
          </m:rPr>
          <w:rPr>
            <w:rFonts w:ascii="Cambria Math" w:hAnsi="Cambria Math"/>
            <w:i/>
            <w:iCs/>
          </w:rPr>
          <m:t>(</m:t>
        </m:r>
        <m:r>
          <m:rPr>
            <m:nor/>
          </m:rPr>
          <w:rPr>
            <w:rFonts w:ascii="Cambria Math" w:hAnsi="Cambria Math"/>
            <w:i/>
          </w:rPr>
          <m:t xml:space="preserve">GDP per </m:t>
        </m:r>
        <w:proofErr w:type="gramStart"/>
        <m:r>
          <m:rPr>
            <m:nor/>
          </m:rPr>
          <w:rPr>
            <w:rFonts w:ascii="Cambria Math" w:hAnsi="Cambria Math"/>
            <w:i/>
          </w:rPr>
          <m:t>capita</m:t>
        </m:r>
        <m:r>
          <m:rPr>
            <m:nor/>
          </m:rPr>
          <w:rPr>
            <w:rFonts w:ascii="Cambria Math" w:hAnsi="Cambria Math"/>
            <w:i/>
            <w:iCs/>
            <w:vertAlign w:val="subscript"/>
          </w:rPr>
          <m:t>t</m:t>
        </m:r>
        <m:r>
          <m:rPr>
            <m:nor/>
          </m:rPr>
          <w:rPr>
            <w:rFonts w:ascii="Cambria Math" w:hAnsi="Cambria Math"/>
            <w:i/>
            <w:iCs/>
          </w:rPr>
          <m:t>)+</m:t>
        </m:r>
        <w:proofErr w:type="gramEnd"/>
        <m:r>
          <m:rPr>
            <m:nor/>
          </m:rPr>
          <w:rPr>
            <w:rFonts w:ascii="Cambria Math" w:hAnsi="Cambria Math"/>
            <w:i/>
            <w:iCs/>
          </w:rPr>
          <m:t>β</m:t>
        </m:r>
        <m:r>
          <m:rPr>
            <m:nor/>
          </m:rPr>
          <w:rPr>
            <w:rFonts w:ascii="Cambria Math" w:hAnsi="Cambria Math"/>
            <w:i/>
            <w:iCs/>
            <w:vertAlign w:val="subscript"/>
          </w:rPr>
          <m:t>2</m:t>
        </m:r>
        <m:r>
          <m:rPr>
            <m:nor/>
          </m:rPr>
          <w:rPr>
            <w:rFonts w:ascii="Cambria Math" w:hAnsi="Cambria Math"/>
            <w:i/>
            <w:iCs/>
          </w:rPr>
          <m:t>(</m:t>
        </m:r>
        <m:r>
          <m:rPr>
            <m:nor/>
          </m:rPr>
          <w:rPr>
            <w:rFonts w:ascii="Cambria Math" w:hAnsi="Cambria Math"/>
            <w:i/>
          </w:rPr>
          <m:t>log(Population)</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5</m:t>
        </m:r>
        <m:r>
          <m:rPr>
            <m:nor/>
          </m:rPr>
          <w:rPr>
            <w:rFonts w:ascii="Cambria Math" w:hAnsi="Cambria Math"/>
            <w:i/>
            <w:iCs/>
          </w:rPr>
          <m:t>(FPI</m:t>
        </m:r>
        <m:r>
          <m:rPr>
            <m:nor/>
          </m:rPr>
          <w:rPr>
            <w:rFonts w:ascii="Cambria Math" w:hAnsi="Cambria Math"/>
            <w:i/>
            <w:iCs/>
            <w:vertAlign w:val="subscript"/>
          </w:rPr>
          <m:t>t</m:t>
        </m:r>
        <m:r>
          <m:rPr>
            <m:nor/>
          </m:rPr>
          <w:rPr>
            <w:rFonts w:ascii="Cambria Math" w:hAnsi="Cambria Math"/>
            <w:i/>
            <w:iCs/>
          </w:rPr>
          <m:t>) + β</m:t>
        </m:r>
        <m:r>
          <m:rPr>
            <m:nor/>
          </m:rPr>
          <w:rPr>
            <w:rFonts w:ascii="Cambria Math" w:hAnsi="Cambria Math"/>
            <w:i/>
            <w:iCs/>
            <w:vertAlign w:val="subscript"/>
          </w:rPr>
          <m:t>6</m:t>
        </m:r>
        <m:r>
          <m:rPr>
            <m:nor/>
          </m:rPr>
          <w:rPr>
            <w:rFonts w:ascii="Cambria Math" w:hAnsi="Cambria Math"/>
            <w:i/>
            <w:iCs/>
          </w:rPr>
          <m:t>(LPI</m:t>
        </m:r>
        <m:r>
          <m:rPr>
            <m:nor/>
          </m:rPr>
          <w:rPr>
            <w:rFonts w:ascii="Cambria Math" w:hAnsi="Cambria Math"/>
            <w:i/>
            <w:iCs/>
            <w:vertAlign w:val="subscript"/>
          </w:rPr>
          <m:t>t</m:t>
        </m:r>
        <m:r>
          <m:rPr>
            <m:nor/>
          </m:rPr>
          <w:rPr>
            <w:rFonts w:ascii="Cambria Math" w:hAnsi="Cambria Math"/>
            <w:i/>
            <w:iCs/>
          </w:rPr>
          <m:t>)+ µ</m:t>
        </m:r>
        <m:r>
          <m:rPr>
            <m:nor/>
          </m:rPr>
          <w:rPr>
            <w:rFonts w:ascii="Cambria Math" w:hAnsi="Cambria Math"/>
            <w:i/>
            <w:iCs/>
            <w:vertAlign w:val="subscript"/>
          </w:rPr>
          <m:t>t</m:t>
        </m:r>
      </m:oMath>
      <w:r w:rsidRPr="001F5949">
        <w:rPr>
          <w:sz w:val="28"/>
          <w:szCs w:val="28"/>
        </w:rPr>
        <w:t xml:space="preserve"> </w:t>
      </w:r>
    </w:p>
    <w:p w14:paraId="4641B0C0" w14:textId="77777777" w:rsidR="004B4959" w:rsidRDefault="004B4959" w:rsidP="004B4959">
      <w:r>
        <w:t>Initial regression consisted of variables GDP, Population, FPI and LPI. Though through further analysis it was found that high values of GDP and population led to the problem of heteroskedasticity and thus were changed to the aforementioned.</w:t>
      </w:r>
    </w:p>
    <w:p w14:paraId="2D7AED94" w14:textId="77777777" w:rsidR="004B4959" w:rsidRDefault="004B4959" w:rsidP="001F5949">
      <w:r>
        <w:t>This regression was overall significant. Though after dropping the FPI, log(population) and GDP per capita data, comparing the unrestricted model with he restricted one resulted in LPI becoming significant from initial insignificance. Same trend was seen with the GDP per capita data. Though both of them combined resulted in GDP per capita becoming insignificant once again. This can be explained by the fact that LPI (supply of livestock products including meat) was itself dependent upon the GDP per capita of the country and thus any affect the GDP per capita might be having on the meat consumption is probably via LPI.</w:t>
      </w:r>
    </w:p>
    <w:p w14:paraId="00350D67" w14:textId="77777777" w:rsidR="004B4959" w:rsidRDefault="004B4959" w:rsidP="001F5949">
      <w:r>
        <w:t>Other Analysis:</w:t>
      </w:r>
    </w:p>
    <w:p w14:paraId="66C1E460" w14:textId="7036924B" w:rsidR="001F5949" w:rsidRDefault="004B4959" w:rsidP="001F5949">
      <w:r>
        <w:t xml:space="preserve"> Fisheries </w:t>
      </w:r>
      <w:proofErr w:type="gramStart"/>
      <w:r>
        <w:t>Production :</w:t>
      </w:r>
      <w:proofErr w:type="gramEnd"/>
      <w:r w:rsidR="00AB38D9">
        <w:t xml:space="preserve"> </w:t>
      </w:r>
    </w:p>
    <w:p w14:paraId="78974592" w14:textId="22BE287E" w:rsidR="00AB38D9" w:rsidRDefault="00AB38D9" w:rsidP="001F5949">
      <w:r>
        <w:t xml:space="preserve">As can be seen from the graph below production of fisheries have increased at an approximately constant rate through the years from 1990 to 2018 as expected from the increasing population of non-vegetarians </w:t>
      </w:r>
      <w:r w:rsidR="009E16D2">
        <w:t>I</w:t>
      </w:r>
      <w:r>
        <w:t>ndia.</w:t>
      </w:r>
    </w:p>
    <w:p w14:paraId="5ABF9146" w14:textId="49AB306A" w:rsidR="004B4959" w:rsidRDefault="004B4959" w:rsidP="001F5949">
      <w:r>
        <w:rPr>
          <w:noProof/>
        </w:rPr>
        <w:drawing>
          <wp:inline distT="0" distB="0" distL="0" distR="0" wp14:anchorId="5399F2CF" wp14:editId="58AB1A0C">
            <wp:extent cx="4572000" cy="2743200"/>
            <wp:effectExtent l="0" t="0" r="0" b="0"/>
            <wp:docPr id="1" name="Chart 1">
              <a:extLst xmlns:a="http://schemas.openxmlformats.org/drawingml/2006/main">
                <a:ext uri="{FF2B5EF4-FFF2-40B4-BE49-F238E27FC236}">
                  <a16:creationId xmlns:a16="http://schemas.microsoft.com/office/drawing/2014/main" id="{E356AE6B-3BF7-464B-8218-DBB101F9EC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36DC8A" w14:textId="6DC8E559" w:rsidR="00AB38D9" w:rsidRDefault="00AB38D9" w:rsidP="001F5949">
      <w:r>
        <w:t>Net food</w:t>
      </w:r>
      <w:r w:rsidR="009E16D2">
        <w:t xml:space="preserve"> grain</w:t>
      </w:r>
      <w:r>
        <w:t xml:space="preserve"> availability</w:t>
      </w:r>
      <w:r w:rsidR="009E16D2">
        <w:t xml:space="preserve"> per capita per year</w:t>
      </w:r>
      <w:r>
        <w:t>:</w:t>
      </w:r>
    </w:p>
    <w:p w14:paraId="7F86A181" w14:textId="374FD0D4" w:rsidR="009E16D2" w:rsidRDefault="009E16D2" w:rsidP="001F5949">
      <w:r>
        <w:t>The per capita per year net availability of rice, wheat, cereals as a whole and food grains (total) have increased over the years with a dip or two in the recent years. But the availability of pulses and other cereals, which include cereals like bajra etc., have decreased and only recently began to stabilize.</w:t>
      </w:r>
    </w:p>
    <w:p w14:paraId="28E6FADA" w14:textId="742436B9" w:rsidR="00AB38D9" w:rsidRDefault="009E16D2" w:rsidP="001F5949">
      <w:r>
        <w:rPr>
          <w:noProof/>
        </w:rPr>
        <w:lastRenderedPageBreak/>
        <w:drawing>
          <wp:inline distT="0" distB="0" distL="0" distR="0" wp14:anchorId="38B3C738" wp14:editId="63EE90F9">
            <wp:extent cx="5686424" cy="3305175"/>
            <wp:effectExtent l="0" t="0" r="10160" b="9525"/>
            <wp:docPr id="3" name="Chart 3">
              <a:extLst xmlns:a="http://schemas.openxmlformats.org/drawingml/2006/main">
                <a:ext uri="{FF2B5EF4-FFF2-40B4-BE49-F238E27FC236}">
                  <a16:creationId xmlns:a16="http://schemas.microsoft.com/office/drawing/2014/main" id="{5001FA1E-C3A8-41A6-8748-9530EA970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5445F4" w14:textId="6C812817" w:rsidR="009E16D2" w:rsidRDefault="00BE382F" w:rsidP="001F5949">
      <w:r>
        <w:t>Estimates of state-wise production of major livestock products 2016-17:</w:t>
      </w:r>
    </w:p>
    <w:p w14:paraId="5F1E31C5" w14:textId="6CF39BC1" w:rsidR="00BE382F" w:rsidRDefault="00BE382F" w:rsidP="001F5949">
      <w:r w:rsidRPr="00BE382F">
        <w:rPr>
          <w:highlight w:val="yellow"/>
        </w:rPr>
        <w:t xml:space="preserve">As can be </w:t>
      </w:r>
      <w:proofErr w:type="spellStart"/>
      <w:proofErr w:type="gramStart"/>
      <w:r w:rsidRPr="00BE382F">
        <w:rPr>
          <w:highlight w:val="yellow"/>
        </w:rPr>
        <w:t>expected,If</w:t>
      </w:r>
      <w:proofErr w:type="spellEnd"/>
      <w:proofErr w:type="gramEnd"/>
      <w:r w:rsidRPr="00BE382F">
        <w:rPr>
          <w:highlight w:val="yellow"/>
        </w:rPr>
        <w:t xml:space="preserve"> you want to include</w:t>
      </w:r>
      <w:r>
        <w:t xml:space="preserve"> </w:t>
      </w:r>
    </w:p>
    <w:p w14:paraId="359081C6" w14:textId="344C72BC" w:rsidR="00BE382F" w:rsidRDefault="00BE382F" w:rsidP="001F5949">
      <w:r>
        <w:rPr>
          <w:noProof/>
        </w:rPr>
        <w:drawing>
          <wp:inline distT="0" distB="0" distL="0" distR="0" wp14:anchorId="73DA6D5C" wp14:editId="6FAF3982">
            <wp:extent cx="5943600" cy="2984500"/>
            <wp:effectExtent l="0" t="0" r="0" b="6350"/>
            <wp:docPr id="5" name="Chart 5">
              <a:extLst xmlns:a="http://schemas.openxmlformats.org/drawingml/2006/main">
                <a:ext uri="{FF2B5EF4-FFF2-40B4-BE49-F238E27FC236}">
                  <a16:creationId xmlns:a16="http://schemas.microsoft.com/office/drawing/2014/main" id="{11019B36-24D7-4213-BF70-B9EB9F7F7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B0A58E" w14:textId="51591479" w:rsidR="00BE382F" w:rsidRDefault="008A17F3" w:rsidP="001F5949">
      <w:r>
        <w:t>Production of wheat and rice from 1960 to 2019:</w:t>
      </w:r>
    </w:p>
    <w:p w14:paraId="61734BA2" w14:textId="06157095" w:rsidR="008A17F3" w:rsidRDefault="008A17F3" w:rsidP="001F5949">
      <w:r>
        <w:t xml:space="preserve">As can be seen from the graph, the wheat and rice production </w:t>
      </w:r>
      <w:proofErr w:type="gramStart"/>
      <w:r>
        <w:t>is</w:t>
      </w:r>
      <w:proofErr w:type="gramEnd"/>
      <w:r>
        <w:t xml:space="preserve"> steadily growing across the country with increasing technological development. The abnormal dips in the production of wheat and especially rice can be due to adverse weather conditions like draughts, floods etc.</w:t>
      </w:r>
    </w:p>
    <w:p w14:paraId="0E78C711" w14:textId="33F75970" w:rsidR="008A17F3" w:rsidRPr="00085A60" w:rsidRDefault="008A17F3" w:rsidP="001F5949">
      <w:r>
        <w:rPr>
          <w:noProof/>
        </w:rPr>
        <w:lastRenderedPageBreak/>
        <w:drawing>
          <wp:inline distT="0" distB="0" distL="0" distR="0" wp14:anchorId="332EE5FF" wp14:editId="1C9ED892">
            <wp:extent cx="5943600" cy="3342640"/>
            <wp:effectExtent l="0" t="0" r="0" b="10160"/>
            <wp:docPr id="6" name="Chart 6">
              <a:extLst xmlns:a="http://schemas.openxmlformats.org/drawingml/2006/main">
                <a:ext uri="{FF2B5EF4-FFF2-40B4-BE49-F238E27FC236}">
                  <a16:creationId xmlns:a16="http://schemas.microsoft.com/office/drawing/2014/main" id="{1E60D9AB-E32B-4253-8DB5-29C385769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8A17F3" w:rsidRPr="0008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2BFD"/>
    <w:multiLevelType w:val="hybridMultilevel"/>
    <w:tmpl w:val="6A8C1F2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0864041"/>
    <w:multiLevelType w:val="hybridMultilevel"/>
    <w:tmpl w:val="913296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2A6BAF"/>
    <w:multiLevelType w:val="hybridMultilevel"/>
    <w:tmpl w:val="EE6C58B0"/>
    <w:lvl w:ilvl="0" w:tplc="0E1C9ED0">
      <w:start w:val="1"/>
      <w:numFmt w:val="decimal"/>
      <w:lvlText w:val="%1."/>
      <w:lvlJc w:val="left"/>
      <w:pPr>
        <w:ind w:left="1080" w:hanging="360"/>
      </w:pPr>
      <w:rPr>
        <w:rFonts w:ascii="Cambria Math" w:hAnsi="Cambria Math" w:hint="default"/>
        <w:i/>
        <w:i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B0"/>
    <w:rsid w:val="00055E0A"/>
    <w:rsid w:val="00085A60"/>
    <w:rsid w:val="0013583E"/>
    <w:rsid w:val="001D03FB"/>
    <w:rsid w:val="001F5949"/>
    <w:rsid w:val="00452CB0"/>
    <w:rsid w:val="004B4959"/>
    <w:rsid w:val="00732B7F"/>
    <w:rsid w:val="008A17F3"/>
    <w:rsid w:val="009E16D2"/>
    <w:rsid w:val="00A77A77"/>
    <w:rsid w:val="00AB38D9"/>
    <w:rsid w:val="00BE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80F3"/>
  <w15:chartTrackingRefBased/>
  <w15:docId w15:val="{475336E8-EB96-4924-A90A-6621D99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cad\2-2\EGD\Project\Factors%20Data%20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cad\2-2\EGD\Project\Factors%20Data%20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cad\2-2\EGD\Project\Dat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cad\2-2\EGD\Projec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Fisheries Production (in '000 tonnes)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'Food availability or production'!$B$1</c:f>
              <c:strCache>
                <c:ptCount val="1"/>
                <c:pt idx="0">
                  <c:v>Marine</c:v>
                </c:pt>
              </c:strCache>
            </c:strRef>
          </c:tx>
          <c:spPr>
            <a:ln w="28575" cap="rnd">
              <a:solidFill>
                <a:schemeClr val="accent1"/>
              </a:solidFill>
              <a:round/>
            </a:ln>
            <a:effectLst/>
          </c:spPr>
          <c:marker>
            <c:symbol val="none"/>
          </c:marker>
          <c:cat>
            <c:strRef>
              <c:f>'Food availability or production'!$A$2:$A$12</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'Food availability or production'!$B$2:$B$12</c:f>
              <c:numCache>
                <c:formatCode>General</c:formatCode>
                <c:ptCount val="11"/>
                <c:pt idx="0">
                  <c:v>2300</c:v>
                </c:pt>
                <c:pt idx="1">
                  <c:v>2811</c:v>
                </c:pt>
                <c:pt idx="2">
                  <c:v>3104</c:v>
                </c:pt>
                <c:pt idx="3">
                  <c:v>3250</c:v>
                </c:pt>
                <c:pt idx="4">
                  <c:v>3372</c:v>
                </c:pt>
                <c:pt idx="5">
                  <c:v>3321</c:v>
                </c:pt>
                <c:pt idx="6">
                  <c:v>3443</c:v>
                </c:pt>
                <c:pt idx="7">
                  <c:v>3569</c:v>
                </c:pt>
                <c:pt idx="8">
                  <c:v>3600</c:v>
                </c:pt>
                <c:pt idx="9">
                  <c:v>3641</c:v>
                </c:pt>
                <c:pt idx="10">
                  <c:v>3688</c:v>
                </c:pt>
              </c:numCache>
            </c:numRef>
          </c:val>
          <c:smooth val="0"/>
          <c:extLst>
            <c:ext xmlns:c16="http://schemas.microsoft.com/office/drawing/2014/chart" uri="{C3380CC4-5D6E-409C-BE32-E72D297353CC}">
              <c16:uniqueId val="{00000000-43D9-4F1B-97EA-A17B7BFD8572}"/>
            </c:ext>
          </c:extLst>
        </c:ser>
        <c:ser>
          <c:idx val="1"/>
          <c:order val="1"/>
          <c:tx>
            <c:strRef>
              <c:f>'Food availability or production'!$C$1</c:f>
              <c:strCache>
                <c:ptCount val="1"/>
                <c:pt idx="0">
                  <c:v>Inland</c:v>
                </c:pt>
              </c:strCache>
            </c:strRef>
          </c:tx>
          <c:spPr>
            <a:ln w="28575" cap="rnd">
              <a:solidFill>
                <a:schemeClr val="accent2"/>
              </a:solidFill>
              <a:round/>
            </a:ln>
            <a:effectLst/>
          </c:spPr>
          <c:marker>
            <c:symbol val="none"/>
          </c:marker>
          <c:cat>
            <c:strRef>
              <c:f>'Food availability or production'!$A$2:$A$12</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'Food availability or production'!$C$2:$C$12</c:f>
              <c:numCache>
                <c:formatCode>General</c:formatCode>
                <c:ptCount val="11"/>
                <c:pt idx="0">
                  <c:v>1536</c:v>
                </c:pt>
                <c:pt idx="1">
                  <c:v>2845</c:v>
                </c:pt>
                <c:pt idx="2">
                  <c:v>4894</c:v>
                </c:pt>
                <c:pt idx="3">
                  <c:v>4981</c:v>
                </c:pt>
                <c:pt idx="4">
                  <c:v>5294</c:v>
                </c:pt>
                <c:pt idx="5">
                  <c:v>5719</c:v>
                </c:pt>
                <c:pt idx="6">
                  <c:v>6136</c:v>
                </c:pt>
                <c:pt idx="7">
                  <c:v>6691</c:v>
                </c:pt>
                <c:pt idx="8">
                  <c:v>7162</c:v>
                </c:pt>
                <c:pt idx="9">
                  <c:v>7781</c:v>
                </c:pt>
                <c:pt idx="10">
                  <c:v>8917</c:v>
                </c:pt>
              </c:numCache>
            </c:numRef>
          </c:val>
          <c:smooth val="0"/>
          <c:extLst>
            <c:ext xmlns:c16="http://schemas.microsoft.com/office/drawing/2014/chart" uri="{C3380CC4-5D6E-409C-BE32-E72D297353CC}">
              <c16:uniqueId val="{00000001-43D9-4F1B-97EA-A17B7BFD8572}"/>
            </c:ext>
          </c:extLst>
        </c:ser>
        <c:ser>
          <c:idx val="2"/>
          <c:order val="2"/>
          <c:tx>
            <c:strRef>
              <c:f>'Food availability or production'!$D$1</c:f>
              <c:strCache>
                <c:ptCount val="1"/>
                <c:pt idx="0">
                  <c:v>Total</c:v>
                </c:pt>
              </c:strCache>
            </c:strRef>
          </c:tx>
          <c:spPr>
            <a:ln w="28575" cap="rnd">
              <a:solidFill>
                <a:schemeClr val="accent3"/>
              </a:solidFill>
              <a:round/>
            </a:ln>
            <a:effectLst/>
          </c:spPr>
          <c:marker>
            <c:symbol val="none"/>
          </c:marker>
          <c:cat>
            <c:strRef>
              <c:f>'Food availability or production'!$A$2:$A$12</c:f>
              <c:strCache>
                <c:ptCount val="11"/>
                <c:pt idx="0">
                  <c:v>1990-91</c:v>
                </c:pt>
                <c:pt idx="1">
                  <c:v>2000-01</c:v>
                </c:pt>
                <c:pt idx="2">
                  <c:v>2009-10</c:v>
                </c:pt>
                <c:pt idx="3">
                  <c:v>2010-11</c:v>
                </c:pt>
                <c:pt idx="4">
                  <c:v>2011-12</c:v>
                </c:pt>
                <c:pt idx="5">
                  <c:v>2012-13</c:v>
                </c:pt>
                <c:pt idx="6">
                  <c:v>2013-14</c:v>
                </c:pt>
                <c:pt idx="7">
                  <c:v>2014-15</c:v>
                </c:pt>
                <c:pt idx="8">
                  <c:v>2015-16</c:v>
                </c:pt>
                <c:pt idx="9">
                  <c:v>2016-17</c:v>
                </c:pt>
                <c:pt idx="10">
                  <c:v>2017-18</c:v>
                </c:pt>
              </c:strCache>
            </c:strRef>
          </c:cat>
          <c:val>
            <c:numRef>
              <c:f>'Food availability or production'!$D$2:$D$12</c:f>
              <c:numCache>
                <c:formatCode>General</c:formatCode>
                <c:ptCount val="11"/>
                <c:pt idx="0">
                  <c:v>3836</c:v>
                </c:pt>
                <c:pt idx="1">
                  <c:v>5656</c:v>
                </c:pt>
                <c:pt idx="2">
                  <c:v>7998</c:v>
                </c:pt>
                <c:pt idx="3">
                  <c:v>8231</c:v>
                </c:pt>
                <c:pt idx="4">
                  <c:v>8666</c:v>
                </c:pt>
                <c:pt idx="5">
                  <c:v>9040</c:v>
                </c:pt>
                <c:pt idx="6">
                  <c:v>9579</c:v>
                </c:pt>
                <c:pt idx="7">
                  <c:v>10260</c:v>
                </c:pt>
                <c:pt idx="8">
                  <c:v>10762</c:v>
                </c:pt>
                <c:pt idx="9">
                  <c:v>11422</c:v>
                </c:pt>
                <c:pt idx="10">
                  <c:v>12606</c:v>
                </c:pt>
              </c:numCache>
            </c:numRef>
          </c:val>
          <c:smooth val="0"/>
          <c:extLst>
            <c:ext xmlns:c16="http://schemas.microsoft.com/office/drawing/2014/chart" uri="{C3380CC4-5D6E-409C-BE32-E72D297353CC}">
              <c16:uniqueId val="{00000002-43D9-4F1B-97EA-A17B7BFD8572}"/>
            </c:ext>
          </c:extLst>
        </c:ser>
        <c:dLbls>
          <c:showLegendKey val="0"/>
          <c:showVal val="0"/>
          <c:showCatName val="0"/>
          <c:showSerName val="0"/>
          <c:showPercent val="0"/>
          <c:showBubbleSize val="0"/>
        </c:dLbls>
        <c:smooth val="0"/>
        <c:axId val="799137976"/>
        <c:axId val="799136008"/>
      </c:lineChart>
      <c:catAx>
        <c:axId val="799137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36008"/>
        <c:crosses val="autoZero"/>
        <c:auto val="1"/>
        <c:lblAlgn val="ctr"/>
        <c:lblOffset val="100"/>
        <c:noMultiLvlLbl val="0"/>
      </c:catAx>
      <c:valAx>
        <c:axId val="799136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37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Per</a:t>
            </a:r>
            <a:r>
              <a:rPr lang="en-US" baseline="0"/>
              <a:t> capita per year Net availability (in kgms)</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'Food availability or production'!$F$21</c:f>
              <c:strCache>
                <c:ptCount val="1"/>
                <c:pt idx="0">
                  <c:v>Rice</c:v>
                </c:pt>
              </c:strCache>
            </c:strRef>
          </c:tx>
          <c:spPr>
            <a:ln w="38100" cap="rnd">
              <a:solidFill>
                <a:schemeClr val="accent1"/>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production'!$F$22:$F$30</c:f>
              <c:numCache>
                <c:formatCode>General</c:formatCode>
                <c:ptCount val="9"/>
                <c:pt idx="0">
                  <c:v>58</c:v>
                </c:pt>
                <c:pt idx="1">
                  <c:v>66.3</c:v>
                </c:pt>
                <c:pt idx="2">
                  <c:v>69.400000000000006</c:v>
                </c:pt>
                <c:pt idx="3">
                  <c:v>72.099999999999994</c:v>
                </c:pt>
                <c:pt idx="4">
                  <c:v>72.3</c:v>
                </c:pt>
                <c:pt idx="5">
                  <c:v>67.900000000000006</c:v>
                </c:pt>
                <c:pt idx="6">
                  <c:v>67.2</c:v>
                </c:pt>
                <c:pt idx="7">
                  <c:v>66.8</c:v>
                </c:pt>
                <c:pt idx="8">
                  <c:v>69</c:v>
                </c:pt>
              </c:numCache>
            </c:numRef>
          </c:val>
          <c:smooth val="0"/>
          <c:extLst>
            <c:ext xmlns:c16="http://schemas.microsoft.com/office/drawing/2014/chart" uri="{C3380CC4-5D6E-409C-BE32-E72D297353CC}">
              <c16:uniqueId val="{00000000-D3C7-454B-A83A-5DA6FC6BEC5F}"/>
            </c:ext>
          </c:extLst>
        </c:ser>
        <c:ser>
          <c:idx val="1"/>
          <c:order val="1"/>
          <c:tx>
            <c:strRef>
              <c:f>'Food availability or production'!$G$21</c:f>
              <c:strCache>
                <c:ptCount val="1"/>
                <c:pt idx="0">
                  <c:v>Wheat</c:v>
                </c:pt>
              </c:strCache>
            </c:strRef>
          </c:tx>
          <c:spPr>
            <a:ln w="38100" cap="rnd">
              <a:solidFill>
                <a:schemeClr val="accent2"/>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production'!$G$22:$G$30</c:f>
              <c:numCache>
                <c:formatCode>General</c:formatCode>
                <c:ptCount val="9"/>
                <c:pt idx="0">
                  <c:v>24</c:v>
                </c:pt>
                <c:pt idx="1">
                  <c:v>59.7</c:v>
                </c:pt>
                <c:pt idx="2">
                  <c:v>57.8</c:v>
                </c:pt>
                <c:pt idx="3">
                  <c:v>66.8</c:v>
                </c:pt>
                <c:pt idx="4">
                  <c:v>66.8</c:v>
                </c:pt>
                <c:pt idx="5">
                  <c:v>61.3</c:v>
                </c:pt>
                <c:pt idx="6">
                  <c:v>72.900000000000006</c:v>
                </c:pt>
                <c:pt idx="7">
                  <c:v>66.7</c:v>
                </c:pt>
                <c:pt idx="8">
                  <c:v>64.400000000000006</c:v>
                </c:pt>
              </c:numCache>
            </c:numRef>
          </c:val>
          <c:smooth val="0"/>
          <c:extLst>
            <c:ext xmlns:c16="http://schemas.microsoft.com/office/drawing/2014/chart" uri="{C3380CC4-5D6E-409C-BE32-E72D297353CC}">
              <c16:uniqueId val="{00000001-D3C7-454B-A83A-5DA6FC6BEC5F}"/>
            </c:ext>
          </c:extLst>
        </c:ser>
        <c:ser>
          <c:idx val="2"/>
          <c:order val="2"/>
          <c:tx>
            <c:strRef>
              <c:f>'Food availability or production'!$H$21</c:f>
              <c:strCache>
                <c:ptCount val="1"/>
                <c:pt idx="0">
                  <c:v>Other Cereals</c:v>
                </c:pt>
              </c:strCache>
            </c:strRef>
          </c:tx>
          <c:spPr>
            <a:ln w="38100" cap="rnd">
              <a:solidFill>
                <a:schemeClr val="accent3"/>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production'!$H$22:$H$30</c:f>
              <c:numCache>
                <c:formatCode>General</c:formatCode>
                <c:ptCount val="9"/>
                <c:pt idx="0">
                  <c:v>40</c:v>
                </c:pt>
                <c:pt idx="1">
                  <c:v>23.9</c:v>
                </c:pt>
                <c:pt idx="2">
                  <c:v>21.9</c:v>
                </c:pt>
                <c:pt idx="3">
                  <c:v>19.2</c:v>
                </c:pt>
                <c:pt idx="4">
                  <c:v>22.6</c:v>
                </c:pt>
                <c:pt idx="5">
                  <c:v>28.4</c:v>
                </c:pt>
                <c:pt idx="6">
                  <c:v>26.1</c:v>
                </c:pt>
                <c:pt idx="7">
                  <c:v>29.4</c:v>
                </c:pt>
                <c:pt idx="8">
                  <c:v>31.2</c:v>
                </c:pt>
              </c:numCache>
            </c:numRef>
          </c:val>
          <c:smooth val="0"/>
          <c:extLst>
            <c:ext xmlns:c16="http://schemas.microsoft.com/office/drawing/2014/chart" uri="{C3380CC4-5D6E-409C-BE32-E72D297353CC}">
              <c16:uniqueId val="{00000002-D3C7-454B-A83A-5DA6FC6BEC5F}"/>
            </c:ext>
          </c:extLst>
        </c:ser>
        <c:ser>
          <c:idx val="3"/>
          <c:order val="3"/>
          <c:tx>
            <c:strRef>
              <c:f>'Food availability or production'!$I$21</c:f>
              <c:strCache>
                <c:ptCount val="1"/>
                <c:pt idx="0">
                  <c:v>Cereals (total)</c:v>
                </c:pt>
              </c:strCache>
            </c:strRef>
          </c:tx>
          <c:spPr>
            <a:ln w="38100" cap="rnd">
              <a:solidFill>
                <a:schemeClr val="accent4"/>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production'!$I$22:$I$30</c:f>
              <c:numCache>
                <c:formatCode>General</c:formatCode>
                <c:ptCount val="9"/>
                <c:pt idx="0">
                  <c:v>122</c:v>
                </c:pt>
                <c:pt idx="1">
                  <c:v>149.9</c:v>
                </c:pt>
                <c:pt idx="2">
                  <c:v>149.1</c:v>
                </c:pt>
                <c:pt idx="3">
                  <c:v>158.1</c:v>
                </c:pt>
                <c:pt idx="4">
                  <c:v>161.6</c:v>
                </c:pt>
                <c:pt idx="5">
                  <c:v>153.80000000000001</c:v>
                </c:pt>
                <c:pt idx="6">
                  <c:v>162</c:v>
                </c:pt>
                <c:pt idx="7">
                  <c:v>158.4</c:v>
                </c:pt>
                <c:pt idx="8">
                  <c:v>160</c:v>
                </c:pt>
              </c:numCache>
            </c:numRef>
          </c:val>
          <c:smooth val="0"/>
          <c:extLst>
            <c:ext xmlns:c16="http://schemas.microsoft.com/office/drawing/2014/chart" uri="{C3380CC4-5D6E-409C-BE32-E72D297353CC}">
              <c16:uniqueId val="{00000003-D3C7-454B-A83A-5DA6FC6BEC5F}"/>
            </c:ext>
          </c:extLst>
        </c:ser>
        <c:ser>
          <c:idx val="4"/>
          <c:order val="4"/>
          <c:tx>
            <c:strRef>
              <c:f>'Food availability or production'!$J$21</c:f>
              <c:strCache>
                <c:ptCount val="1"/>
                <c:pt idx="0">
                  <c:v>Pulses</c:v>
                </c:pt>
              </c:strCache>
            </c:strRef>
          </c:tx>
          <c:spPr>
            <a:ln w="38100" cap="rnd">
              <a:solidFill>
                <a:schemeClr val="accent5"/>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production'!$J$22:$J$30</c:f>
              <c:numCache>
                <c:formatCode>General</c:formatCode>
                <c:ptCount val="9"/>
                <c:pt idx="0">
                  <c:v>22.1</c:v>
                </c:pt>
                <c:pt idx="1">
                  <c:v>15.7</c:v>
                </c:pt>
                <c:pt idx="2">
                  <c:v>15.2</c:v>
                </c:pt>
                <c:pt idx="3">
                  <c:v>15.8</c:v>
                </c:pt>
                <c:pt idx="4">
                  <c:v>16.899999999999999</c:v>
                </c:pt>
                <c:pt idx="5">
                  <c:v>16</c:v>
                </c:pt>
                <c:pt idx="6">
                  <c:v>15.7</c:v>
                </c:pt>
                <c:pt idx="7">
                  <c:v>20</c:v>
                </c:pt>
                <c:pt idx="8">
                  <c:v>20.399999999999999</c:v>
                </c:pt>
              </c:numCache>
            </c:numRef>
          </c:val>
          <c:smooth val="0"/>
          <c:extLst>
            <c:ext xmlns:c16="http://schemas.microsoft.com/office/drawing/2014/chart" uri="{C3380CC4-5D6E-409C-BE32-E72D297353CC}">
              <c16:uniqueId val="{00000004-D3C7-454B-A83A-5DA6FC6BEC5F}"/>
            </c:ext>
          </c:extLst>
        </c:ser>
        <c:ser>
          <c:idx val="5"/>
          <c:order val="5"/>
          <c:tx>
            <c:strRef>
              <c:f>'Food availability or production'!$K$21</c:f>
              <c:strCache>
                <c:ptCount val="1"/>
                <c:pt idx="0">
                  <c:v>Food grains (total)</c:v>
                </c:pt>
              </c:strCache>
            </c:strRef>
          </c:tx>
          <c:spPr>
            <a:ln w="38100" cap="rnd">
              <a:solidFill>
                <a:schemeClr val="accent6"/>
              </a:solidFill>
              <a:round/>
            </a:ln>
            <a:effectLst/>
          </c:spPr>
          <c:marker>
            <c:symbol val="none"/>
          </c:marker>
          <c:cat>
            <c:strRef>
              <c:f>'Food availability or production'!$E$22:$E$30</c:f>
              <c:strCache>
                <c:ptCount val="9"/>
                <c:pt idx="0">
                  <c:v>1951</c:v>
                </c:pt>
                <c:pt idx="1">
                  <c:v>2011</c:v>
                </c:pt>
                <c:pt idx="2">
                  <c:v>2012</c:v>
                </c:pt>
                <c:pt idx="3">
                  <c:v>2013</c:v>
                </c:pt>
                <c:pt idx="4">
                  <c:v>2014</c:v>
                </c:pt>
                <c:pt idx="5">
                  <c:v>2015</c:v>
                </c:pt>
                <c:pt idx="6">
                  <c:v>2016</c:v>
                </c:pt>
                <c:pt idx="7">
                  <c:v>2017</c:v>
                </c:pt>
                <c:pt idx="8">
                  <c:v>2018(P)</c:v>
                </c:pt>
              </c:strCache>
            </c:strRef>
          </c:cat>
          <c:val>
            <c:numRef>
              <c:f>'Food availability or production'!$K$22:$K$30</c:f>
              <c:numCache>
                <c:formatCode>General</c:formatCode>
                <c:ptCount val="9"/>
                <c:pt idx="0">
                  <c:v>144.1</c:v>
                </c:pt>
                <c:pt idx="1">
                  <c:v>170.9</c:v>
                </c:pt>
                <c:pt idx="2">
                  <c:v>169.3</c:v>
                </c:pt>
                <c:pt idx="3">
                  <c:v>179.5</c:v>
                </c:pt>
                <c:pt idx="4">
                  <c:v>178.6</c:v>
                </c:pt>
                <c:pt idx="5">
                  <c:v>169.8</c:v>
                </c:pt>
                <c:pt idx="6">
                  <c:v>177.7</c:v>
                </c:pt>
                <c:pt idx="7">
                  <c:v>178.4</c:v>
                </c:pt>
                <c:pt idx="8">
                  <c:v>180.3</c:v>
                </c:pt>
              </c:numCache>
            </c:numRef>
          </c:val>
          <c:smooth val="0"/>
          <c:extLst>
            <c:ext xmlns:c16="http://schemas.microsoft.com/office/drawing/2014/chart" uri="{C3380CC4-5D6E-409C-BE32-E72D297353CC}">
              <c16:uniqueId val="{00000005-D3C7-454B-A83A-5DA6FC6BEC5F}"/>
            </c:ext>
          </c:extLst>
        </c:ser>
        <c:dLbls>
          <c:showLegendKey val="0"/>
          <c:showVal val="0"/>
          <c:showCatName val="0"/>
          <c:showSerName val="0"/>
          <c:showPercent val="0"/>
          <c:showBubbleSize val="0"/>
        </c:dLbls>
        <c:smooth val="0"/>
        <c:axId val="601025552"/>
        <c:axId val="601025224"/>
      </c:lineChart>
      <c:catAx>
        <c:axId val="6010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1025224"/>
        <c:crosses val="autoZero"/>
        <c:auto val="1"/>
        <c:lblAlgn val="ctr"/>
        <c:lblOffset val="100"/>
        <c:noMultiLvlLbl val="0"/>
      </c:catAx>
      <c:valAx>
        <c:axId val="601025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25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'livestock products statewise'!$D$4:$D$5</c:f>
              <c:strCache>
                <c:ptCount val="2"/>
                <c:pt idx="0">
                  <c:v>Milk</c:v>
                </c:pt>
                <c:pt idx="1">
                  <c:v>(In 000'Tonne)</c:v>
                </c:pt>
              </c:strCache>
            </c:strRef>
          </c:tx>
          <c:spPr>
            <a:solidFill>
              <a:schemeClr val="accent1"/>
            </a:solidFill>
            <a:ln>
              <a:noFill/>
            </a:ln>
            <a:effectLst/>
          </c:spPr>
          <c:invertIfNegative val="0"/>
          <c:cat>
            <c:strRef>
              <c:f>'livestock products statewise'!$C$6:$C$41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'livestock products statewise'!$D$6:$D$41</c:f>
              <c:numCache>
                <c:formatCode>General</c:formatCode>
                <c:ptCount val="36"/>
                <c:pt idx="0">
                  <c:v>16</c:v>
                </c:pt>
                <c:pt idx="1">
                  <c:v>12178</c:v>
                </c:pt>
                <c:pt idx="2">
                  <c:v>53</c:v>
                </c:pt>
                <c:pt idx="3">
                  <c:v>861</c:v>
                </c:pt>
                <c:pt idx="4">
                  <c:v>8711</c:v>
                </c:pt>
                <c:pt idx="5">
                  <c:v>36</c:v>
                </c:pt>
                <c:pt idx="6">
                  <c:v>1374</c:v>
                </c:pt>
                <c:pt idx="7">
                  <c:v>8</c:v>
                </c:pt>
                <c:pt idx="8">
                  <c:v>1</c:v>
                </c:pt>
                <c:pt idx="9">
                  <c:v>279</c:v>
                </c:pt>
                <c:pt idx="10">
                  <c:v>51</c:v>
                </c:pt>
                <c:pt idx="11">
                  <c:v>12784</c:v>
                </c:pt>
                <c:pt idx="12">
                  <c:v>8975</c:v>
                </c:pt>
                <c:pt idx="13">
                  <c:v>1329</c:v>
                </c:pt>
                <c:pt idx="14">
                  <c:v>2376</c:v>
                </c:pt>
                <c:pt idx="15">
                  <c:v>1894</c:v>
                </c:pt>
                <c:pt idx="16">
                  <c:v>6562</c:v>
                </c:pt>
                <c:pt idx="17">
                  <c:v>2520</c:v>
                </c:pt>
                <c:pt idx="18">
                  <c:v>3</c:v>
                </c:pt>
                <c:pt idx="19">
                  <c:v>13445</c:v>
                </c:pt>
                <c:pt idx="20">
                  <c:v>10402</c:v>
                </c:pt>
                <c:pt idx="21">
                  <c:v>79</c:v>
                </c:pt>
                <c:pt idx="22">
                  <c:v>84</c:v>
                </c:pt>
                <c:pt idx="23">
                  <c:v>24</c:v>
                </c:pt>
                <c:pt idx="24">
                  <c:v>79</c:v>
                </c:pt>
                <c:pt idx="25">
                  <c:v>2003</c:v>
                </c:pt>
                <c:pt idx="26">
                  <c:v>48</c:v>
                </c:pt>
                <c:pt idx="27">
                  <c:v>11282</c:v>
                </c:pt>
                <c:pt idx="28">
                  <c:v>18500</c:v>
                </c:pt>
                <c:pt idx="29">
                  <c:v>54</c:v>
                </c:pt>
                <c:pt idx="30">
                  <c:v>7556</c:v>
                </c:pt>
                <c:pt idx="31">
                  <c:v>4681</c:v>
                </c:pt>
                <c:pt idx="32">
                  <c:v>160</c:v>
                </c:pt>
                <c:pt idx="33">
                  <c:v>27770</c:v>
                </c:pt>
                <c:pt idx="34">
                  <c:v>1692</c:v>
                </c:pt>
                <c:pt idx="35">
                  <c:v>5183</c:v>
                </c:pt>
              </c:numCache>
            </c:numRef>
          </c:val>
          <c:extLst>
            <c:ext xmlns:c16="http://schemas.microsoft.com/office/drawing/2014/chart" uri="{C3380CC4-5D6E-409C-BE32-E72D297353CC}">
              <c16:uniqueId val="{00000000-AD0E-4CE0-ACAF-55B3F151580B}"/>
            </c:ext>
          </c:extLst>
        </c:ser>
        <c:ser>
          <c:idx val="1"/>
          <c:order val="1"/>
          <c:tx>
            <c:strRef>
              <c:f>'livestock products statewise'!$E$4:$E$5</c:f>
              <c:strCache>
                <c:ptCount val="2"/>
                <c:pt idx="0">
                  <c:v>Egg</c:v>
                </c:pt>
                <c:pt idx="1">
                  <c:v>(In Lakhs Nos)</c:v>
                </c:pt>
              </c:strCache>
            </c:strRef>
          </c:tx>
          <c:spPr>
            <a:solidFill>
              <a:schemeClr val="accent2"/>
            </a:solidFill>
            <a:ln>
              <a:noFill/>
            </a:ln>
            <a:effectLst/>
          </c:spPr>
          <c:invertIfNegative val="0"/>
          <c:cat>
            <c:strRef>
              <c:f>'livestock products statewise'!$C$6:$C$41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'livestock products statewise'!$E$6:$E$41</c:f>
              <c:numCache>
                <c:formatCode>General</c:formatCode>
                <c:ptCount val="36"/>
                <c:pt idx="0">
                  <c:v>1032</c:v>
                </c:pt>
                <c:pt idx="1">
                  <c:v>158274</c:v>
                </c:pt>
                <c:pt idx="2">
                  <c:v>495</c:v>
                </c:pt>
                <c:pt idx="3">
                  <c:v>4771</c:v>
                </c:pt>
                <c:pt idx="4">
                  <c:v>11117</c:v>
                </c:pt>
                <c:pt idx="5">
                  <c:v>154</c:v>
                </c:pt>
                <c:pt idx="6">
                  <c:v>16638</c:v>
                </c:pt>
                <c:pt idx="7">
                  <c:v>73</c:v>
                </c:pt>
                <c:pt idx="8">
                  <c:v>18</c:v>
                </c:pt>
                <c:pt idx="9">
                  <c:v>0</c:v>
                </c:pt>
                <c:pt idx="10">
                  <c:v>292</c:v>
                </c:pt>
                <c:pt idx="11">
                  <c:v>17940</c:v>
                </c:pt>
                <c:pt idx="12">
                  <c:v>52139</c:v>
                </c:pt>
                <c:pt idx="13">
                  <c:v>959</c:v>
                </c:pt>
                <c:pt idx="14">
                  <c:v>2305</c:v>
                </c:pt>
                <c:pt idx="15">
                  <c:v>5103</c:v>
                </c:pt>
                <c:pt idx="16">
                  <c:v>50671</c:v>
                </c:pt>
                <c:pt idx="17">
                  <c:v>23444</c:v>
                </c:pt>
                <c:pt idx="18">
                  <c:v>147</c:v>
                </c:pt>
                <c:pt idx="19">
                  <c:v>16940</c:v>
                </c:pt>
                <c:pt idx="20">
                  <c:v>54774</c:v>
                </c:pt>
                <c:pt idx="21">
                  <c:v>992</c:v>
                </c:pt>
                <c:pt idx="22">
                  <c:v>1064</c:v>
                </c:pt>
                <c:pt idx="23">
                  <c:v>408</c:v>
                </c:pt>
                <c:pt idx="24">
                  <c:v>397</c:v>
                </c:pt>
                <c:pt idx="25">
                  <c:v>19745</c:v>
                </c:pt>
                <c:pt idx="26">
                  <c:v>116</c:v>
                </c:pt>
                <c:pt idx="27">
                  <c:v>47826</c:v>
                </c:pt>
                <c:pt idx="28">
                  <c:v>13633</c:v>
                </c:pt>
                <c:pt idx="29">
                  <c:v>68</c:v>
                </c:pt>
                <c:pt idx="30">
                  <c:v>166824</c:v>
                </c:pt>
                <c:pt idx="31">
                  <c:v>118186</c:v>
                </c:pt>
                <c:pt idx="32">
                  <c:v>2294</c:v>
                </c:pt>
                <c:pt idx="33">
                  <c:v>22889</c:v>
                </c:pt>
                <c:pt idx="34">
                  <c:v>4119</c:v>
                </c:pt>
                <c:pt idx="35">
                  <c:v>65536</c:v>
                </c:pt>
              </c:numCache>
            </c:numRef>
          </c:val>
          <c:extLst>
            <c:ext xmlns:c16="http://schemas.microsoft.com/office/drawing/2014/chart" uri="{C3380CC4-5D6E-409C-BE32-E72D297353CC}">
              <c16:uniqueId val="{00000001-AD0E-4CE0-ACAF-55B3F151580B}"/>
            </c:ext>
          </c:extLst>
        </c:ser>
        <c:ser>
          <c:idx val="2"/>
          <c:order val="2"/>
          <c:tx>
            <c:strRef>
              <c:f>'livestock products statewise'!$F$4:$F$5</c:f>
              <c:strCache>
                <c:ptCount val="2"/>
                <c:pt idx="0">
                  <c:v>Meat</c:v>
                </c:pt>
                <c:pt idx="1">
                  <c:v>(In 000'Tonne)</c:v>
                </c:pt>
              </c:strCache>
            </c:strRef>
          </c:tx>
          <c:spPr>
            <a:solidFill>
              <a:schemeClr val="accent3"/>
            </a:solidFill>
            <a:ln>
              <a:noFill/>
            </a:ln>
            <a:effectLst/>
          </c:spPr>
          <c:invertIfNegative val="0"/>
          <c:cat>
            <c:strRef>
              <c:f>'livestock products statewise'!$C$6:$C$41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'livestock products statewise'!$F$6:$F$41</c:f>
              <c:numCache>
                <c:formatCode>General</c:formatCode>
                <c:ptCount val="36"/>
                <c:pt idx="0">
                  <c:v>5</c:v>
                </c:pt>
                <c:pt idx="1">
                  <c:v>633</c:v>
                </c:pt>
                <c:pt idx="2">
                  <c:v>20</c:v>
                </c:pt>
                <c:pt idx="3">
                  <c:v>47</c:v>
                </c:pt>
                <c:pt idx="4">
                  <c:v>326</c:v>
                </c:pt>
                <c:pt idx="5">
                  <c:v>1</c:v>
                </c:pt>
                <c:pt idx="6">
                  <c:v>49</c:v>
                </c:pt>
                <c:pt idx="7">
                  <c:v>0</c:v>
                </c:pt>
                <c:pt idx="8">
                  <c:v>1</c:v>
                </c:pt>
                <c:pt idx="9">
                  <c:v>66</c:v>
                </c:pt>
                <c:pt idx="10">
                  <c:v>7</c:v>
                </c:pt>
                <c:pt idx="11">
                  <c:v>33</c:v>
                </c:pt>
                <c:pt idx="12">
                  <c:v>427</c:v>
                </c:pt>
                <c:pt idx="13">
                  <c:v>4</c:v>
                </c:pt>
                <c:pt idx="14">
                  <c:v>85</c:v>
                </c:pt>
                <c:pt idx="15">
                  <c:v>55</c:v>
                </c:pt>
                <c:pt idx="16">
                  <c:v>209</c:v>
                </c:pt>
                <c:pt idx="17">
                  <c:v>469</c:v>
                </c:pt>
                <c:pt idx="18">
                  <c:v>0</c:v>
                </c:pt>
                <c:pt idx="19">
                  <c:v>79</c:v>
                </c:pt>
                <c:pt idx="20">
                  <c:v>845</c:v>
                </c:pt>
                <c:pt idx="21">
                  <c:v>27</c:v>
                </c:pt>
                <c:pt idx="22">
                  <c:v>41</c:v>
                </c:pt>
                <c:pt idx="23">
                  <c:v>15</c:v>
                </c:pt>
                <c:pt idx="24">
                  <c:v>31</c:v>
                </c:pt>
                <c:pt idx="25">
                  <c:v>177</c:v>
                </c:pt>
                <c:pt idx="26">
                  <c:v>15</c:v>
                </c:pt>
                <c:pt idx="27">
                  <c:v>249</c:v>
                </c:pt>
                <c:pt idx="28">
                  <c:v>180</c:v>
                </c:pt>
                <c:pt idx="29">
                  <c:v>4</c:v>
                </c:pt>
                <c:pt idx="30">
                  <c:v>573</c:v>
                </c:pt>
                <c:pt idx="31">
                  <c:v>591</c:v>
                </c:pt>
                <c:pt idx="32">
                  <c:v>40</c:v>
                </c:pt>
                <c:pt idx="33">
                  <c:v>1346</c:v>
                </c:pt>
                <c:pt idx="34">
                  <c:v>28</c:v>
                </c:pt>
                <c:pt idx="35">
                  <c:v>706</c:v>
                </c:pt>
              </c:numCache>
            </c:numRef>
          </c:val>
          <c:extLst>
            <c:ext xmlns:c16="http://schemas.microsoft.com/office/drawing/2014/chart" uri="{C3380CC4-5D6E-409C-BE32-E72D297353CC}">
              <c16:uniqueId val="{00000002-AD0E-4CE0-ACAF-55B3F151580B}"/>
            </c:ext>
          </c:extLst>
        </c:ser>
        <c:ser>
          <c:idx val="3"/>
          <c:order val="3"/>
          <c:tx>
            <c:strRef>
              <c:f>'livestock products statewise'!$G$4:$G$5</c:f>
              <c:strCache>
                <c:ptCount val="2"/>
                <c:pt idx="0">
                  <c:v>Fish</c:v>
                </c:pt>
                <c:pt idx="1">
                  <c:v>(in 000' Tonnes)</c:v>
                </c:pt>
              </c:strCache>
            </c:strRef>
          </c:tx>
          <c:spPr>
            <a:solidFill>
              <a:schemeClr val="accent4"/>
            </a:solidFill>
            <a:ln>
              <a:noFill/>
            </a:ln>
            <a:effectLst/>
          </c:spPr>
          <c:invertIfNegative val="0"/>
          <c:cat>
            <c:strRef>
              <c:f>'livestock products statewise'!$C$6:$C$41</c:f>
              <c:strCache>
                <c:ptCount val="36"/>
                <c:pt idx="0">
                  <c:v>Andaman and Nicobar Islands</c:v>
                </c:pt>
                <c:pt idx="1">
                  <c:v>Andhra Pradesh</c:v>
                </c:pt>
                <c:pt idx="2">
                  <c:v>Arunachal Pradesh</c:v>
                </c:pt>
                <c:pt idx="3">
                  <c:v>Assam</c:v>
                </c:pt>
                <c:pt idx="4">
                  <c:v>Bihar</c:v>
                </c:pt>
                <c:pt idx="5">
                  <c:v>Chandigarh</c:v>
                </c:pt>
                <c:pt idx="6">
                  <c:v>Chhattisgarh</c:v>
                </c:pt>
                <c:pt idx="7">
                  <c:v>Dadra and Nagar Haveli*</c:v>
                </c:pt>
                <c:pt idx="8">
                  <c:v>Daman and Diu</c:v>
                </c:pt>
                <c:pt idx="9">
                  <c:v>Delhi*</c:v>
                </c:pt>
                <c:pt idx="10">
                  <c:v>Goa</c:v>
                </c:pt>
                <c:pt idx="11">
                  <c:v>Gujarat</c:v>
                </c:pt>
                <c:pt idx="12">
                  <c:v>Haryana</c:v>
                </c:pt>
                <c:pt idx="13">
                  <c:v>Himachal Pradesh</c:v>
                </c:pt>
                <c:pt idx="14">
                  <c:v>Jammu and Kashmir</c:v>
                </c:pt>
                <c:pt idx="15">
                  <c:v>Jharkhand</c:v>
                </c:pt>
                <c:pt idx="16">
                  <c:v>Karnataka</c:v>
                </c:pt>
                <c:pt idx="17">
                  <c:v>Kerala</c:v>
                </c:pt>
                <c:pt idx="18">
                  <c:v>Lakshadweep</c:v>
                </c:pt>
                <c:pt idx="19">
                  <c:v>Madhya Pradesh</c:v>
                </c:pt>
                <c:pt idx="20">
                  <c:v>Maharashtra</c:v>
                </c:pt>
                <c:pt idx="21">
                  <c:v>Manipur</c:v>
                </c:pt>
                <c:pt idx="22">
                  <c:v>Meghalaya</c:v>
                </c:pt>
                <c:pt idx="23">
                  <c:v>Mizoram</c:v>
                </c:pt>
                <c:pt idx="24">
                  <c:v>Nagaland</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'livestock products statewise'!$G$6:$G$41</c:f>
              <c:numCache>
                <c:formatCode>General</c:formatCode>
                <c:ptCount val="36"/>
                <c:pt idx="0">
                  <c:v>38</c:v>
                </c:pt>
                <c:pt idx="1">
                  <c:v>2333</c:v>
                </c:pt>
                <c:pt idx="2">
                  <c:v>4</c:v>
                </c:pt>
                <c:pt idx="3">
                  <c:v>292</c:v>
                </c:pt>
                <c:pt idx="4">
                  <c:v>495</c:v>
                </c:pt>
                <c:pt idx="5">
                  <c:v>0</c:v>
                </c:pt>
                <c:pt idx="6">
                  <c:v>317</c:v>
                </c:pt>
                <c:pt idx="7">
                  <c:v>0</c:v>
                </c:pt>
                <c:pt idx="8">
                  <c:v>28</c:v>
                </c:pt>
                <c:pt idx="9">
                  <c:v>1</c:v>
                </c:pt>
                <c:pt idx="10">
                  <c:v>115</c:v>
                </c:pt>
                <c:pt idx="11">
                  <c:v>826</c:v>
                </c:pt>
                <c:pt idx="12">
                  <c:v>111</c:v>
                </c:pt>
                <c:pt idx="13">
                  <c:v>11</c:v>
                </c:pt>
                <c:pt idx="14">
                  <c:v>20</c:v>
                </c:pt>
                <c:pt idx="15">
                  <c:v>118</c:v>
                </c:pt>
                <c:pt idx="16">
                  <c:v>696</c:v>
                </c:pt>
                <c:pt idx="17">
                  <c:v>681</c:v>
                </c:pt>
                <c:pt idx="18">
                  <c:v>12</c:v>
                </c:pt>
                <c:pt idx="19">
                  <c:v>115</c:v>
                </c:pt>
                <c:pt idx="20">
                  <c:v>621</c:v>
                </c:pt>
                <c:pt idx="21">
                  <c:v>31</c:v>
                </c:pt>
                <c:pt idx="22">
                  <c:v>6</c:v>
                </c:pt>
                <c:pt idx="23">
                  <c:v>7</c:v>
                </c:pt>
                <c:pt idx="24">
                  <c:v>8</c:v>
                </c:pt>
                <c:pt idx="25">
                  <c:v>470</c:v>
                </c:pt>
                <c:pt idx="26">
                  <c:v>70</c:v>
                </c:pt>
                <c:pt idx="27">
                  <c:v>125</c:v>
                </c:pt>
                <c:pt idx="28">
                  <c:v>44</c:v>
                </c:pt>
                <c:pt idx="29">
                  <c:v>0</c:v>
                </c:pt>
                <c:pt idx="30">
                  <c:v>698</c:v>
                </c:pt>
                <c:pt idx="31">
                  <c:v>264</c:v>
                </c:pt>
                <c:pt idx="32">
                  <c:v>64</c:v>
                </c:pt>
                <c:pt idx="33">
                  <c:v>538</c:v>
                </c:pt>
                <c:pt idx="34">
                  <c:v>4</c:v>
                </c:pt>
                <c:pt idx="35">
                  <c:v>1632</c:v>
                </c:pt>
              </c:numCache>
            </c:numRef>
          </c:val>
          <c:extLst>
            <c:ext xmlns:c16="http://schemas.microsoft.com/office/drawing/2014/chart" uri="{C3380CC4-5D6E-409C-BE32-E72D297353CC}">
              <c16:uniqueId val="{00000003-AD0E-4CE0-ACAF-55B3F151580B}"/>
            </c:ext>
          </c:extLst>
        </c:ser>
        <c:dLbls>
          <c:showLegendKey val="0"/>
          <c:showVal val="0"/>
          <c:showCatName val="0"/>
          <c:showSerName val="0"/>
          <c:showPercent val="0"/>
          <c:showBubbleSize val="0"/>
        </c:dLbls>
        <c:gapWidth val="150"/>
        <c:overlap val="100"/>
        <c:axId val="740842968"/>
        <c:axId val="740840672"/>
      </c:barChart>
      <c:catAx>
        <c:axId val="740842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840672"/>
        <c:crosses val="autoZero"/>
        <c:auto val="1"/>
        <c:lblAlgn val="ctr"/>
        <c:lblOffset val="100"/>
        <c:noMultiLvlLbl val="0"/>
      </c:catAx>
      <c:valAx>
        <c:axId val="74084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842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Wheat</a:t>
            </a:r>
            <a:r>
              <a:rPr lang="en-US" baseline="0"/>
              <a:t> and Rice Production (in 1000 M tonnes)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Sheet1!$J$11</c:f>
              <c:strCache>
                <c:ptCount val="1"/>
                <c:pt idx="0">
                  <c:v>Wheat Production(1000 MT)</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Sheet1!$I$11:$I$71</c15:sqref>
                  </c15:fullRef>
                </c:ext>
              </c:extLst>
              <c:f>(Sheet1!$I$11,Sheet1!$I$16,Sheet1!$I$18:$I$71)</c:f>
              <c:strCache>
                <c:ptCount val="56"/>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pt idx="55">
                  <c:v>2019</c:v>
                </c:pt>
              </c:strCache>
            </c:strRef>
          </c:cat>
          <c:val>
            <c:numRef>
              <c:extLst>
                <c:ext xmlns:c15="http://schemas.microsoft.com/office/drawing/2012/chart" uri="{02D57815-91ED-43cb-92C2-25804820EDAC}">
                  <c15:fullRef>
                    <c15:sqref>Sheet1!$J$12:$J$71</c15:sqref>
                  </c15:fullRef>
                </c:ext>
              </c:extLst>
              <c:f>(Sheet1!$J$12,Sheet1!$J$17,Sheet1!$J$19:$J$71)</c:f>
              <c:numCache>
                <c:formatCode>General</c:formatCode>
                <c:ptCount val="55"/>
                <c:pt idx="0">
                  <c:v>10320</c:v>
                </c:pt>
                <c:pt idx="1">
                  <c:v>12258</c:v>
                </c:pt>
                <c:pt idx="2">
                  <c:v>11393</c:v>
                </c:pt>
                <c:pt idx="3">
                  <c:v>16540</c:v>
                </c:pt>
                <c:pt idx="4">
                  <c:v>18651</c:v>
                </c:pt>
                <c:pt idx="5">
                  <c:v>20093</c:v>
                </c:pt>
                <c:pt idx="6">
                  <c:v>23832</c:v>
                </c:pt>
                <c:pt idx="7">
                  <c:v>26410</c:v>
                </c:pt>
                <c:pt idx="8">
                  <c:v>24735</c:v>
                </c:pt>
                <c:pt idx="9">
                  <c:v>21778</c:v>
                </c:pt>
                <c:pt idx="10">
                  <c:v>24104</c:v>
                </c:pt>
                <c:pt idx="11">
                  <c:v>28846</c:v>
                </c:pt>
                <c:pt idx="12">
                  <c:v>29010</c:v>
                </c:pt>
                <c:pt idx="13">
                  <c:v>31749</c:v>
                </c:pt>
                <c:pt idx="14">
                  <c:v>35508</c:v>
                </c:pt>
                <c:pt idx="15">
                  <c:v>31830</c:v>
                </c:pt>
                <c:pt idx="16">
                  <c:v>36313</c:v>
                </c:pt>
                <c:pt idx="17">
                  <c:v>37452</c:v>
                </c:pt>
                <c:pt idx="18">
                  <c:v>42794</c:v>
                </c:pt>
                <c:pt idx="19">
                  <c:v>45476</c:v>
                </c:pt>
                <c:pt idx="20">
                  <c:v>44069</c:v>
                </c:pt>
                <c:pt idx="21">
                  <c:v>47052</c:v>
                </c:pt>
                <c:pt idx="22">
                  <c:v>44323</c:v>
                </c:pt>
                <c:pt idx="23">
                  <c:v>46169</c:v>
                </c:pt>
                <c:pt idx="24">
                  <c:v>54110</c:v>
                </c:pt>
                <c:pt idx="25">
                  <c:v>49850</c:v>
                </c:pt>
                <c:pt idx="26">
                  <c:v>55134</c:v>
                </c:pt>
                <c:pt idx="27">
                  <c:v>55690</c:v>
                </c:pt>
                <c:pt idx="28">
                  <c:v>57210</c:v>
                </c:pt>
                <c:pt idx="29">
                  <c:v>59840</c:v>
                </c:pt>
                <c:pt idx="30">
                  <c:v>65470</c:v>
                </c:pt>
                <c:pt idx="31">
                  <c:v>62097</c:v>
                </c:pt>
                <c:pt idx="32">
                  <c:v>69350</c:v>
                </c:pt>
                <c:pt idx="33">
                  <c:v>66350</c:v>
                </c:pt>
                <c:pt idx="34">
                  <c:v>71288</c:v>
                </c:pt>
                <c:pt idx="35">
                  <c:v>76369</c:v>
                </c:pt>
                <c:pt idx="36">
                  <c:v>69681</c:v>
                </c:pt>
                <c:pt idx="37">
                  <c:v>72766</c:v>
                </c:pt>
                <c:pt idx="38">
                  <c:v>65761</c:v>
                </c:pt>
                <c:pt idx="39">
                  <c:v>72156</c:v>
                </c:pt>
                <c:pt idx="40">
                  <c:v>68637</c:v>
                </c:pt>
                <c:pt idx="41">
                  <c:v>69355</c:v>
                </c:pt>
                <c:pt idx="42">
                  <c:v>75807</c:v>
                </c:pt>
                <c:pt idx="43">
                  <c:v>78570</c:v>
                </c:pt>
                <c:pt idx="44">
                  <c:v>80679</c:v>
                </c:pt>
                <c:pt idx="45">
                  <c:v>80804</c:v>
                </c:pt>
                <c:pt idx="46">
                  <c:v>86874</c:v>
                </c:pt>
                <c:pt idx="47">
                  <c:v>94882</c:v>
                </c:pt>
                <c:pt idx="48">
                  <c:v>93506</c:v>
                </c:pt>
                <c:pt idx="49">
                  <c:v>95850</c:v>
                </c:pt>
                <c:pt idx="50">
                  <c:v>86527</c:v>
                </c:pt>
                <c:pt idx="51">
                  <c:v>87000</c:v>
                </c:pt>
                <c:pt idx="52">
                  <c:v>98510</c:v>
                </c:pt>
                <c:pt idx="53">
                  <c:v>99870</c:v>
                </c:pt>
                <c:pt idx="54">
                  <c:v>102190</c:v>
                </c:pt>
              </c:numCache>
            </c:numRef>
          </c:val>
          <c:smooth val="0"/>
          <c:extLst>
            <c:ext xmlns:c16="http://schemas.microsoft.com/office/drawing/2014/chart" uri="{C3380CC4-5D6E-409C-BE32-E72D297353CC}">
              <c16:uniqueId val="{00000000-7897-4AEC-ACC4-3223D9871439}"/>
            </c:ext>
          </c:extLst>
        </c:ser>
        <c:ser>
          <c:idx val="2"/>
          <c:order val="2"/>
          <c:tx>
            <c:strRef>
              <c:f>Sheet1!$K$11</c:f>
              <c:strCache>
                <c:ptCount val="1"/>
                <c:pt idx="0">
                  <c:v>Rice production(1000MT)</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Sheet1!$I$11:$I$71</c15:sqref>
                  </c15:fullRef>
                </c:ext>
              </c:extLst>
              <c:f>(Sheet1!$I$11,Sheet1!$I$16,Sheet1!$I$18:$I$71)</c:f>
              <c:strCache>
                <c:ptCount val="56"/>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pt idx="55">
                  <c:v>2019</c:v>
                </c:pt>
              </c:strCache>
            </c:strRef>
          </c:cat>
          <c:val>
            <c:numRef>
              <c:extLst>
                <c:ext xmlns:c15="http://schemas.microsoft.com/office/drawing/2012/chart" uri="{02D57815-91ED-43cb-92C2-25804820EDAC}">
                  <c15:fullRef>
                    <c15:sqref>Sheet1!$K$12:$K$71</c15:sqref>
                  </c15:fullRef>
                </c:ext>
              </c:extLst>
              <c:f>(Sheet1!$K$12,Sheet1!$K$17,Sheet1!$K$19:$K$71)</c:f>
              <c:numCache>
                <c:formatCode>General</c:formatCode>
                <c:ptCount val="55"/>
                <c:pt idx="0">
                  <c:v>34639</c:v>
                </c:pt>
                <c:pt idx="1">
                  <c:v>30589</c:v>
                </c:pt>
                <c:pt idx="2">
                  <c:v>37612</c:v>
                </c:pt>
                <c:pt idx="3">
                  <c:v>39761</c:v>
                </c:pt>
                <c:pt idx="4">
                  <c:v>40430</c:v>
                </c:pt>
                <c:pt idx="5">
                  <c:v>42225</c:v>
                </c:pt>
                <c:pt idx="6">
                  <c:v>43068</c:v>
                </c:pt>
                <c:pt idx="7">
                  <c:v>39245</c:v>
                </c:pt>
                <c:pt idx="8">
                  <c:v>44051</c:v>
                </c:pt>
                <c:pt idx="9">
                  <c:v>39579</c:v>
                </c:pt>
                <c:pt idx="10">
                  <c:v>48740</c:v>
                </c:pt>
                <c:pt idx="11">
                  <c:v>41917</c:v>
                </c:pt>
                <c:pt idx="12">
                  <c:v>52617</c:v>
                </c:pt>
                <c:pt idx="13">
                  <c:v>53773</c:v>
                </c:pt>
                <c:pt idx="14">
                  <c:v>42330</c:v>
                </c:pt>
                <c:pt idx="15">
                  <c:v>53631</c:v>
                </c:pt>
                <c:pt idx="16">
                  <c:v>53248</c:v>
                </c:pt>
                <c:pt idx="17">
                  <c:v>47116</c:v>
                </c:pt>
                <c:pt idx="18">
                  <c:v>60097</c:v>
                </c:pt>
                <c:pt idx="19">
                  <c:v>58337</c:v>
                </c:pt>
                <c:pt idx="20">
                  <c:v>63825</c:v>
                </c:pt>
                <c:pt idx="21">
                  <c:v>60416</c:v>
                </c:pt>
                <c:pt idx="22">
                  <c:v>56862</c:v>
                </c:pt>
                <c:pt idx="23">
                  <c:v>70489</c:v>
                </c:pt>
                <c:pt idx="24">
                  <c:v>73573</c:v>
                </c:pt>
                <c:pt idx="25">
                  <c:v>74291</c:v>
                </c:pt>
                <c:pt idx="26">
                  <c:v>74680</c:v>
                </c:pt>
                <c:pt idx="27">
                  <c:v>72868</c:v>
                </c:pt>
                <c:pt idx="28">
                  <c:v>80300</c:v>
                </c:pt>
                <c:pt idx="29">
                  <c:v>81810</c:v>
                </c:pt>
                <c:pt idx="30">
                  <c:v>76980</c:v>
                </c:pt>
                <c:pt idx="31">
                  <c:v>80736</c:v>
                </c:pt>
                <c:pt idx="32">
                  <c:v>82545</c:v>
                </c:pt>
                <c:pt idx="33">
                  <c:v>86077</c:v>
                </c:pt>
                <c:pt idx="34">
                  <c:v>89683</c:v>
                </c:pt>
                <c:pt idx="35">
                  <c:v>84977</c:v>
                </c:pt>
                <c:pt idx="36">
                  <c:v>93334</c:v>
                </c:pt>
                <c:pt idx="37">
                  <c:v>71814</c:v>
                </c:pt>
                <c:pt idx="38">
                  <c:v>88522</c:v>
                </c:pt>
                <c:pt idx="39">
                  <c:v>83127</c:v>
                </c:pt>
                <c:pt idx="40">
                  <c:v>91785</c:v>
                </c:pt>
                <c:pt idx="41">
                  <c:v>93345</c:v>
                </c:pt>
                <c:pt idx="42">
                  <c:v>96682</c:v>
                </c:pt>
                <c:pt idx="43">
                  <c:v>99172</c:v>
                </c:pt>
                <c:pt idx="44">
                  <c:v>89083</c:v>
                </c:pt>
                <c:pt idx="45">
                  <c:v>95970</c:v>
                </c:pt>
                <c:pt idx="46">
                  <c:v>105301</c:v>
                </c:pt>
                <c:pt idx="47">
                  <c:v>105241</c:v>
                </c:pt>
                <c:pt idx="48">
                  <c:v>106646</c:v>
                </c:pt>
                <c:pt idx="49">
                  <c:v>105482</c:v>
                </c:pt>
                <c:pt idx="50">
                  <c:v>104408</c:v>
                </c:pt>
                <c:pt idx="51">
                  <c:v>109698</c:v>
                </c:pt>
                <c:pt idx="52">
                  <c:v>112760</c:v>
                </c:pt>
                <c:pt idx="53">
                  <c:v>116420</c:v>
                </c:pt>
                <c:pt idx="54">
                  <c:v>115000</c:v>
                </c:pt>
              </c:numCache>
            </c:numRef>
          </c:val>
          <c:smooth val="0"/>
          <c:extLst>
            <c:ext xmlns:c16="http://schemas.microsoft.com/office/drawing/2014/chart" uri="{C3380CC4-5D6E-409C-BE32-E72D297353CC}">
              <c16:uniqueId val="{00000001-7897-4AEC-ACC4-3223D9871439}"/>
            </c:ext>
          </c:extLst>
        </c:ser>
        <c:dLbls>
          <c:showLegendKey val="0"/>
          <c:showVal val="0"/>
          <c:showCatName val="0"/>
          <c:showSerName val="0"/>
          <c:showPercent val="0"/>
          <c:showBubbleSize val="0"/>
        </c:dLbls>
        <c:smooth val="0"/>
        <c:axId val="487037568"/>
        <c:axId val="487038552"/>
        <c:extLst>
          <c:ext xmlns:c15="http://schemas.microsoft.com/office/drawing/2012/chart" uri="{02D57815-91ED-43cb-92C2-25804820EDAC}">
            <c15:filteredLineSeries>
              <c15:ser>
                <c:idx val="0"/>
                <c:order val="0"/>
                <c:tx>
                  <c:strRef>
                    <c:extLst>
                      <c:ext uri="{02D57815-91ED-43cb-92C2-25804820EDAC}">
                        <c15:formulaRef>
                          <c15:sqref>Sheet1!$I$11</c15:sqref>
                        </c15:formulaRef>
                      </c:ext>
                    </c:extLst>
                    <c:strCache>
                      <c:ptCount val="1"/>
                      <c:pt idx="0">
                        <c:v>Year</c:v>
                      </c:pt>
                    </c:strCache>
                  </c:strRef>
                </c:tx>
                <c:spPr>
                  <a:ln w="28575" cap="rnd">
                    <a:solidFill>
                      <a:schemeClr val="accent1"/>
                    </a:solidFill>
                    <a:round/>
                  </a:ln>
                  <a:effectLst/>
                </c:spPr>
                <c:marker>
                  <c:symbol val="none"/>
                </c:marker>
                <c:cat>
                  <c:strRef>
                    <c:extLst>
                      <c:ext uri="{02D57815-91ED-43cb-92C2-25804820EDAC}">
                        <c15:fullRef>
                          <c15:sqref>Sheet1!$I$11:$I$71</c15:sqref>
                        </c15:fullRef>
                        <c15:formulaRef>
                          <c15:sqref>(Sheet1!$I$11,Sheet1!$I$16,Sheet1!$I$18:$I$71)</c15:sqref>
                        </c15:formulaRef>
                      </c:ext>
                    </c:extLst>
                    <c:strCache>
                      <c:ptCount val="56"/>
                      <c:pt idx="0">
                        <c:v>Year</c:v>
                      </c:pt>
                      <c:pt idx="1">
                        <c:v>1964</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pt idx="55">
                        <c:v>2019</c:v>
                      </c:pt>
                    </c:strCache>
                  </c:strRef>
                </c:cat>
                <c:val>
                  <c:numRef>
                    <c:extLst>
                      <c:ext uri="{02D57815-91ED-43cb-92C2-25804820EDAC}">
                        <c15:fullRef>
                          <c15:sqref>Sheet1!$I$12:$I$71</c15:sqref>
                        </c15:fullRef>
                        <c15:formulaRef>
                          <c15:sqref>(Sheet1!$I$12,Sheet1!$I$17,Sheet1!$I$19:$I$71)</c15:sqref>
                        </c15:formulaRef>
                      </c:ext>
                    </c:extLst>
                    <c:numCache>
                      <c:formatCode>General</c:formatCode>
                      <c:ptCount val="55"/>
                      <c:pt idx="0">
                        <c:v>1960</c:v>
                      </c:pt>
                      <c:pt idx="1">
                        <c:v>1965</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val>
                <c:smooth val="0"/>
                <c:extLst>
                  <c:ext xmlns:c16="http://schemas.microsoft.com/office/drawing/2014/chart" uri="{C3380CC4-5D6E-409C-BE32-E72D297353CC}">
                    <c16:uniqueId val="{00000002-7897-4AEC-ACC4-3223D9871439}"/>
                  </c:ext>
                </c:extLst>
              </c15:ser>
            </c15:filteredLineSeries>
          </c:ext>
        </c:extLst>
      </c:lineChart>
      <c:catAx>
        <c:axId val="48703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38552"/>
        <c:crosses val="autoZero"/>
        <c:auto val="1"/>
        <c:lblAlgn val="ctr"/>
        <c:lblOffset val="100"/>
        <c:noMultiLvlLbl val="0"/>
      </c:catAx>
      <c:valAx>
        <c:axId val="487038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3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1</cp:revision>
  <dcterms:created xsi:type="dcterms:W3CDTF">2020-04-18T15:19:00Z</dcterms:created>
  <dcterms:modified xsi:type="dcterms:W3CDTF">2020-04-20T17:50:00Z</dcterms:modified>
</cp:coreProperties>
</file>