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11CF" w14:textId="3285A836" w:rsidR="00D41D9A" w:rsidRDefault="00217916" w:rsidP="00D41D9A">
      <w:pPr>
        <w:rPr>
          <w:rFonts w:cstheme="minorHAnsi"/>
          <w:vertAlign w:val="subscript"/>
        </w:rPr>
      </w:pPr>
      <w:r>
        <w:t>Stocks</w:t>
      </w:r>
      <w:r w:rsidR="00D41D9A">
        <w:br w:type="textWrapping" w:clear="all"/>
      </w:r>
    </w:p>
    <w:tbl>
      <w:tblPr>
        <w:tblW w:w="75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9"/>
        <w:gridCol w:w="1481"/>
        <w:gridCol w:w="1481"/>
        <w:gridCol w:w="1481"/>
        <w:gridCol w:w="1481"/>
      </w:tblGrid>
      <w:tr w:rsidR="00D41D9A" w:rsidRPr="00D41D9A" w14:paraId="0C8FBE4F" w14:textId="77777777" w:rsidTr="000C53CF">
        <w:trPr>
          <w:trHeight w:val="317"/>
        </w:trPr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16EE1" w14:textId="77777777" w:rsidR="00D41D9A" w:rsidRPr="00D41D9A" w:rsidRDefault="00D41D9A" w:rsidP="00D41D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Hlk89732411"/>
            <w:r w:rsidRPr="00D41D9A">
              <w:rPr>
                <w:rFonts w:ascii="Arial" w:eastAsia="Times New Roman" w:hAnsi="Arial" w:cs="Arial"/>
                <w:sz w:val="20"/>
                <w:szCs w:val="20"/>
              </w:rPr>
              <w:t>Parameter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779B7" w14:textId="77777777" w:rsidR="00D41D9A" w:rsidRPr="00D41D9A" w:rsidRDefault="00D41D9A" w:rsidP="00D41D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1D9A">
              <w:rPr>
                <w:rFonts w:ascii="Arial" w:eastAsia="Times New Roman" w:hAnsi="Arial" w:cs="Arial"/>
                <w:sz w:val="20"/>
                <w:szCs w:val="20"/>
              </w:rPr>
              <w:t>DCC-GARCH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425D" w14:textId="77777777" w:rsidR="00D41D9A" w:rsidRPr="00D41D9A" w:rsidRDefault="00D41D9A" w:rsidP="00D41D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1D9A">
              <w:rPr>
                <w:rFonts w:ascii="Arial" w:eastAsia="Times New Roman" w:hAnsi="Arial" w:cs="Arial"/>
                <w:sz w:val="20"/>
                <w:szCs w:val="20"/>
              </w:rPr>
              <w:t>DCC-RGARCH</w:t>
            </w:r>
          </w:p>
        </w:tc>
      </w:tr>
      <w:tr w:rsidR="00D41D9A" w:rsidRPr="00D41D9A" w14:paraId="1C43212E" w14:textId="77777777" w:rsidTr="000C53CF">
        <w:trPr>
          <w:trHeight w:val="317"/>
        </w:trPr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48BFC" w14:textId="77777777" w:rsidR="00D41D9A" w:rsidRPr="00D41D9A" w:rsidRDefault="00D41D9A" w:rsidP="00D41D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AE743" w14:textId="77777777" w:rsidR="00D41D9A" w:rsidRPr="00D41D9A" w:rsidRDefault="00D41D9A" w:rsidP="00D41D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1D9A">
              <w:rPr>
                <w:rFonts w:ascii="Arial" w:eastAsia="Times New Roman" w:hAnsi="Arial" w:cs="Arial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6CF55" w14:textId="77777777" w:rsidR="00D41D9A" w:rsidRPr="00D41D9A" w:rsidRDefault="00D41D9A" w:rsidP="00D41D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1D9A">
              <w:rPr>
                <w:rFonts w:ascii="Arial" w:eastAsia="Times New Roman" w:hAnsi="Arial" w:cs="Arial"/>
                <w:sz w:val="20"/>
                <w:szCs w:val="20"/>
              </w:rPr>
              <w:t>Std. 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CB497" w14:textId="77777777" w:rsidR="00D41D9A" w:rsidRPr="00D41D9A" w:rsidRDefault="00D41D9A" w:rsidP="00D41D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1D9A">
              <w:rPr>
                <w:rFonts w:ascii="Arial" w:eastAsia="Times New Roman" w:hAnsi="Arial" w:cs="Arial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8CDFD" w14:textId="77777777" w:rsidR="00D41D9A" w:rsidRPr="00D41D9A" w:rsidRDefault="00D41D9A" w:rsidP="00D41D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1D9A">
              <w:rPr>
                <w:rFonts w:ascii="Arial" w:eastAsia="Times New Roman" w:hAnsi="Arial" w:cs="Arial"/>
                <w:sz w:val="20"/>
                <w:szCs w:val="20"/>
              </w:rPr>
              <w:t>Std. error</w:t>
            </w:r>
          </w:p>
        </w:tc>
      </w:tr>
      <w:tr w:rsidR="00217916" w:rsidRPr="00D41D9A" w14:paraId="31ABBE28" w14:textId="77777777" w:rsidTr="000C53CF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C9303" w14:textId="04958AAD" w:rsidR="00217916" w:rsidRPr="00D41D9A" w:rsidRDefault="00217916" w:rsidP="002179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cstheme="minorHAnsi"/>
              </w:rPr>
              <w:t>γ</w:t>
            </w:r>
            <w:r>
              <w:rPr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0C7DC" w14:textId="6CF9532E" w:rsidR="00217916" w:rsidRPr="00D41D9A" w:rsidRDefault="00217916" w:rsidP="002179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0.000446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020BC" w14:textId="33F8EE2B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0.000379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48FA9" w14:textId="7D1D49D1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8052F" w14:textId="67A5C884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0.00039</w:t>
            </w:r>
          </w:p>
        </w:tc>
      </w:tr>
      <w:tr w:rsidR="00217916" w:rsidRPr="00D41D9A" w14:paraId="66E27D16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AD575" w14:textId="1EFFCC62" w:rsidR="00217916" w:rsidRPr="00D41D9A" w:rsidRDefault="00217916" w:rsidP="00217916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BA393" w14:textId="6FD5B52B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9.25E-06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F0F7A" w14:textId="749432BF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4.50E-06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18354" w14:textId="4DDA2A1B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7.81E-06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7F659" w14:textId="458E1FB5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6.17E-06</w:t>
            </w:r>
          </w:p>
        </w:tc>
      </w:tr>
      <w:tr w:rsidR="00217916" w:rsidRPr="00D41D9A" w14:paraId="19D78754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59D25" w14:textId="502ADC4E" w:rsidR="00217916" w:rsidRPr="00D41D9A" w:rsidRDefault="00217916" w:rsidP="00217916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A5A5A" w14:textId="746BBA9A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0.13339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8F43B" w14:textId="63E29177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E447D" w14:textId="0F6963CE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0.319632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64D12" w14:textId="59267C6C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0.151019</w:t>
            </w:r>
          </w:p>
        </w:tc>
      </w:tr>
      <w:tr w:rsidR="00217916" w:rsidRPr="00D41D9A" w14:paraId="690AB2EF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F688B" w14:textId="5A3E9921" w:rsidR="00217916" w:rsidRPr="00D41D9A" w:rsidRDefault="00217916" w:rsidP="00217916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β</w:t>
            </w:r>
            <w:r>
              <w:rPr>
                <w:rFonts w:cstheme="minorHAnsi"/>
                <w:vertAlign w:val="subscrip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AA431" w14:textId="05F37540" w:rsidR="00217916" w:rsidRPr="00D41D9A" w:rsidRDefault="00217916" w:rsidP="00217916">
            <w:pPr>
              <w:spacing w:after="0" w:line="240" w:lineRule="auto"/>
              <w:rPr>
                <w:rFonts w:ascii="Noto Sans" w:eastAsia="Times New Roman" w:hAnsi="Noto Sans" w:cs="Noto Sans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0.832364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9C3D8" w14:textId="67E5C4C1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AF95B" w14:textId="33D7477E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CE144" w14:textId="64DE8749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0.133175</w:t>
            </w:r>
          </w:p>
        </w:tc>
      </w:tr>
      <w:tr w:rsidR="00217916" w:rsidRPr="00D41D9A" w14:paraId="67EE0A58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F74BB" w14:textId="09762AEA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theme="minorHAnsi"/>
              </w:rPr>
              <w:t>γ</w:t>
            </w:r>
            <w:r>
              <w:rPr>
                <w:vertAlign w:val="subscrip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E1813" w14:textId="207AE5B1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E918E" w14:textId="25CA7BDD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2C9B4" w14:textId="291D2963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0.000641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0E56B" w14:textId="5EC97C73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0.000594</w:t>
            </w:r>
          </w:p>
        </w:tc>
      </w:tr>
      <w:tr w:rsidR="00217916" w:rsidRPr="00D41D9A" w14:paraId="6E8301B6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FAEF5" w14:textId="1DED5FAF" w:rsidR="00217916" w:rsidRPr="00D41D9A" w:rsidRDefault="00217916" w:rsidP="00217916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7B071" w14:textId="63FE887A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1.46E-05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8A4D0" w14:textId="36C69D31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5.34E-06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77728" w14:textId="21440A27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8.86E-06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33131" w14:textId="4A4641B9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7.32E-06</w:t>
            </w:r>
          </w:p>
        </w:tc>
      </w:tr>
      <w:tr w:rsidR="00217916" w:rsidRPr="00D41D9A" w14:paraId="1DADA3D6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585F3" w14:textId="367C77C5" w:rsidR="00217916" w:rsidRPr="00D41D9A" w:rsidRDefault="00217916" w:rsidP="00217916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0853C" w14:textId="7C8937B7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0.088606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40CFC" w14:textId="372B5C4B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0.022633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3169C" w14:textId="2F730F20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0.189927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72A47" w14:textId="6C17FE29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0.062819</w:t>
            </w:r>
          </w:p>
        </w:tc>
      </w:tr>
      <w:tr w:rsidR="00217916" w:rsidRPr="00D41D9A" w14:paraId="0595E5C4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30B81" w14:textId="600B8713" w:rsidR="00217916" w:rsidRPr="00D41D9A" w:rsidRDefault="00217916" w:rsidP="00217916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β</w:t>
            </w:r>
            <w:r>
              <w:rPr>
                <w:rFonts w:cstheme="minorHAnsi"/>
                <w:vertAlign w:val="subscript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D27A2" w14:textId="158089FB" w:rsidR="00217916" w:rsidRPr="00D41D9A" w:rsidRDefault="00217916" w:rsidP="00217916">
            <w:pPr>
              <w:spacing w:after="0" w:line="240" w:lineRule="auto"/>
              <w:rPr>
                <w:rFonts w:ascii="Noto Sans" w:eastAsia="Times New Roman" w:hAnsi="Noto Sans" w:cs="Noto Sans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0.884946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64E89" w14:textId="7F3A28C3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0.023231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FD210" w14:textId="600D6DC2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0.842658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A5FB1" w14:textId="7E3896B2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0.04988</w:t>
            </w:r>
          </w:p>
        </w:tc>
      </w:tr>
      <w:tr w:rsidR="00217916" w:rsidRPr="00D41D9A" w14:paraId="058DBC2C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9C4939" w14:textId="6890D8BD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theme="minorHAnsi"/>
              </w:rPr>
              <w:t>γ</w:t>
            </w:r>
            <w:r>
              <w:rPr>
                <w:vertAlign w:val="subscript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1F251" w14:textId="317BAD4A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9C266" w14:textId="70B3B1BE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0.000447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3AD01" w14:textId="6D6C9675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0D310" w14:textId="79D4E98E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0.000449</w:t>
            </w:r>
          </w:p>
        </w:tc>
      </w:tr>
      <w:tr w:rsidR="00217916" w:rsidRPr="00D41D9A" w14:paraId="4FE3A6FA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788FAB" w14:textId="311ED96D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68FE" w14:textId="38B6B944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2.05E-05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491E4" w14:textId="54EE2744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7.05E-06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DCBD1" w14:textId="7810F1E1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1.72E-05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0F1A9" w14:textId="3D1C4A56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1.17E-05</w:t>
            </w:r>
          </w:p>
        </w:tc>
      </w:tr>
      <w:tr w:rsidR="00217916" w:rsidRPr="00D41D9A" w14:paraId="01B8106A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89A2B4" w14:textId="6C6A66CC" w:rsidR="00217916" w:rsidRPr="00D41D9A" w:rsidRDefault="00217916" w:rsidP="00217916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3C416" w14:textId="4F653312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0.079757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63AA9" w14:textId="78650B6F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0.024802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547D9" w14:textId="015C99FE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0.299712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24399" w14:textId="588C4318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0.107963</w:t>
            </w:r>
          </w:p>
        </w:tc>
      </w:tr>
      <w:tr w:rsidR="00217916" w:rsidRPr="00D41D9A" w14:paraId="5A00721A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5A5F18" w14:textId="0CBA3650" w:rsidR="00217916" w:rsidRPr="00D41D9A" w:rsidRDefault="00217916" w:rsidP="00217916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β</w:t>
            </w:r>
            <w:r>
              <w:rPr>
                <w:rFonts w:cstheme="minorHAnsi"/>
                <w:vertAlign w:val="subscript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ED21E" w14:textId="57748F9E" w:rsidR="00217916" w:rsidRPr="00D41D9A" w:rsidRDefault="00217916" w:rsidP="00217916">
            <w:pPr>
              <w:spacing w:after="0" w:line="240" w:lineRule="auto"/>
              <w:rPr>
                <w:rFonts w:ascii="Noto Sans" w:eastAsia="Times New Roman" w:hAnsi="Noto Sans" w:cs="Noto Sans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0.853045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FB4CB" w14:textId="2DB688A0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0.036287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7BF2A" w14:textId="17F6D4CD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D8BFF" w14:textId="734E7CAF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0.106576</w:t>
            </w:r>
          </w:p>
        </w:tc>
      </w:tr>
      <w:tr w:rsidR="00217916" w:rsidRPr="00D41D9A" w14:paraId="3512CE7C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263FB0" w14:textId="06D65411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theme="minorHAnsi"/>
              </w:rPr>
              <w:t>γ</w:t>
            </w:r>
            <w:r>
              <w:rPr>
                <w:vertAlign w:val="subscript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62085" w14:textId="6B2A994E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A897F" w14:textId="5C482CE3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9BEA7" w14:textId="3ADD52F2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3EDB3" w14:textId="57C3E61B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0.00053</w:t>
            </w:r>
          </w:p>
        </w:tc>
      </w:tr>
      <w:tr w:rsidR="00217916" w:rsidRPr="00D41D9A" w14:paraId="1A150CC4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883873" w14:textId="0CDC27A9" w:rsidR="00217916" w:rsidRPr="00D41D9A" w:rsidRDefault="00217916" w:rsidP="00217916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A5F9A" w14:textId="57EEDB80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2.85E-05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29042" w14:textId="0167B1F1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1.29E-05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4EA5F" w14:textId="115F6BA2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2.59E-05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039C5" w14:textId="14B0E6D1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1.17E-05</w:t>
            </w:r>
          </w:p>
        </w:tc>
      </w:tr>
      <w:tr w:rsidR="00217916" w:rsidRPr="00D41D9A" w14:paraId="4839F6A6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9778A5" w14:textId="741CB86D" w:rsidR="00217916" w:rsidRPr="00D41D9A" w:rsidRDefault="00217916" w:rsidP="00217916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C29AF" w14:textId="0222285F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0.091531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7ECF3" w14:textId="7373725E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0.031748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9FFF7" w14:textId="6193A5E8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0.185476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D90D4" w14:textId="7850A825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0.062023</w:t>
            </w:r>
          </w:p>
        </w:tc>
      </w:tr>
      <w:tr w:rsidR="00217916" w:rsidRPr="00D41D9A" w14:paraId="36C13F15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B80BDA" w14:textId="3C7BCAB8" w:rsidR="00217916" w:rsidRPr="00D41D9A" w:rsidRDefault="00217916" w:rsidP="00217916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β</w:t>
            </w:r>
            <w:r>
              <w:rPr>
                <w:rFonts w:cstheme="minorHAnsi"/>
                <w:vertAlign w:val="subscript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BAA53" w14:textId="2EF76BC8" w:rsidR="00217916" w:rsidRPr="00D41D9A" w:rsidRDefault="00217916" w:rsidP="00217916">
            <w:pPr>
              <w:spacing w:after="0" w:line="240" w:lineRule="auto"/>
              <w:rPr>
                <w:rFonts w:ascii="Noto Sans" w:eastAsia="Times New Roman" w:hAnsi="Noto Sans" w:cs="Noto Sans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0.829901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1FD01" w14:textId="64EEAAE6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0.057136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3FACF" w14:textId="494F7EBD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0.783371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9C32D" w14:textId="09BDF6B3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0.066194</w:t>
            </w:r>
          </w:p>
        </w:tc>
      </w:tr>
      <w:tr w:rsidR="00217916" w:rsidRPr="00D41D9A" w14:paraId="6580D48D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9DE923" w14:textId="0F742891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theme="minorHAnsi"/>
              </w:rPr>
              <w:t>γ</w:t>
            </w:r>
            <w:r>
              <w:rPr>
                <w:vertAlign w:val="subscript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5BBC1" w14:textId="6776E4E1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0C55D" w14:textId="573781F9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04A25" w14:textId="0C6978B8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91A3F" w14:textId="4548E73C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0.000433</w:t>
            </w:r>
          </w:p>
        </w:tc>
      </w:tr>
      <w:tr w:rsidR="00217916" w:rsidRPr="00D41D9A" w14:paraId="33B21B4F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67141F" w14:textId="1B12D4D6" w:rsidR="00217916" w:rsidRPr="00D41D9A" w:rsidRDefault="00217916" w:rsidP="00217916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B9624" w14:textId="07821F6D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1.42E-05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BDBB6" w14:textId="25FC56A4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6.11E-06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8C00A" w14:textId="18DBD213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5.84E-06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C2130" w14:textId="4416DE3F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5.93E-06</w:t>
            </w:r>
          </w:p>
        </w:tc>
      </w:tr>
      <w:tr w:rsidR="00217916" w:rsidRPr="00D41D9A" w14:paraId="5E692E69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CE7C9D" w14:textId="5AC6E382" w:rsidR="00217916" w:rsidRPr="00D41D9A" w:rsidRDefault="00217916" w:rsidP="00217916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F87D9" w14:textId="5C949456" w:rsidR="00217916" w:rsidRPr="00D41D9A" w:rsidRDefault="00217916" w:rsidP="00217916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0.076903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B707D" w14:textId="4B0BA160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0.027642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75163" w14:textId="3C58EB55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0.170722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A24F8" w14:textId="3A48EA8E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0.053914</w:t>
            </w:r>
          </w:p>
        </w:tc>
      </w:tr>
      <w:tr w:rsidR="00217916" w:rsidRPr="00D41D9A" w14:paraId="2F6B16D5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2656C7" w14:textId="12B592A1" w:rsidR="00217916" w:rsidRPr="00D41D9A" w:rsidRDefault="00217916" w:rsidP="00217916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β</w:t>
            </w:r>
            <w:r>
              <w:rPr>
                <w:rFonts w:cstheme="minorHAnsi"/>
                <w:vertAlign w:val="subscript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BC198" w14:textId="183ABC90" w:rsidR="00217916" w:rsidRPr="00D41D9A" w:rsidRDefault="00217916" w:rsidP="00217916">
            <w:pPr>
              <w:spacing w:after="0" w:line="240" w:lineRule="auto"/>
              <w:rPr>
                <w:rFonts w:ascii="Noto Sans" w:eastAsia="Times New Roman" w:hAnsi="Noto Sans" w:cs="Noto Sans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0.877181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ED1FE" w14:textId="2060AE3D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0.037421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AB4B9" w14:textId="1A5B18CA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0.841351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3E092" w14:textId="33D2B0A3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0.044568</w:t>
            </w:r>
          </w:p>
        </w:tc>
      </w:tr>
      <w:tr w:rsidR="00217916" w:rsidRPr="00D41D9A" w14:paraId="1FA6CFD3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7C265" w14:textId="79F95A11" w:rsidR="00217916" w:rsidRPr="00D41D9A" w:rsidRDefault="00217916" w:rsidP="00217916">
            <w:pPr>
              <w:rPr>
                <w:rFonts w:cstheme="minorHAnsi"/>
                <w:vertAlign w:val="subscript"/>
              </w:rPr>
            </w:pPr>
            <w:r w:rsidRPr="00D41D9A">
              <w:rPr>
                <w:rFonts w:ascii="Calibri" w:eastAsia="Times New Roman" w:hAnsi="Calibri" w:cs="Calibri"/>
                <w:color w:val="282828"/>
                <w:sz w:val="24"/>
                <w:szCs w:val="24"/>
              </w:rPr>
              <w:t>ζ</w:t>
            </w:r>
            <w:r>
              <w:rPr>
                <w:rFonts w:ascii="Calibri" w:eastAsia="Times New Roman" w:hAnsi="Calibri" w:cs="Calibri"/>
                <w:color w:val="282828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96E70" w14:textId="321FD847" w:rsidR="00217916" w:rsidRPr="00D41D9A" w:rsidRDefault="00217916" w:rsidP="00217916">
            <w:pPr>
              <w:spacing w:after="0" w:line="240" w:lineRule="auto"/>
              <w:rPr>
                <w:rFonts w:ascii="Noto Sans" w:eastAsia="Times New Roman" w:hAnsi="Noto Sans" w:cs="Noto Sans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0.014933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E9F0B" w14:textId="0AB8DA36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85976" w14:textId="60480A3C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0.016008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CF670" w14:textId="46BD98E2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0.003564</w:t>
            </w:r>
          </w:p>
        </w:tc>
      </w:tr>
      <w:tr w:rsidR="00217916" w:rsidRPr="00D41D9A" w14:paraId="4B02E108" w14:textId="77777777" w:rsidTr="00144459">
        <w:trPr>
          <w:trHeight w:val="3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FA0C6" w14:textId="55CBC794" w:rsidR="00217916" w:rsidRPr="00D41D9A" w:rsidRDefault="00217916" w:rsidP="00217916">
            <w:pPr>
              <w:spacing w:after="0" w:line="240" w:lineRule="auto"/>
              <w:rPr>
                <w:rFonts w:ascii="Noto Sans" w:eastAsia="Times New Roman" w:hAnsi="Noto Sans" w:cs="Noto Sans"/>
                <w:color w:val="282828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282828"/>
                <w:sz w:val="24"/>
                <w:szCs w:val="24"/>
              </w:rPr>
              <w:t>θ</w:t>
            </w:r>
            <w:r>
              <w:rPr>
                <w:rFonts w:ascii="Calibri" w:eastAsia="Times New Roman" w:hAnsi="Calibri" w:cs="Calibri"/>
                <w:color w:val="282828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7C4F1" w14:textId="709808DB" w:rsidR="00217916" w:rsidRPr="00D41D9A" w:rsidRDefault="00217916" w:rsidP="00217916">
            <w:pPr>
              <w:spacing w:after="0" w:line="240" w:lineRule="auto"/>
              <w:rPr>
                <w:rFonts w:ascii="Noto Sans" w:eastAsia="Times New Roman" w:hAnsi="Noto Sans" w:cs="Noto Sans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0.959962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B1270" w14:textId="13989F17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0.010097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F3811" w14:textId="729EDDF4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6B4CD" w14:textId="53B5E143" w:rsidR="00217916" w:rsidRPr="00D41D9A" w:rsidRDefault="00217916" w:rsidP="002179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0.011296</w:t>
            </w:r>
          </w:p>
        </w:tc>
      </w:tr>
      <w:bookmarkEnd w:id="0"/>
    </w:tbl>
    <w:p w14:paraId="6EDE6DAC" w14:textId="4C92DEEE" w:rsidR="00D41D9A" w:rsidRDefault="00D41D9A" w:rsidP="00D41D9A">
      <w:pPr>
        <w:rPr>
          <w:vertAlign w:val="subscript"/>
        </w:rPr>
      </w:pPr>
    </w:p>
    <w:p w14:paraId="397F3CF5" w14:textId="61525D71" w:rsidR="00217916" w:rsidRDefault="00217916" w:rsidP="00D41D9A">
      <w:pPr>
        <w:rPr>
          <w:vertAlign w:val="subscript"/>
        </w:rPr>
      </w:pPr>
    </w:p>
    <w:p w14:paraId="2FD79B1B" w14:textId="2F22D853" w:rsidR="00217916" w:rsidRPr="00217916" w:rsidRDefault="00217916" w:rsidP="00D41D9A">
      <w:r w:rsidRPr="00217916">
        <w:lastRenderedPageBreak/>
        <w:t>Currency Pairs</w:t>
      </w:r>
    </w:p>
    <w:tbl>
      <w:tblPr>
        <w:tblpPr w:leftFromText="180" w:rightFromText="180" w:horzAnchor="page" w:tblpX="4838" w:tblpY="506"/>
        <w:tblW w:w="7431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11"/>
        <w:gridCol w:w="1455"/>
        <w:gridCol w:w="1455"/>
        <w:gridCol w:w="1455"/>
        <w:gridCol w:w="1455"/>
      </w:tblGrid>
      <w:tr w:rsidR="00217916" w:rsidRPr="00D41D9A" w14:paraId="3CCEBDCA" w14:textId="77777777" w:rsidTr="00F61DA3">
        <w:trPr>
          <w:trHeight w:val="297"/>
        </w:trPr>
        <w:tc>
          <w:tcPr>
            <w:tcW w:w="1611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D6AAF" w14:textId="77777777" w:rsidR="00217916" w:rsidRPr="00D41D9A" w:rsidRDefault="00217916" w:rsidP="00F61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" w:name="_Hlk89733281"/>
            <w:r w:rsidRPr="00D41D9A">
              <w:rPr>
                <w:rFonts w:ascii="Arial" w:eastAsia="Times New Roman" w:hAnsi="Arial" w:cs="Arial"/>
                <w:sz w:val="20"/>
                <w:szCs w:val="20"/>
              </w:rPr>
              <w:t>Parameter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29BB5" w14:textId="77777777" w:rsidR="00217916" w:rsidRPr="00D41D9A" w:rsidRDefault="00217916" w:rsidP="00F61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1D9A">
              <w:rPr>
                <w:rFonts w:ascii="Arial" w:eastAsia="Times New Roman" w:hAnsi="Arial" w:cs="Arial"/>
                <w:sz w:val="20"/>
                <w:szCs w:val="20"/>
              </w:rPr>
              <w:t>DCC-GARCH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C4A64" w14:textId="77777777" w:rsidR="00217916" w:rsidRPr="00D41D9A" w:rsidRDefault="00217916" w:rsidP="00F61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1D9A">
              <w:rPr>
                <w:rFonts w:ascii="Arial" w:eastAsia="Times New Roman" w:hAnsi="Arial" w:cs="Arial"/>
                <w:sz w:val="20"/>
                <w:szCs w:val="20"/>
              </w:rPr>
              <w:t>DCC-RGARCH</w:t>
            </w:r>
          </w:p>
        </w:tc>
      </w:tr>
      <w:tr w:rsidR="000C53CF" w:rsidRPr="00D41D9A" w14:paraId="13114008" w14:textId="77777777" w:rsidTr="00F61DA3">
        <w:trPr>
          <w:trHeight w:val="297"/>
        </w:trPr>
        <w:tc>
          <w:tcPr>
            <w:tcW w:w="1611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3B197" w14:textId="77777777" w:rsidR="00217916" w:rsidRPr="00D41D9A" w:rsidRDefault="00217916" w:rsidP="00F61D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0EB70" w14:textId="77777777" w:rsidR="00217916" w:rsidRPr="00D41D9A" w:rsidRDefault="00217916" w:rsidP="00F61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1D9A">
              <w:rPr>
                <w:rFonts w:ascii="Arial" w:eastAsia="Times New Roman" w:hAnsi="Arial" w:cs="Arial"/>
                <w:sz w:val="20"/>
                <w:szCs w:val="20"/>
              </w:rPr>
              <w:t>Estimate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4EBA6" w14:textId="77777777" w:rsidR="00217916" w:rsidRPr="00D41D9A" w:rsidRDefault="00217916" w:rsidP="00F61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1D9A">
              <w:rPr>
                <w:rFonts w:ascii="Arial" w:eastAsia="Times New Roman" w:hAnsi="Arial" w:cs="Arial"/>
                <w:sz w:val="20"/>
                <w:szCs w:val="20"/>
              </w:rPr>
              <w:t>Std. 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10F7B" w14:textId="77777777" w:rsidR="00217916" w:rsidRPr="00D41D9A" w:rsidRDefault="00217916" w:rsidP="00F61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1D9A">
              <w:rPr>
                <w:rFonts w:ascii="Arial" w:eastAsia="Times New Roman" w:hAnsi="Arial" w:cs="Arial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BA2CC" w14:textId="77777777" w:rsidR="00217916" w:rsidRPr="00D41D9A" w:rsidRDefault="00217916" w:rsidP="00F61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1D9A">
              <w:rPr>
                <w:rFonts w:ascii="Arial" w:eastAsia="Times New Roman" w:hAnsi="Arial" w:cs="Arial"/>
                <w:sz w:val="20"/>
                <w:szCs w:val="20"/>
              </w:rPr>
              <w:t>Std. error</w:t>
            </w:r>
          </w:p>
        </w:tc>
      </w:tr>
      <w:tr w:rsidR="000C53CF" w:rsidRPr="00D41D9A" w14:paraId="7F766AA9" w14:textId="77777777" w:rsidTr="00F61DA3">
        <w:trPr>
          <w:trHeight w:val="297"/>
        </w:trPr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2372B" w14:textId="77777777" w:rsidR="00144459" w:rsidRPr="00D41D9A" w:rsidRDefault="00144459" w:rsidP="00F61DA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cstheme="minorHAnsi"/>
              </w:rPr>
              <w:t>γ</w:t>
            </w:r>
            <w:r>
              <w:rPr>
                <w:vertAlign w:val="subscript"/>
              </w:rPr>
              <w:t>10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B324D" w14:textId="052A088B" w:rsidR="00144459" w:rsidRPr="00D41D9A" w:rsidRDefault="00144459" w:rsidP="00F61DA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1.91E-05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5B154" w14:textId="4D384F9E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0B903" w14:textId="7586C3EF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2.09E-05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6653C" w14:textId="7900EF77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0.000134</w:t>
            </w:r>
          </w:p>
        </w:tc>
      </w:tr>
      <w:tr w:rsidR="00144459" w:rsidRPr="00D41D9A" w14:paraId="0E3B9153" w14:textId="77777777" w:rsidTr="00F61DA3">
        <w:trPr>
          <w:trHeight w:val="297"/>
        </w:trPr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6DA9D" w14:textId="77777777" w:rsidR="00144459" w:rsidRPr="00D41D9A" w:rsidRDefault="00144459" w:rsidP="00F61DA3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10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DB7BD" w14:textId="74A0234C" w:rsidR="00144459" w:rsidRPr="00D41D9A" w:rsidRDefault="00144459" w:rsidP="00F61DA3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2.34E-06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EAD7F" w14:textId="0A102F44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2A0D4" w14:textId="0D960B35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2.39E-06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0A7A2" w14:textId="29891C1D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2.18E-06</w:t>
            </w:r>
          </w:p>
        </w:tc>
      </w:tr>
      <w:tr w:rsidR="00144459" w:rsidRPr="00D41D9A" w14:paraId="756C9748" w14:textId="77777777" w:rsidTr="00F61DA3">
        <w:trPr>
          <w:trHeight w:val="297"/>
        </w:trPr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2DBB9" w14:textId="77777777" w:rsidR="00144459" w:rsidRPr="00D41D9A" w:rsidRDefault="00144459" w:rsidP="00F61DA3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11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3FA86" w14:textId="05C01999" w:rsidR="00144459" w:rsidRPr="00D41D9A" w:rsidRDefault="00144459" w:rsidP="00F61DA3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EAC3F" w14:textId="40378D51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2F2F9" w14:textId="35F45340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0.127024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002EA" w14:textId="6F423CBF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0.07086</w:t>
            </w:r>
          </w:p>
        </w:tc>
      </w:tr>
      <w:tr w:rsidR="00144459" w:rsidRPr="00D41D9A" w14:paraId="7CC9390F" w14:textId="77777777" w:rsidTr="00F61DA3">
        <w:trPr>
          <w:trHeight w:val="396"/>
        </w:trPr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4A1E9" w14:textId="77777777" w:rsidR="00144459" w:rsidRPr="00D41D9A" w:rsidRDefault="00144459" w:rsidP="00F61DA3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β</w:t>
            </w:r>
            <w:r>
              <w:rPr>
                <w:rFonts w:cstheme="minorHAnsi"/>
                <w:vertAlign w:val="subscript"/>
              </w:rPr>
              <w:t>11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4521F" w14:textId="561D2B33" w:rsidR="00144459" w:rsidRPr="00D41D9A" w:rsidRDefault="00144459" w:rsidP="00F61DA3">
            <w:pPr>
              <w:spacing w:after="0" w:line="240" w:lineRule="auto"/>
              <w:rPr>
                <w:rFonts w:ascii="Noto Sans" w:eastAsia="Times New Roman" w:hAnsi="Noto Sans" w:cs="Noto Sans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0.8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F2702" w14:textId="4B8953B3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856F6" w14:textId="2760C8B2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0.785997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CFB80" w14:textId="6CA0410F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0.143041</w:t>
            </w:r>
          </w:p>
        </w:tc>
      </w:tr>
      <w:tr w:rsidR="00144459" w:rsidRPr="00D41D9A" w14:paraId="02241A8A" w14:textId="77777777" w:rsidTr="00F61DA3">
        <w:trPr>
          <w:trHeight w:val="297"/>
        </w:trPr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EF34D" w14:textId="77777777" w:rsidR="00144459" w:rsidRPr="00D41D9A" w:rsidRDefault="00144459" w:rsidP="00F61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theme="minorHAnsi"/>
              </w:rPr>
              <w:t>γ</w:t>
            </w:r>
            <w:r>
              <w:rPr>
                <w:vertAlign w:val="subscript"/>
              </w:rPr>
              <w:t>20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8BEBE" w14:textId="7DC8B5FE" w:rsidR="00144459" w:rsidRPr="00D41D9A" w:rsidRDefault="00144459" w:rsidP="00F61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0.000258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A5CD5" w14:textId="09E1A27D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8411A" w14:textId="78F191A5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667AC" w14:textId="0B2C8A05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0.000162</w:t>
            </w:r>
          </w:p>
        </w:tc>
      </w:tr>
      <w:tr w:rsidR="00144459" w:rsidRPr="00D41D9A" w14:paraId="3EA320F5" w14:textId="77777777" w:rsidTr="00F61DA3">
        <w:trPr>
          <w:trHeight w:val="297"/>
        </w:trPr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AC692" w14:textId="77777777" w:rsidR="00144459" w:rsidRPr="00D41D9A" w:rsidRDefault="00144459" w:rsidP="00F61DA3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20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0AFDA" w14:textId="545CA1E3" w:rsidR="00144459" w:rsidRPr="00D41D9A" w:rsidRDefault="00144459" w:rsidP="00F61DA3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-9.34E-07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6FC62" w14:textId="2F42EA28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6.21E-07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D32AB" w14:textId="0E23362F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9.65E-07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D6F49" w14:textId="4589166A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5.29E-07</w:t>
            </w:r>
          </w:p>
        </w:tc>
      </w:tr>
      <w:tr w:rsidR="00144459" w:rsidRPr="00D41D9A" w14:paraId="3B69AA54" w14:textId="77777777" w:rsidTr="00F61DA3">
        <w:trPr>
          <w:trHeight w:val="297"/>
        </w:trPr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4295A" w14:textId="77777777" w:rsidR="00144459" w:rsidRPr="00D41D9A" w:rsidRDefault="00144459" w:rsidP="00F61DA3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21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32D13" w14:textId="51419A5F" w:rsidR="00144459" w:rsidRPr="00D41D9A" w:rsidRDefault="00144459" w:rsidP="00F61DA3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0.939289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50168" w14:textId="1B451C70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0.049367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39B8C" w14:textId="726F21B0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0.088526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2F623" w14:textId="530D4D88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0.024374</w:t>
            </w:r>
          </w:p>
        </w:tc>
      </w:tr>
      <w:tr w:rsidR="00144459" w:rsidRPr="00D41D9A" w14:paraId="33082CA8" w14:textId="77777777" w:rsidTr="00F61DA3">
        <w:trPr>
          <w:trHeight w:val="297"/>
        </w:trPr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83E0B" w14:textId="77777777" w:rsidR="00144459" w:rsidRPr="00D41D9A" w:rsidRDefault="00144459" w:rsidP="00F61DA3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β</w:t>
            </w:r>
            <w:r>
              <w:rPr>
                <w:rFonts w:cstheme="minorHAnsi"/>
                <w:vertAlign w:val="subscript"/>
              </w:rPr>
              <w:t>21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10A8E" w14:textId="2C0877ED" w:rsidR="00144459" w:rsidRPr="00D41D9A" w:rsidRDefault="00144459" w:rsidP="00F61DA3">
            <w:pPr>
              <w:spacing w:after="0" w:line="240" w:lineRule="auto"/>
              <w:rPr>
                <w:rFonts w:ascii="Noto Sans" w:eastAsia="Times New Roman" w:hAnsi="Noto Sans" w:cs="Noto Sans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0.053873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ECC45" w14:textId="42CC5AFC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0.029199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F2F02" w14:textId="626861B3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0.888083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B458D" w14:textId="10D5C29F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0.031312</w:t>
            </w:r>
          </w:p>
        </w:tc>
      </w:tr>
      <w:tr w:rsidR="00144459" w:rsidRPr="00D41D9A" w14:paraId="6AC83ECF" w14:textId="77777777" w:rsidTr="00F61DA3">
        <w:trPr>
          <w:trHeight w:val="297"/>
        </w:trPr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A5FB60" w14:textId="77777777" w:rsidR="00144459" w:rsidRPr="00D41D9A" w:rsidRDefault="00144459" w:rsidP="00F61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theme="minorHAnsi"/>
              </w:rPr>
              <w:t>γ</w:t>
            </w:r>
            <w:r>
              <w:rPr>
                <w:vertAlign w:val="subscript"/>
              </w:rPr>
              <w:t>30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9839F" w14:textId="34682A0F" w:rsidR="00144459" w:rsidRPr="00D41D9A" w:rsidRDefault="00144459" w:rsidP="00F61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0.000165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B13E6" w14:textId="0DBF1275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72DAD" w14:textId="0D656993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4.48E-05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03EDB" w14:textId="5719BD18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0.000115</w:t>
            </w:r>
          </w:p>
        </w:tc>
      </w:tr>
      <w:tr w:rsidR="00144459" w:rsidRPr="00D41D9A" w14:paraId="49A3EE39" w14:textId="77777777" w:rsidTr="00F61DA3">
        <w:trPr>
          <w:trHeight w:val="297"/>
        </w:trPr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E7094" w14:textId="77777777" w:rsidR="00144459" w:rsidRPr="00D41D9A" w:rsidRDefault="00144459" w:rsidP="00F61DA3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30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1AE76" w14:textId="3D27A9DF" w:rsidR="00144459" w:rsidRPr="00D41D9A" w:rsidRDefault="00144459" w:rsidP="00F61DA3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1.63E-06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ED6C3" w14:textId="3A6A73F9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9.34E-07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1ADE9" w14:textId="46E2F8D6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3.83E-07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9B0E4" w14:textId="695DBD5F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1.88E-07</w:t>
            </w:r>
          </w:p>
        </w:tc>
      </w:tr>
      <w:tr w:rsidR="00144459" w:rsidRPr="00D41D9A" w14:paraId="1B822F9C" w14:textId="77777777" w:rsidTr="00F61DA3">
        <w:trPr>
          <w:trHeight w:val="297"/>
        </w:trPr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F6E0EB" w14:textId="77777777" w:rsidR="00144459" w:rsidRPr="00D41D9A" w:rsidRDefault="00144459" w:rsidP="00F61DA3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α</w:t>
            </w:r>
            <w:r>
              <w:rPr>
                <w:rFonts w:cstheme="minorHAnsi"/>
                <w:vertAlign w:val="subscript"/>
              </w:rPr>
              <w:t>31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F538B" w14:textId="30310079" w:rsidR="00144459" w:rsidRPr="00D41D9A" w:rsidRDefault="00144459" w:rsidP="00F61DA3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0.839876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4A980" w14:textId="0F30B4ED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0.073746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78191" w14:textId="706DD6C8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0.093789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2916F" w14:textId="5DF5345C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0.019622</w:t>
            </w:r>
          </w:p>
        </w:tc>
      </w:tr>
      <w:tr w:rsidR="00144459" w:rsidRPr="00D41D9A" w14:paraId="54120AD5" w14:textId="77777777" w:rsidTr="00F61DA3">
        <w:trPr>
          <w:trHeight w:val="297"/>
        </w:trPr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6936CE" w14:textId="77777777" w:rsidR="00144459" w:rsidRPr="00D41D9A" w:rsidRDefault="00144459" w:rsidP="00F61DA3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β</w:t>
            </w:r>
            <w:r>
              <w:rPr>
                <w:rFonts w:cstheme="minorHAnsi"/>
                <w:vertAlign w:val="subscript"/>
              </w:rPr>
              <w:t>31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87373" w14:textId="53F1D10E" w:rsidR="00144459" w:rsidRPr="00D41D9A" w:rsidRDefault="00144459" w:rsidP="00F61DA3">
            <w:pPr>
              <w:spacing w:after="0" w:line="240" w:lineRule="auto"/>
              <w:rPr>
                <w:rFonts w:ascii="Noto Sans" w:eastAsia="Times New Roman" w:hAnsi="Noto Sans" w:cs="Noto Sans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0.015425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1CAF0" w14:textId="05F0E191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0.076719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30997" w14:textId="033E6BBA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0.889839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3CCBB" w14:textId="767952B1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0.022511</w:t>
            </w:r>
          </w:p>
        </w:tc>
      </w:tr>
      <w:tr w:rsidR="00144459" w:rsidRPr="00D41D9A" w14:paraId="2594C785" w14:textId="77777777" w:rsidTr="00F61DA3">
        <w:trPr>
          <w:trHeight w:val="297"/>
        </w:trPr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36729B" w14:textId="4854042B" w:rsidR="00144459" w:rsidRPr="00D41D9A" w:rsidRDefault="00144459" w:rsidP="00F61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1D9A">
              <w:rPr>
                <w:rFonts w:ascii="Calibri" w:eastAsia="Times New Roman" w:hAnsi="Calibri" w:cs="Calibri"/>
                <w:color w:val="282828"/>
                <w:sz w:val="24"/>
                <w:szCs w:val="24"/>
              </w:rPr>
              <w:t>ζ</w:t>
            </w:r>
            <w:r>
              <w:rPr>
                <w:rFonts w:ascii="Calibri" w:eastAsia="Times New Roman" w:hAnsi="Calibri" w:cs="Calibri"/>
                <w:color w:val="282828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78D5B" w14:textId="01EB14D3" w:rsidR="00144459" w:rsidRPr="00D41D9A" w:rsidRDefault="00144459" w:rsidP="00F61D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0.01632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6CF39" w14:textId="09D95FBA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0.006084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89E97" w14:textId="322078A5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0.021476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8DB60" w14:textId="68B09E34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0.006594</w:t>
            </w:r>
          </w:p>
        </w:tc>
      </w:tr>
      <w:tr w:rsidR="00144459" w:rsidRPr="00D41D9A" w14:paraId="7A689477" w14:textId="77777777" w:rsidTr="00F61DA3">
        <w:trPr>
          <w:trHeight w:val="297"/>
        </w:trPr>
        <w:tc>
          <w:tcPr>
            <w:tcW w:w="1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B70465" w14:textId="05D6E137" w:rsidR="00144459" w:rsidRPr="00D41D9A" w:rsidRDefault="00144459" w:rsidP="00F61DA3">
            <w:pPr>
              <w:rPr>
                <w:rFonts w:cstheme="minorHAnsi"/>
                <w:vertAlign w:val="subscript"/>
              </w:rPr>
            </w:pPr>
            <w:r>
              <w:rPr>
                <w:rFonts w:ascii="Calibri" w:eastAsia="Times New Roman" w:hAnsi="Calibri" w:cs="Calibri"/>
                <w:color w:val="282828"/>
                <w:sz w:val="24"/>
                <w:szCs w:val="24"/>
              </w:rPr>
              <w:t>θ</w:t>
            </w:r>
            <w:r>
              <w:rPr>
                <w:rFonts w:ascii="Calibri" w:eastAsia="Times New Roman" w:hAnsi="Calibri" w:cs="Calibri"/>
                <w:color w:val="282828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070AF" w14:textId="164A1D96" w:rsidR="00144459" w:rsidRPr="00D41D9A" w:rsidRDefault="00144459" w:rsidP="00F61DA3">
            <w:pPr>
              <w:spacing w:after="0" w:line="240" w:lineRule="auto"/>
              <w:rPr>
                <w:rFonts w:ascii="Arial" w:eastAsia="Times New Roman" w:hAnsi="Arial" w:cs="Arial"/>
                <w:color w:val="282828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0.966576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FA2D3" w14:textId="0BDF0725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0.015665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62370" w14:textId="7FA247F1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A4EAA" w14:textId="42A2D731" w:rsidR="00144459" w:rsidRPr="00D41D9A" w:rsidRDefault="00144459" w:rsidP="00F61D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0.012673</w:t>
            </w:r>
          </w:p>
        </w:tc>
      </w:tr>
      <w:bookmarkEnd w:id="1"/>
    </w:tbl>
    <w:p w14:paraId="18C116CD" w14:textId="3FABC8CF" w:rsidR="00217916" w:rsidRDefault="00217916" w:rsidP="00D41D9A"/>
    <w:p w14:paraId="3C4390A1" w14:textId="07104BC1" w:rsidR="00DC7F9D" w:rsidRDefault="00DC7F9D" w:rsidP="00D41D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253"/>
        <w:gridCol w:w="1317"/>
        <w:gridCol w:w="1253"/>
        <w:gridCol w:w="1463"/>
        <w:gridCol w:w="1253"/>
        <w:gridCol w:w="1253"/>
      </w:tblGrid>
      <w:tr w:rsidR="00DC7F9D" w:rsidRPr="00DC7F9D" w14:paraId="240DD931" w14:textId="77777777" w:rsidTr="00DC7F9D">
        <w:trPr>
          <w:trHeight w:val="315"/>
        </w:trPr>
        <w:tc>
          <w:tcPr>
            <w:tcW w:w="1880" w:type="dxa"/>
            <w:noWrap/>
            <w:hideMark/>
          </w:tcPr>
          <w:p w14:paraId="17565048" w14:textId="77777777" w:rsidR="00DC7F9D" w:rsidRPr="00DC7F9D" w:rsidRDefault="00DC7F9D">
            <w:r w:rsidRPr="00DC7F9D">
              <w:t>Assets</w:t>
            </w:r>
          </w:p>
        </w:tc>
        <w:tc>
          <w:tcPr>
            <w:tcW w:w="1500" w:type="dxa"/>
            <w:noWrap/>
            <w:hideMark/>
          </w:tcPr>
          <w:p w14:paraId="655291AD" w14:textId="77777777" w:rsidR="00DC7F9D" w:rsidRPr="00DC7F9D" w:rsidRDefault="00DC7F9D">
            <w:r w:rsidRPr="00DC7F9D">
              <w:t>Mean x 10^2</w:t>
            </w:r>
          </w:p>
        </w:tc>
        <w:tc>
          <w:tcPr>
            <w:tcW w:w="1580" w:type="dxa"/>
            <w:noWrap/>
            <w:hideMark/>
          </w:tcPr>
          <w:p w14:paraId="2BAB8A8B" w14:textId="77777777" w:rsidR="00DC7F9D" w:rsidRPr="00DC7F9D" w:rsidRDefault="00DC7F9D">
            <w:r w:rsidRPr="00DC7F9D">
              <w:t>Minimum</w:t>
            </w:r>
          </w:p>
        </w:tc>
        <w:tc>
          <w:tcPr>
            <w:tcW w:w="1500" w:type="dxa"/>
            <w:noWrap/>
            <w:hideMark/>
          </w:tcPr>
          <w:p w14:paraId="6EEEB12A" w14:textId="77777777" w:rsidR="00DC7F9D" w:rsidRPr="00DC7F9D" w:rsidRDefault="00DC7F9D">
            <w:r w:rsidRPr="00DC7F9D">
              <w:t>Maximum</w:t>
            </w:r>
          </w:p>
        </w:tc>
        <w:tc>
          <w:tcPr>
            <w:tcW w:w="1760" w:type="dxa"/>
            <w:noWrap/>
            <w:hideMark/>
          </w:tcPr>
          <w:p w14:paraId="560F7AB6" w14:textId="77777777" w:rsidR="00DC7F9D" w:rsidRPr="00DC7F9D" w:rsidRDefault="00DC7F9D">
            <w:r w:rsidRPr="00DC7F9D">
              <w:t>Standard Deviation</w:t>
            </w:r>
          </w:p>
        </w:tc>
        <w:tc>
          <w:tcPr>
            <w:tcW w:w="1500" w:type="dxa"/>
            <w:noWrap/>
            <w:hideMark/>
          </w:tcPr>
          <w:p w14:paraId="2AE38C08" w14:textId="77777777" w:rsidR="00DC7F9D" w:rsidRPr="00DC7F9D" w:rsidRDefault="00DC7F9D">
            <w:r w:rsidRPr="00DC7F9D">
              <w:t>Skewness</w:t>
            </w:r>
          </w:p>
        </w:tc>
        <w:tc>
          <w:tcPr>
            <w:tcW w:w="1500" w:type="dxa"/>
            <w:noWrap/>
            <w:hideMark/>
          </w:tcPr>
          <w:p w14:paraId="767FE8AB" w14:textId="77777777" w:rsidR="00DC7F9D" w:rsidRPr="00DC7F9D" w:rsidRDefault="00DC7F9D">
            <w:r w:rsidRPr="00DC7F9D">
              <w:t>Kurtosis</w:t>
            </w:r>
          </w:p>
        </w:tc>
      </w:tr>
      <w:tr w:rsidR="00DC7F9D" w:rsidRPr="00DC7F9D" w14:paraId="28B3AC47" w14:textId="77777777" w:rsidTr="00DC7F9D">
        <w:trPr>
          <w:trHeight w:val="315"/>
        </w:trPr>
        <w:tc>
          <w:tcPr>
            <w:tcW w:w="1880" w:type="dxa"/>
            <w:noWrap/>
            <w:hideMark/>
          </w:tcPr>
          <w:p w14:paraId="4251E406" w14:textId="77777777" w:rsidR="00DC7F9D" w:rsidRPr="00DC7F9D" w:rsidRDefault="00DC7F9D">
            <w:r w:rsidRPr="00DC7F9D">
              <w:t>Currency Rates</w:t>
            </w:r>
          </w:p>
        </w:tc>
        <w:tc>
          <w:tcPr>
            <w:tcW w:w="1500" w:type="dxa"/>
            <w:noWrap/>
            <w:hideMark/>
          </w:tcPr>
          <w:p w14:paraId="5AA58EFF" w14:textId="77777777" w:rsidR="00DC7F9D" w:rsidRPr="00DC7F9D" w:rsidRDefault="00DC7F9D"/>
        </w:tc>
        <w:tc>
          <w:tcPr>
            <w:tcW w:w="1580" w:type="dxa"/>
            <w:noWrap/>
            <w:hideMark/>
          </w:tcPr>
          <w:p w14:paraId="1C6BBE28" w14:textId="77777777" w:rsidR="00DC7F9D" w:rsidRPr="00DC7F9D" w:rsidRDefault="00DC7F9D"/>
        </w:tc>
        <w:tc>
          <w:tcPr>
            <w:tcW w:w="1500" w:type="dxa"/>
            <w:noWrap/>
            <w:hideMark/>
          </w:tcPr>
          <w:p w14:paraId="6C6ABF1F" w14:textId="77777777" w:rsidR="00DC7F9D" w:rsidRPr="00DC7F9D" w:rsidRDefault="00DC7F9D"/>
        </w:tc>
        <w:tc>
          <w:tcPr>
            <w:tcW w:w="1760" w:type="dxa"/>
            <w:noWrap/>
            <w:hideMark/>
          </w:tcPr>
          <w:p w14:paraId="56330A1D" w14:textId="77777777" w:rsidR="00DC7F9D" w:rsidRPr="00DC7F9D" w:rsidRDefault="00DC7F9D"/>
        </w:tc>
        <w:tc>
          <w:tcPr>
            <w:tcW w:w="1500" w:type="dxa"/>
            <w:noWrap/>
            <w:hideMark/>
          </w:tcPr>
          <w:p w14:paraId="7F17CC21" w14:textId="77777777" w:rsidR="00DC7F9D" w:rsidRPr="00DC7F9D" w:rsidRDefault="00DC7F9D"/>
        </w:tc>
        <w:tc>
          <w:tcPr>
            <w:tcW w:w="1500" w:type="dxa"/>
            <w:noWrap/>
            <w:hideMark/>
          </w:tcPr>
          <w:p w14:paraId="4EFF06C6" w14:textId="77777777" w:rsidR="00DC7F9D" w:rsidRPr="00DC7F9D" w:rsidRDefault="00DC7F9D"/>
        </w:tc>
      </w:tr>
      <w:tr w:rsidR="00DC7F9D" w:rsidRPr="00DC7F9D" w14:paraId="7CF3277A" w14:textId="77777777" w:rsidTr="00DC7F9D">
        <w:trPr>
          <w:trHeight w:val="315"/>
        </w:trPr>
        <w:tc>
          <w:tcPr>
            <w:tcW w:w="1880" w:type="dxa"/>
            <w:noWrap/>
            <w:hideMark/>
          </w:tcPr>
          <w:p w14:paraId="0FE4EB2D" w14:textId="77777777" w:rsidR="00DC7F9D" w:rsidRPr="00DC7F9D" w:rsidRDefault="00DC7F9D">
            <w:r w:rsidRPr="00DC7F9D">
              <w:t>EUR/INR</w:t>
            </w:r>
          </w:p>
        </w:tc>
        <w:tc>
          <w:tcPr>
            <w:tcW w:w="1500" w:type="dxa"/>
            <w:noWrap/>
            <w:hideMark/>
          </w:tcPr>
          <w:p w14:paraId="5C1EC67B" w14:textId="77777777" w:rsidR="00DC7F9D" w:rsidRPr="00DC7F9D" w:rsidRDefault="00DC7F9D" w:rsidP="00DC7F9D">
            <w:r w:rsidRPr="00DC7F9D">
              <w:t>0.0145</w:t>
            </w:r>
          </w:p>
        </w:tc>
        <w:tc>
          <w:tcPr>
            <w:tcW w:w="1580" w:type="dxa"/>
            <w:noWrap/>
            <w:hideMark/>
          </w:tcPr>
          <w:p w14:paraId="23B1522C" w14:textId="77777777" w:rsidR="00DC7F9D" w:rsidRPr="00DC7F9D" w:rsidRDefault="00DC7F9D" w:rsidP="00DC7F9D">
            <w:r w:rsidRPr="00DC7F9D">
              <w:t>-0.0250</w:t>
            </w:r>
          </w:p>
        </w:tc>
        <w:tc>
          <w:tcPr>
            <w:tcW w:w="1500" w:type="dxa"/>
            <w:noWrap/>
            <w:hideMark/>
          </w:tcPr>
          <w:p w14:paraId="64AA34A1" w14:textId="77777777" w:rsidR="00DC7F9D" w:rsidRPr="00DC7F9D" w:rsidRDefault="00DC7F9D" w:rsidP="00DC7F9D">
            <w:r w:rsidRPr="00DC7F9D">
              <w:t>0.0281</w:t>
            </w:r>
          </w:p>
        </w:tc>
        <w:tc>
          <w:tcPr>
            <w:tcW w:w="1760" w:type="dxa"/>
            <w:noWrap/>
            <w:hideMark/>
          </w:tcPr>
          <w:p w14:paraId="70B1EBBD" w14:textId="77777777" w:rsidR="00DC7F9D" w:rsidRPr="00DC7F9D" w:rsidRDefault="00DC7F9D" w:rsidP="00DC7F9D">
            <w:r w:rsidRPr="00DC7F9D">
              <w:t>0.0052</w:t>
            </w:r>
          </w:p>
        </w:tc>
        <w:tc>
          <w:tcPr>
            <w:tcW w:w="1500" w:type="dxa"/>
            <w:noWrap/>
            <w:hideMark/>
          </w:tcPr>
          <w:p w14:paraId="74AD9709" w14:textId="77777777" w:rsidR="00DC7F9D" w:rsidRPr="00DC7F9D" w:rsidRDefault="00DC7F9D" w:rsidP="00DC7F9D">
            <w:r w:rsidRPr="00DC7F9D">
              <w:t>0.2359</w:t>
            </w:r>
          </w:p>
        </w:tc>
        <w:tc>
          <w:tcPr>
            <w:tcW w:w="1500" w:type="dxa"/>
            <w:noWrap/>
            <w:hideMark/>
          </w:tcPr>
          <w:p w14:paraId="42882B55" w14:textId="77777777" w:rsidR="00DC7F9D" w:rsidRPr="00DC7F9D" w:rsidRDefault="00DC7F9D" w:rsidP="00DC7F9D">
            <w:r w:rsidRPr="00DC7F9D">
              <w:t>5.7742</w:t>
            </w:r>
          </w:p>
        </w:tc>
      </w:tr>
      <w:tr w:rsidR="00DC7F9D" w:rsidRPr="00DC7F9D" w14:paraId="18583F8F" w14:textId="77777777" w:rsidTr="00DC7F9D">
        <w:trPr>
          <w:trHeight w:val="315"/>
        </w:trPr>
        <w:tc>
          <w:tcPr>
            <w:tcW w:w="1880" w:type="dxa"/>
            <w:noWrap/>
            <w:hideMark/>
          </w:tcPr>
          <w:p w14:paraId="173E7E17" w14:textId="77777777" w:rsidR="00DC7F9D" w:rsidRPr="00DC7F9D" w:rsidRDefault="00DC7F9D">
            <w:r w:rsidRPr="00DC7F9D">
              <w:t>USD/INR</w:t>
            </w:r>
          </w:p>
        </w:tc>
        <w:tc>
          <w:tcPr>
            <w:tcW w:w="1500" w:type="dxa"/>
            <w:noWrap/>
            <w:hideMark/>
          </w:tcPr>
          <w:p w14:paraId="5377FB1E" w14:textId="77777777" w:rsidR="00DC7F9D" w:rsidRPr="00DC7F9D" w:rsidRDefault="00DC7F9D" w:rsidP="00DC7F9D">
            <w:r w:rsidRPr="00DC7F9D">
              <w:t>0.0179</w:t>
            </w:r>
          </w:p>
        </w:tc>
        <w:tc>
          <w:tcPr>
            <w:tcW w:w="1580" w:type="dxa"/>
            <w:noWrap/>
            <w:hideMark/>
          </w:tcPr>
          <w:p w14:paraId="3CE981AB" w14:textId="77777777" w:rsidR="00DC7F9D" w:rsidRPr="00DC7F9D" w:rsidRDefault="00DC7F9D" w:rsidP="00DC7F9D">
            <w:r w:rsidRPr="00DC7F9D">
              <w:t>-0.0432</w:t>
            </w:r>
          </w:p>
        </w:tc>
        <w:tc>
          <w:tcPr>
            <w:tcW w:w="1500" w:type="dxa"/>
            <w:noWrap/>
            <w:hideMark/>
          </w:tcPr>
          <w:p w14:paraId="652059CE" w14:textId="77777777" w:rsidR="00DC7F9D" w:rsidRPr="00DC7F9D" w:rsidRDefault="00DC7F9D" w:rsidP="00DC7F9D">
            <w:r w:rsidRPr="00DC7F9D">
              <w:t>0.0272</w:t>
            </w:r>
          </w:p>
        </w:tc>
        <w:tc>
          <w:tcPr>
            <w:tcW w:w="1760" w:type="dxa"/>
            <w:noWrap/>
            <w:hideMark/>
          </w:tcPr>
          <w:p w14:paraId="25222820" w14:textId="77777777" w:rsidR="00DC7F9D" w:rsidRPr="00DC7F9D" w:rsidRDefault="00DC7F9D" w:rsidP="00DC7F9D">
            <w:r w:rsidRPr="00DC7F9D">
              <w:t>0.0064</w:t>
            </w:r>
          </w:p>
        </w:tc>
        <w:tc>
          <w:tcPr>
            <w:tcW w:w="1500" w:type="dxa"/>
            <w:noWrap/>
            <w:hideMark/>
          </w:tcPr>
          <w:p w14:paraId="2A6A29DE" w14:textId="77777777" w:rsidR="00DC7F9D" w:rsidRPr="00DC7F9D" w:rsidRDefault="00DC7F9D" w:rsidP="00DC7F9D">
            <w:r w:rsidRPr="00DC7F9D">
              <w:t>-0.3165</w:t>
            </w:r>
          </w:p>
        </w:tc>
        <w:tc>
          <w:tcPr>
            <w:tcW w:w="1500" w:type="dxa"/>
            <w:noWrap/>
            <w:hideMark/>
          </w:tcPr>
          <w:p w14:paraId="45D5061C" w14:textId="77777777" w:rsidR="00DC7F9D" w:rsidRPr="00DC7F9D" w:rsidRDefault="00DC7F9D" w:rsidP="00DC7F9D">
            <w:r w:rsidRPr="00DC7F9D">
              <w:t>7.4323</w:t>
            </w:r>
          </w:p>
        </w:tc>
      </w:tr>
      <w:tr w:rsidR="00DC7F9D" w:rsidRPr="00DC7F9D" w14:paraId="415F355A" w14:textId="77777777" w:rsidTr="00DC7F9D">
        <w:trPr>
          <w:trHeight w:val="315"/>
        </w:trPr>
        <w:tc>
          <w:tcPr>
            <w:tcW w:w="1880" w:type="dxa"/>
            <w:noWrap/>
            <w:hideMark/>
          </w:tcPr>
          <w:p w14:paraId="0C8B0D32" w14:textId="77777777" w:rsidR="00DC7F9D" w:rsidRPr="00DC7F9D" w:rsidRDefault="00DC7F9D">
            <w:r w:rsidRPr="00DC7F9D">
              <w:t>GBP/INR</w:t>
            </w:r>
          </w:p>
        </w:tc>
        <w:tc>
          <w:tcPr>
            <w:tcW w:w="1500" w:type="dxa"/>
            <w:noWrap/>
            <w:hideMark/>
          </w:tcPr>
          <w:p w14:paraId="4D85EC23" w14:textId="77777777" w:rsidR="00DC7F9D" w:rsidRPr="00DC7F9D" w:rsidRDefault="00DC7F9D" w:rsidP="00DC7F9D">
            <w:r w:rsidRPr="00DC7F9D">
              <w:t>0.0159</w:t>
            </w:r>
          </w:p>
        </w:tc>
        <w:tc>
          <w:tcPr>
            <w:tcW w:w="1580" w:type="dxa"/>
            <w:noWrap/>
            <w:hideMark/>
          </w:tcPr>
          <w:p w14:paraId="25C0E4AA" w14:textId="77777777" w:rsidR="00DC7F9D" w:rsidRPr="00DC7F9D" w:rsidRDefault="00DC7F9D" w:rsidP="00DC7F9D">
            <w:r w:rsidRPr="00DC7F9D">
              <w:t>-0.0187</w:t>
            </w:r>
          </w:p>
        </w:tc>
        <w:tc>
          <w:tcPr>
            <w:tcW w:w="1500" w:type="dxa"/>
            <w:noWrap/>
            <w:hideMark/>
          </w:tcPr>
          <w:p w14:paraId="74112173" w14:textId="77777777" w:rsidR="00DC7F9D" w:rsidRPr="00DC7F9D" w:rsidRDefault="00DC7F9D" w:rsidP="00DC7F9D">
            <w:r w:rsidRPr="00DC7F9D">
              <w:t>0.0294</w:t>
            </w:r>
          </w:p>
        </w:tc>
        <w:tc>
          <w:tcPr>
            <w:tcW w:w="1760" w:type="dxa"/>
            <w:noWrap/>
            <w:hideMark/>
          </w:tcPr>
          <w:p w14:paraId="503D34DC" w14:textId="77777777" w:rsidR="00DC7F9D" w:rsidRPr="00DC7F9D" w:rsidRDefault="00DC7F9D" w:rsidP="00DC7F9D">
            <w:r w:rsidRPr="00DC7F9D">
              <w:t>0.0047</w:t>
            </w:r>
          </w:p>
        </w:tc>
        <w:tc>
          <w:tcPr>
            <w:tcW w:w="1500" w:type="dxa"/>
            <w:noWrap/>
            <w:hideMark/>
          </w:tcPr>
          <w:p w14:paraId="5721ADF8" w14:textId="77777777" w:rsidR="00DC7F9D" w:rsidRPr="00DC7F9D" w:rsidRDefault="00DC7F9D" w:rsidP="00DC7F9D">
            <w:r w:rsidRPr="00DC7F9D">
              <w:t>0.4297</w:t>
            </w:r>
          </w:p>
        </w:tc>
        <w:tc>
          <w:tcPr>
            <w:tcW w:w="1500" w:type="dxa"/>
            <w:noWrap/>
            <w:hideMark/>
          </w:tcPr>
          <w:p w14:paraId="421BD8F6" w14:textId="77777777" w:rsidR="00DC7F9D" w:rsidRPr="00DC7F9D" w:rsidRDefault="00DC7F9D" w:rsidP="00DC7F9D">
            <w:r w:rsidRPr="00DC7F9D">
              <w:t>6.4103</w:t>
            </w:r>
          </w:p>
        </w:tc>
      </w:tr>
      <w:tr w:rsidR="00DC7F9D" w:rsidRPr="00DC7F9D" w14:paraId="4BEF6B3B" w14:textId="77777777" w:rsidTr="00DC7F9D">
        <w:trPr>
          <w:trHeight w:val="315"/>
        </w:trPr>
        <w:tc>
          <w:tcPr>
            <w:tcW w:w="1880" w:type="dxa"/>
            <w:noWrap/>
            <w:hideMark/>
          </w:tcPr>
          <w:p w14:paraId="7C8E8B51" w14:textId="77777777" w:rsidR="00DC7F9D" w:rsidRPr="00DC7F9D" w:rsidRDefault="00DC7F9D">
            <w:proofErr w:type="spellStart"/>
            <w:r w:rsidRPr="00DC7F9D">
              <w:t>MidCap</w:t>
            </w:r>
            <w:proofErr w:type="spellEnd"/>
          </w:p>
        </w:tc>
        <w:tc>
          <w:tcPr>
            <w:tcW w:w="1500" w:type="dxa"/>
            <w:noWrap/>
            <w:hideMark/>
          </w:tcPr>
          <w:p w14:paraId="0383A987" w14:textId="77777777" w:rsidR="00DC7F9D" w:rsidRPr="00DC7F9D" w:rsidRDefault="00DC7F9D"/>
        </w:tc>
        <w:tc>
          <w:tcPr>
            <w:tcW w:w="1580" w:type="dxa"/>
            <w:noWrap/>
            <w:hideMark/>
          </w:tcPr>
          <w:p w14:paraId="6D0B4056" w14:textId="77777777" w:rsidR="00DC7F9D" w:rsidRPr="00DC7F9D" w:rsidRDefault="00DC7F9D"/>
        </w:tc>
        <w:tc>
          <w:tcPr>
            <w:tcW w:w="1500" w:type="dxa"/>
            <w:noWrap/>
            <w:hideMark/>
          </w:tcPr>
          <w:p w14:paraId="63B00818" w14:textId="77777777" w:rsidR="00DC7F9D" w:rsidRPr="00DC7F9D" w:rsidRDefault="00DC7F9D"/>
        </w:tc>
        <w:tc>
          <w:tcPr>
            <w:tcW w:w="1760" w:type="dxa"/>
            <w:noWrap/>
            <w:hideMark/>
          </w:tcPr>
          <w:p w14:paraId="73336D70" w14:textId="77777777" w:rsidR="00DC7F9D" w:rsidRPr="00DC7F9D" w:rsidRDefault="00DC7F9D"/>
        </w:tc>
        <w:tc>
          <w:tcPr>
            <w:tcW w:w="1500" w:type="dxa"/>
            <w:noWrap/>
            <w:hideMark/>
          </w:tcPr>
          <w:p w14:paraId="16FA5109" w14:textId="77777777" w:rsidR="00DC7F9D" w:rsidRPr="00DC7F9D" w:rsidRDefault="00DC7F9D"/>
        </w:tc>
        <w:tc>
          <w:tcPr>
            <w:tcW w:w="1500" w:type="dxa"/>
            <w:noWrap/>
            <w:hideMark/>
          </w:tcPr>
          <w:p w14:paraId="1C0376C0" w14:textId="77777777" w:rsidR="00DC7F9D" w:rsidRPr="00DC7F9D" w:rsidRDefault="00DC7F9D"/>
        </w:tc>
      </w:tr>
      <w:tr w:rsidR="00DC7F9D" w:rsidRPr="00DC7F9D" w14:paraId="63373BFF" w14:textId="77777777" w:rsidTr="00DC7F9D">
        <w:trPr>
          <w:trHeight w:val="315"/>
        </w:trPr>
        <w:tc>
          <w:tcPr>
            <w:tcW w:w="1880" w:type="dxa"/>
            <w:noWrap/>
            <w:hideMark/>
          </w:tcPr>
          <w:p w14:paraId="3AF19B36" w14:textId="77777777" w:rsidR="00DC7F9D" w:rsidRPr="00DC7F9D" w:rsidRDefault="00DC7F9D">
            <w:proofErr w:type="spellStart"/>
            <w:r w:rsidRPr="00DC7F9D">
              <w:t>Vinergy</w:t>
            </w:r>
            <w:proofErr w:type="spellEnd"/>
            <w:r w:rsidRPr="00DC7F9D">
              <w:t xml:space="preserve"> Capital Inc</w:t>
            </w:r>
          </w:p>
        </w:tc>
        <w:tc>
          <w:tcPr>
            <w:tcW w:w="1500" w:type="dxa"/>
            <w:noWrap/>
            <w:hideMark/>
          </w:tcPr>
          <w:p w14:paraId="61DC4C38" w14:textId="77777777" w:rsidR="00DC7F9D" w:rsidRPr="00DC7F9D" w:rsidRDefault="00DC7F9D" w:rsidP="00DC7F9D">
            <w:r w:rsidRPr="00DC7F9D">
              <w:t>0.1430</w:t>
            </w:r>
          </w:p>
        </w:tc>
        <w:tc>
          <w:tcPr>
            <w:tcW w:w="1580" w:type="dxa"/>
            <w:noWrap/>
            <w:hideMark/>
          </w:tcPr>
          <w:p w14:paraId="5B64E5DF" w14:textId="77777777" w:rsidR="00DC7F9D" w:rsidRPr="00DC7F9D" w:rsidRDefault="00DC7F9D" w:rsidP="00DC7F9D">
            <w:r w:rsidRPr="00DC7F9D">
              <w:t>-0.1313</w:t>
            </w:r>
          </w:p>
        </w:tc>
        <w:tc>
          <w:tcPr>
            <w:tcW w:w="1500" w:type="dxa"/>
            <w:noWrap/>
            <w:hideMark/>
          </w:tcPr>
          <w:p w14:paraId="48D37A92" w14:textId="77777777" w:rsidR="00DC7F9D" w:rsidRPr="00DC7F9D" w:rsidRDefault="00DC7F9D" w:rsidP="00DC7F9D">
            <w:r w:rsidRPr="00DC7F9D">
              <w:t>0.1733</w:t>
            </w:r>
          </w:p>
        </w:tc>
        <w:tc>
          <w:tcPr>
            <w:tcW w:w="1760" w:type="dxa"/>
            <w:noWrap/>
            <w:hideMark/>
          </w:tcPr>
          <w:p w14:paraId="741215B7" w14:textId="77777777" w:rsidR="00DC7F9D" w:rsidRPr="00DC7F9D" w:rsidRDefault="00DC7F9D" w:rsidP="00DC7F9D">
            <w:r w:rsidRPr="00DC7F9D">
              <w:t>0.0246</w:t>
            </w:r>
          </w:p>
        </w:tc>
        <w:tc>
          <w:tcPr>
            <w:tcW w:w="1500" w:type="dxa"/>
            <w:noWrap/>
            <w:hideMark/>
          </w:tcPr>
          <w:p w14:paraId="74D81626" w14:textId="77777777" w:rsidR="00DC7F9D" w:rsidRPr="00DC7F9D" w:rsidRDefault="00DC7F9D" w:rsidP="00DC7F9D">
            <w:r w:rsidRPr="00DC7F9D">
              <w:t>0.5355</w:t>
            </w:r>
          </w:p>
        </w:tc>
        <w:tc>
          <w:tcPr>
            <w:tcW w:w="1500" w:type="dxa"/>
            <w:noWrap/>
            <w:hideMark/>
          </w:tcPr>
          <w:p w14:paraId="20D695A2" w14:textId="77777777" w:rsidR="00DC7F9D" w:rsidRPr="00DC7F9D" w:rsidRDefault="00DC7F9D" w:rsidP="00DC7F9D">
            <w:r w:rsidRPr="00DC7F9D">
              <w:t>9.0398</w:t>
            </w:r>
          </w:p>
        </w:tc>
      </w:tr>
      <w:tr w:rsidR="00DC7F9D" w:rsidRPr="00DC7F9D" w14:paraId="7D2D341A" w14:textId="77777777" w:rsidTr="00DC7F9D">
        <w:trPr>
          <w:trHeight w:val="315"/>
        </w:trPr>
        <w:tc>
          <w:tcPr>
            <w:tcW w:w="1880" w:type="dxa"/>
            <w:noWrap/>
            <w:hideMark/>
          </w:tcPr>
          <w:p w14:paraId="59057ECD" w14:textId="77777777" w:rsidR="00DC7F9D" w:rsidRPr="00DC7F9D" w:rsidRDefault="00DC7F9D">
            <w:proofErr w:type="spellStart"/>
            <w:r w:rsidRPr="00DC7F9D">
              <w:t>Tanla</w:t>
            </w:r>
            <w:proofErr w:type="spellEnd"/>
            <w:r w:rsidRPr="00DC7F9D">
              <w:t xml:space="preserve"> Platforms Ltd</w:t>
            </w:r>
          </w:p>
        </w:tc>
        <w:tc>
          <w:tcPr>
            <w:tcW w:w="1500" w:type="dxa"/>
            <w:noWrap/>
            <w:hideMark/>
          </w:tcPr>
          <w:p w14:paraId="42DE5E28" w14:textId="77777777" w:rsidR="00DC7F9D" w:rsidRPr="00DC7F9D" w:rsidRDefault="00DC7F9D" w:rsidP="00DC7F9D">
            <w:r w:rsidRPr="00DC7F9D">
              <w:t>0.3614</w:t>
            </w:r>
          </w:p>
        </w:tc>
        <w:tc>
          <w:tcPr>
            <w:tcW w:w="1580" w:type="dxa"/>
            <w:noWrap/>
            <w:hideMark/>
          </w:tcPr>
          <w:p w14:paraId="67CEFCA5" w14:textId="77777777" w:rsidR="00DC7F9D" w:rsidRPr="00DC7F9D" w:rsidRDefault="00DC7F9D" w:rsidP="00DC7F9D">
            <w:r w:rsidRPr="00DC7F9D">
              <w:t>-0.1047</w:t>
            </w:r>
          </w:p>
        </w:tc>
        <w:tc>
          <w:tcPr>
            <w:tcW w:w="1500" w:type="dxa"/>
            <w:noWrap/>
            <w:hideMark/>
          </w:tcPr>
          <w:p w14:paraId="0ABF3729" w14:textId="77777777" w:rsidR="00DC7F9D" w:rsidRPr="00DC7F9D" w:rsidRDefault="00DC7F9D" w:rsidP="00DC7F9D">
            <w:r w:rsidRPr="00DC7F9D">
              <w:t>0.1360</w:t>
            </w:r>
          </w:p>
        </w:tc>
        <w:tc>
          <w:tcPr>
            <w:tcW w:w="1760" w:type="dxa"/>
            <w:noWrap/>
            <w:hideMark/>
          </w:tcPr>
          <w:p w14:paraId="64B3E4FA" w14:textId="77777777" w:rsidR="00DC7F9D" w:rsidRPr="00DC7F9D" w:rsidRDefault="00DC7F9D" w:rsidP="00DC7F9D">
            <w:r w:rsidRPr="00DC7F9D">
              <w:t>0.0332</w:t>
            </w:r>
          </w:p>
        </w:tc>
        <w:tc>
          <w:tcPr>
            <w:tcW w:w="1500" w:type="dxa"/>
            <w:noWrap/>
            <w:hideMark/>
          </w:tcPr>
          <w:p w14:paraId="646436CA" w14:textId="77777777" w:rsidR="00DC7F9D" w:rsidRPr="00DC7F9D" w:rsidRDefault="00DC7F9D" w:rsidP="00DC7F9D">
            <w:r w:rsidRPr="00DC7F9D">
              <w:t>0.1724</w:t>
            </w:r>
          </w:p>
        </w:tc>
        <w:tc>
          <w:tcPr>
            <w:tcW w:w="1500" w:type="dxa"/>
            <w:noWrap/>
            <w:hideMark/>
          </w:tcPr>
          <w:p w14:paraId="7396D9C4" w14:textId="77777777" w:rsidR="00DC7F9D" w:rsidRPr="00DC7F9D" w:rsidRDefault="00DC7F9D" w:rsidP="00DC7F9D">
            <w:r w:rsidRPr="00DC7F9D">
              <w:t>2.8126</w:t>
            </w:r>
          </w:p>
        </w:tc>
      </w:tr>
      <w:tr w:rsidR="00DC7F9D" w:rsidRPr="00DC7F9D" w14:paraId="00894FB9" w14:textId="77777777" w:rsidTr="00DC7F9D">
        <w:trPr>
          <w:trHeight w:val="315"/>
        </w:trPr>
        <w:tc>
          <w:tcPr>
            <w:tcW w:w="1880" w:type="dxa"/>
            <w:noWrap/>
            <w:hideMark/>
          </w:tcPr>
          <w:p w14:paraId="4A34CC0C" w14:textId="77777777" w:rsidR="00DC7F9D" w:rsidRPr="00DC7F9D" w:rsidRDefault="00DC7F9D">
            <w:r w:rsidRPr="00DC7F9D">
              <w:t>L&amp;T Ltd</w:t>
            </w:r>
          </w:p>
        </w:tc>
        <w:tc>
          <w:tcPr>
            <w:tcW w:w="1500" w:type="dxa"/>
            <w:noWrap/>
            <w:hideMark/>
          </w:tcPr>
          <w:p w14:paraId="6684B2E9" w14:textId="77777777" w:rsidR="00DC7F9D" w:rsidRPr="00DC7F9D" w:rsidRDefault="00DC7F9D" w:rsidP="00DC7F9D">
            <w:r w:rsidRPr="00DC7F9D">
              <w:t>-0.0790</w:t>
            </w:r>
          </w:p>
        </w:tc>
        <w:tc>
          <w:tcPr>
            <w:tcW w:w="1580" w:type="dxa"/>
            <w:noWrap/>
            <w:hideMark/>
          </w:tcPr>
          <w:p w14:paraId="0BD08A96" w14:textId="77777777" w:rsidR="00DC7F9D" w:rsidRPr="00DC7F9D" w:rsidRDefault="00DC7F9D" w:rsidP="00DC7F9D">
            <w:r w:rsidRPr="00DC7F9D">
              <w:t>-0.2042</w:t>
            </w:r>
          </w:p>
        </w:tc>
        <w:tc>
          <w:tcPr>
            <w:tcW w:w="1500" w:type="dxa"/>
            <w:noWrap/>
            <w:hideMark/>
          </w:tcPr>
          <w:p w14:paraId="5A614C38" w14:textId="77777777" w:rsidR="00DC7F9D" w:rsidRPr="00DC7F9D" w:rsidRDefault="00DC7F9D" w:rsidP="00DC7F9D">
            <w:r w:rsidRPr="00DC7F9D">
              <w:t>0.1267</w:t>
            </w:r>
          </w:p>
        </w:tc>
        <w:tc>
          <w:tcPr>
            <w:tcW w:w="1760" w:type="dxa"/>
            <w:noWrap/>
            <w:hideMark/>
          </w:tcPr>
          <w:p w14:paraId="61B5F53B" w14:textId="77777777" w:rsidR="00DC7F9D" w:rsidRPr="00DC7F9D" w:rsidRDefault="00DC7F9D" w:rsidP="00DC7F9D">
            <w:r w:rsidRPr="00DC7F9D">
              <w:t>0.0297</w:t>
            </w:r>
          </w:p>
        </w:tc>
        <w:tc>
          <w:tcPr>
            <w:tcW w:w="1500" w:type="dxa"/>
            <w:noWrap/>
            <w:hideMark/>
          </w:tcPr>
          <w:p w14:paraId="1C8DC010" w14:textId="77777777" w:rsidR="00DC7F9D" w:rsidRPr="00DC7F9D" w:rsidRDefault="00DC7F9D" w:rsidP="00DC7F9D">
            <w:r w:rsidRPr="00DC7F9D">
              <w:t>-0.6504</w:t>
            </w:r>
          </w:p>
        </w:tc>
        <w:tc>
          <w:tcPr>
            <w:tcW w:w="1500" w:type="dxa"/>
            <w:noWrap/>
            <w:hideMark/>
          </w:tcPr>
          <w:p w14:paraId="050DE14F" w14:textId="77777777" w:rsidR="00DC7F9D" w:rsidRPr="00DC7F9D" w:rsidRDefault="00DC7F9D" w:rsidP="00DC7F9D">
            <w:r w:rsidRPr="00DC7F9D">
              <w:t>8.5976</w:t>
            </w:r>
          </w:p>
        </w:tc>
      </w:tr>
      <w:tr w:rsidR="00DC7F9D" w:rsidRPr="00DC7F9D" w14:paraId="2AF5EEB3" w14:textId="77777777" w:rsidTr="00DC7F9D">
        <w:trPr>
          <w:trHeight w:val="315"/>
        </w:trPr>
        <w:tc>
          <w:tcPr>
            <w:tcW w:w="1880" w:type="dxa"/>
            <w:noWrap/>
            <w:hideMark/>
          </w:tcPr>
          <w:p w14:paraId="2EC40C47" w14:textId="77777777" w:rsidR="00DC7F9D" w:rsidRPr="00DC7F9D" w:rsidRDefault="00DC7F9D">
            <w:r w:rsidRPr="00DC7F9D">
              <w:t>Stocks</w:t>
            </w:r>
          </w:p>
        </w:tc>
        <w:tc>
          <w:tcPr>
            <w:tcW w:w="1500" w:type="dxa"/>
            <w:noWrap/>
            <w:hideMark/>
          </w:tcPr>
          <w:p w14:paraId="3217CFBE" w14:textId="77777777" w:rsidR="00DC7F9D" w:rsidRPr="00DC7F9D" w:rsidRDefault="00DC7F9D"/>
        </w:tc>
        <w:tc>
          <w:tcPr>
            <w:tcW w:w="1580" w:type="dxa"/>
            <w:noWrap/>
            <w:hideMark/>
          </w:tcPr>
          <w:p w14:paraId="56898A18" w14:textId="77777777" w:rsidR="00DC7F9D" w:rsidRPr="00DC7F9D" w:rsidRDefault="00DC7F9D"/>
        </w:tc>
        <w:tc>
          <w:tcPr>
            <w:tcW w:w="1500" w:type="dxa"/>
            <w:noWrap/>
            <w:hideMark/>
          </w:tcPr>
          <w:p w14:paraId="7583A9A6" w14:textId="77777777" w:rsidR="00DC7F9D" w:rsidRPr="00DC7F9D" w:rsidRDefault="00DC7F9D"/>
        </w:tc>
        <w:tc>
          <w:tcPr>
            <w:tcW w:w="1760" w:type="dxa"/>
            <w:noWrap/>
            <w:hideMark/>
          </w:tcPr>
          <w:p w14:paraId="57102F41" w14:textId="77777777" w:rsidR="00DC7F9D" w:rsidRPr="00DC7F9D" w:rsidRDefault="00DC7F9D"/>
        </w:tc>
        <w:tc>
          <w:tcPr>
            <w:tcW w:w="1500" w:type="dxa"/>
            <w:noWrap/>
            <w:hideMark/>
          </w:tcPr>
          <w:p w14:paraId="22F1A476" w14:textId="77777777" w:rsidR="00DC7F9D" w:rsidRPr="00DC7F9D" w:rsidRDefault="00DC7F9D"/>
        </w:tc>
        <w:tc>
          <w:tcPr>
            <w:tcW w:w="1500" w:type="dxa"/>
            <w:noWrap/>
            <w:hideMark/>
          </w:tcPr>
          <w:p w14:paraId="2B3F0029" w14:textId="77777777" w:rsidR="00DC7F9D" w:rsidRPr="00DC7F9D" w:rsidRDefault="00DC7F9D"/>
        </w:tc>
      </w:tr>
      <w:tr w:rsidR="00DC7F9D" w:rsidRPr="00DC7F9D" w14:paraId="77627FEC" w14:textId="77777777" w:rsidTr="00DC7F9D">
        <w:trPr>
          <w:trHeight w:val="315"/>
        </w:trPr>
        <w:tc>
          <w:tcPr>
            <w:tcW w:w="1880" w:type="dxa"/>
            <w:noWrap/>
            <w:hideMark/>
          </w:tcPr>
          <w:p w14:paraId="37D31FA5" w14:textId="77777777" w:rsidR="00DC7F9D" w:rsidRPr="00DC7F9D" w:rsidRDefault="00DC7F9D">
            <w:r w:rsidRPr="00DC7F9D">
              <w:t>Infosys</w:t>
            </w:r>
          </w:p>
        </w:tc>
        <w:tc>
          <w:tcPr>
            <w:tcW w:w="1500" w:type="dxa"/>
            <w:noWrap/>
            <w:hideMark/>
          </w:tcPr>
          <w:p w14:paraId="3971D5E2" w14:textId="77777777" w:rsidR="00DC7F9D" w:rsidRPr="00DC7F9D" w:rsidRDefault="00DC7F9D" w:rsidP="00DC7F9D">
            <w:r w:rsidRPr="00DC7F9D">
              <w:t>0.1241</w:t>
            </w:r>
          </w:p>
        </w:tc>
        <w:tc>
          <w:tcPr>
            <w:tcW w:w="1580" w:type="dxa"/>
            <w:noWrap/>
            <w:hideMark/>
          </w:tcPr>
          <w:p w14:paraId="5F2709E1" w14:textId="77777777" w:rsidR="00DC7F9D" w:rsidRPr="00DC7F9D" w:rsidRDefault="00DC7F9D" w:rsidP="00DC7F9D">
            <w:r w:rsidRPr="00DC7F9D">
              <w:t>-0.1766</w:t>
            </w:r>
          </w:p>
        </w:tc>
        <w:tc>
          <w:tcPr>
            <w:tcW w:w="1500" w:type="dxa"/>
            <w:noWrap/>
            <w:hideMark/>
          </w:tcPr>
          <w:p w14:paraId="77B2E137" w14:textId="77777777" w:rsidR="00DC7F9D" w:rsidRPr="00DC7F9D" w:rsidRDefault="00DC7F9D" w:rsidP="00DC7F9D">
            <w:r w:rsidRPr="00DC7F9D">
              <w:t>0.1136</w:t>
            </w:r>
          </w:p>
        </w:tc>
        <w:tc>
          <w:tcPr>
            <w:tcW w:w="1760" w:type="dxa"/>
            <w:noWrap/>
            <w:hideMark/>
          </w:tcPr>
          <w:p w14:paraId="2476EB13" w14:textId="77777777" w:rsidR="00DC7F9D" w:rsidRPr="00DC7F9D" w:rsidRDefault="00DC7F9D" w:rsidP="00DC7F9D">
            <w:r w:rsidRPr="00DC7F9D">
              <w:t>0.0187</w:t>
            </w:r>
          </w:p>
        </w:tc>
        <w:tc>
          <w:tcPr>
            <w:tcW w:w="1500" w:type="dxa"/>
            <w:noWrap/>
            <w:hideMark/>
          </w:tcPr>
          <w:p w14:paraId="0125078E" w14:textId="77777777" w:rsidR="00DC7F9D" w:rsidRPr="00DC7F9D" w:rsidRDefault="00DC7F9D" w:rsidP="00DC7F9D">
            <w:r w:rsidRPr="00DC7F9D">
              <w:t>-0.8124</w:t>
            </w:r>
          </w:p>
        </w:tc>
        <w:tc>
          <w:tcPr>
            <w:tcW w:w="1500" w:type="dxa"/>
            <w:noWrap/>
            <w:hideMark/>
          </w:tcPr>
          <w:p w14:paraId="049F894A" w14:textId="77777777" w:rsidR="00DC7F9D" w:rsidRPr="00DC7F9D" w:rsidRDefault="00DC7F9D" w:rsidP="00DC7F9D">
            <w:r w:rsidRPr="00DC7F9D">
              <w:t>16.2500</w:t>
            </w:r>
          </w:p>
        </w:tc>
      </w:tr>
      <w:tr w:rsidR="00DC7F9D" w:rsidRPr="00DC7F9D" w14:paraId="57E353DE" w14:textId="77777777" w:rsidTr="00DC7F9D">
        <w:trPr>
          <w:trHeight w:val="315"/>
        </w:trPr>
        <w:tc>
          <w:tcPr>
            <w:tcW w:w="1880" w:type="dxa"/>
            <w:noWrap/>
            <w:hideMark/>
          </w:tcPr>
          <w:p w14:paraId="18D2743C" w14:textId="77777777" w:rsidR="00DC7F9D" w:rsidRPr="00DC7F9D" w:rsidRDefault="00DC7F9D">
            <w:r w:rsidRPr="00DC7F9D">
              <w:t>TCS</w:t>
            </w:r>
          </w:p>
        </w:tc>
        <w:tc>
          <w:tcPr>
            <w:tcW w:w="1500" w:type="dxa"/>
            <w:noWrap/>
            <w:hideMark/>
          </w:tcPr>
          <w:p w14:paraId="5CC1E0CF" w14:textId="77777777" w:rsidR="00DC7F9D" w:rsidRPr="00DC7F9D" w:rsidRDefault="00DC7F9D" w:rsidP="00DC7F9D">
            <w:r w:rsidRPr="00DC7F9D">
              <w:t>0.0999</w:t>
            </w:r>
          </w:p>
        </w:tc>
        <w:tc>
          <w:tcPr>
            <w:tcW w:w="1580" w:type="dxa"/>
            <w:noWrap/>
            <w:hideMark/>
          </w:tcPr>
          <w:p w14:paraId="14DA5C30" w14:textId="77777777" w:rsidR="00DC7F9D" w:rsidRPr="00DC7F9D" w:rsidRDefault="00DC7F9D" w:rsidP="00DC7F9D">
            <w:r w:rsidRPr="00DC7F9D">
              <w:t>-0.0988</w:t>
            </w:r>
          </w:p>
        </w:tc>
        <w:tc>
          <w:tcPr>
            <w:tcW w:w="1500" w:type="dxa"/>
            <w:noWrap/>
            <w:hideMark/>
          </w:tcPr>
          <w:p w14:paraId="180F6200" w14:textId="77777777" w:rsidR="00DC7F9D" w:rsidRPr="00DC7F9D" w:rsidRDefault="00DC7F9D" w:rsidP="00DC7F9D">
            <w:r w:rsidRPr="00DC7F9D">
              <w:t>0.0939</w:t>
            </w:r>
          </w:p>
        </w:tc>
        <w:tc>
          <w:tcPr>
            <w:tcW w:w="1760" w:type="dxa"/>
            <w:noWrap/>
            <w:hideMark/>
          </w:tcPr>
          <w:p w14:paraId="212F5532" w14:textId="77777777" w:rsidR="00DC7F9D" w:rsidRPr="00DC7F9D" w:rsidRDefault="00DC7F9D" w:rsidP="00DC7F9D">
            <w:r w:rsidRPr="00DC7F9D">
              <w:t>0.0171</w:t>
            </w:r>
          </w:p>
        </w:tc>
        <w:tc>
          <w:tcPr>
            <w:tcW w:w="1500" w:type="dxa"/>
            <w:noWrap/>
            <w:hideMark/>
          </w:tcPr>
          <w:p w14:paraId="2FE425AC" w14:textId="77777777" w:rsidR="00DC7F9D" w:rsidRPr="00DC7F9D" w:rsidRDefault="00DC7F9D" w:rsidP="00DC7F9D">
            <w:r w:rsidRPr="00DC7F9D">
              <w:t>-0.1193</w:t>
            </w:r>
          </w:p>
        </w:tc>
        <w:tc>
          <w:tcPr>
            <w:tcW w:w="1500" w:type="dxa"/>
            <w:noWrap/>
            <w:hideMark/>
          </w:tcPr>
          <w:p w14:paraId="5E860E66" w14:textId="77777777" w:rsidR="00DC7F9D" w:rsidRPr="00DC7F9D" w:rsidRDefault="00DC7F9D" w:rsidP="00DC7F9D">
            <w:r w:rsidRPr="00DC7F9D">
              <w:t>7.1720</w:t>
            </w:r>
          </w:p>
        </w:tc>
      </w:tr>
      <w:tr w:rsidR="00DC7F9D" w:rsidRPr="00DC7F9D" w14:paraId="3132EBAA" w14:textId="77777777" w:rsidTr="00DC7F9D">
        <w:trPr>
          <w:trHeight w:val="315"/>
        </w:trPr>
        <w:tc>
          <w:tcPr>
            <w:tcW w:w="1880" w:type="dxa"/>
            <w:noWrap/>
            <w:hideMark/>
          </w:tcPr>
          <w:p w14:paraId="47154C4E" w14:textId="77777777" w:rsidR="00DC7F9D" w:rsidRPr="00DC7F9D" w:rsidRDefault="00DC7F9D">
            <w:r w:rsidRPr="00DC7F9D">
              <w:lastRenderedPageBreak/>
              <w:t>HDFC Bank</w:t>
            </w:r>
          </w:p>
        </w:tc>
        <w:tc>
          <w:tcPr>
            <w:tcW w:w="1500" w:type="dxa"/>
            <w:noWrap/>
            <w:hideMark/>
          </w:tcPr>
          <w:p w14:paraId="171D3251" w14:textId="77777777" w:rsidR="00DC7F9D" w:rsidRPr="00DC7F9D" w:rsidRDefault="00DC7F9D" w:rsidP="00DC7F9D">
            <w:r w:rsidRPr="00DC7F9D">
              <w:t>0.0566</w:t>
            </w:r>
          </w:p>
        </w:tc>
        <w:tc>
          <w:tcPr>
            <w:tcW w:w="1580" w:type="dxa"/>
            <w:noWrap/>
            <w:hideMark/>
          </w:tcPr>
          <w:p w14:paraId="56200911" w14:textId="77777777" w:rsidR="00DC7F9D" w:rsidRPr="00DC7F9D" w:rsidRDefault="00DC7F9D" w:rsidP="00DC7F9D">
            <w:r w:rsidRPr="00DC7F9D">
              <w:t>-0.1348</w:t>
            </w:r>
          </w:p>
        </w:tc>
        <w:tc>
          <w:tcPr>
            <w:tcW w:w="1500" w:type="dxa"/>
            <w:noWrap/>
            <w:hideMark/>
          </w:tcPr>
          <w:p w14:paraId="2608C17F" w14:textId="77777777" w:rsidR="00DC7F9D" w:rsidRPr="00DC7F9D" w:rsidRDefault="00DC7F9D" w:rsidP="00DC7F9D">
            <w:r w:rsidRPr="00DC7F9D">
              <w:t>0.1097</w:t>
            </w:r>
          </w:p>
        </w:tc>
        <w:tc>
          <w:tcPr>
            <w:tcW w:w="1760" w:type="dxa"/>
            <w:noWrap/>
            <w:hideMark/>
          </w:tcPr>
          <w:p w14:paraId="38F3E354" w14:textId="77777777" w:rsidR="00DC7F9D" w:rsidRPr="00DC7F9D" w:rsidRDefault="00DC7F9D" w:rsidP="00DC7F9D">
            <w:r w:rsidRPr="00DC7F9D">
              <w:t>0.0173</w:t>
            </w:r>
          </w:p>
        </w:tc>
        <w:tc>
          <w:tcPr>
            <w:tcW w:w="1500" w:type="dxa"/>
            <w:noWrap/>
            <w:hideMark/>
          </w:tcPr>
          <w:p w14:paraId="7F64DE36" w14:textId="77777777" w:rsidR="00DC7F9D" w:rsidRPr="00DC7F9D" w:rsidRDefault="00DC7F9D" w:rsidP="00DC7F9D">
            <w:r w:rsidRPr="00DC7F9D">
              <w:t>-0.3790</w:t>
            </w:r>
          </w:p>
        </w:tc>
        <w:tc>
          <w:tcPr>
            <w:tcW w:w="1500" w:type="dxa"/>
            <w:noWrap/>
            <w:hideMark/>
          </w:tcPr>
          <w:p w14:paraId="5BADAF82" w14:textId="77777777" w:rsidR="00DC7F9D" w:rsidRPr="00DC7F9D" w:rsidRDefault="00DC7F9D" w:rsidP="00DC7F9D">
            <w:r w:rsidRPr="00DC7F9D">
              <w:t>13.1487</w:t>
            </w:r>
          </w:p>
        </w:tc>
      </w:tr>
      <w:tr w:rsidR="00DC7F9D" w:rsidRPr="00DC7F9D" w14:paraId="21340549" w14:textId="77777777" w:rsidTr="00DC7F9D">
        <w:trPr>
          <w:trHeight w:val="315"/>
        </w:trPr>
        <w:tc>
          <w:tcPr>
            <w:tcW w:w="1880" w:type="dxa"/>
            <w:noWrap/>
            <w:hideMark/>
          </w:tcPr>
          <w:p w14:paraId="09879FA5" w14:textId="77777777" w:rsidR="00DC7F9D" w:rsidRPr="00DC7F9D" w:rsidRDefault="00DC7F9D">
            <w:r w:rsidRPr="00DC7F9D">
              <w:t>ICICI Bank</w:t>
            </w:r>
          </w:p>
        </w:tc>
        <w:tc>
          <w:tcPr>
            <w:tcW w:w="1500" w:type="dxa"/>
            <w:noWrap/>
            <w:hideMark/>
          </w:tcPr>
          <w:p w14:paraId="330429F9" w14:textId="77777777" w:rsidR="00DC7F9D" w:rsidRPr="00DC7F9D" w:rsidRDefault="00DC7F9D" w:rsidP="00DC7F9D">
            <w:r w:rsidRPr="00DC7F9D">
              <w:t>0.1006</w:t>
            </w:r>
          </w:p>
        </w:tc>
        <w:tc>
          <w:tcPr>
            <w:tcW w:w="1580" w:type="dxa"/>
            <w:noWrap/>
            <w:hideMark/>
          </w:tcPr>
          <w:p w14:paraId="41CB15AA" w14:textId="77777777" w:rsidR="00DC7F9D" w:rsidRPr="00DC7F9D" w:rsidRDefault="00DC7F9D" w:rsidP="00DC7F9D">
            <w:r w:rsidRPr="00DC7F9D">
              <w:t>-0.1966</w:t>
            </w:r>
          </w:p>
        </w:tc>
        <w:tc>
          <w:tcPr>
            <w:tcW w:w="1500" w:type="dxa"/>
            <w:noWrap/>
            <w:hideMark/>
          </w:tcPr>
          <w:p w14:paraId="270AFD4A" w14:textId="77777777" w:rsidR="00DC7F9D" w:rsidRPr="00DC7F9D" w:rsidRDefault="00DC7F9D" w:rsidP="00DC7F9D">
            <w:r w:rsidRPr="00DC7F9D">
              <w:t>0.1289</w:t>
            </w:r>
          </w:p>
        </w:tc>
        <w:tc>
          <w:tcPr>
            <w:tcW w:w="1760" w:type="dxa"/>
            <w:noWrap/>
            <w:hideMark/>
          </w:tcPr>
          <w:p w14:paraId="6BA3D440" w14:textId="77777777" w:rsidR="00DC7F9D" w:rsidRPr="00DC7F9D" w:rsidRDefault="00DC7F9D" w:rsidP="00DC7F9D">
            <w:r w:rsidRPr="00DC7F9D">
              <w:t>0.0240</w:t>
            </w:r>
          </w:p>
        </w:tc>
        <w:tc>
          <w:tcPr>
            <w:tcW w:w="1500" w:type="dxa"/>
            <w:noWrap/>
            <w:hideMark/>
          </w:tcPr>
          <w:p w14:paraId="07128953" w14:textId="77777777" w:rsidR="00DC7F9D" w:rsidRPr="00DC7F9D" w:rsidRDefault="00DC7F9D" w:rsidP="00DC7F9D">
            <w:r w:rsidRPr="00DC7F9D">
              <w:t>-0.4436</w:t>
            </w:r>
          </w:p>
        </w:tc>
        <w:tc>
          <w:tcPr>
            <w:tcW w:w="1500" w:type="dxa"/>
            <w:noWrap/>
            <w:hideMark/>
          </w:tcPr>
          <w:p w14:paraId="6D2AE22F" w14:textId="77777777" w:rsidR="00DC7F9D" w:rsidRPr="00DC7F9D" w:rsidRDefault="00DC7F9D" w:rsidP="00DC7F9D">
            <w:r w:rsidRPr="00DC7F9D">
              <w:t>11.2123</w:t>
            </w:r>
          </w:p>
        </w:tc>
      </w:tr>
      <w:tr w:rsidR="00DC7F9D" w:rsidRPr="00DC7F9D" w14:paraId="3B05DE05" w14:textId="77777777" w:rsidTr="00DC7F9D">
        <w:trPr>
          <w:trHeight w:val="315"/>
        </w:trPr>
        <w:tc>
          <w:tcPr>
            <w:tcW w:w="1880" w:type="dxa"/>
            <w:noWrap/>
            <w:hideMark/>
          </w:tcPr>
          <w:p w14:paraId="63BB7DAF" w14:textId="77777777" w:rsidR="00DC7F9D" w:rsidRPr="00DC7F9D" w:rsidRDefault="00DC7F9D">
            <w:r w:rsidRPr="00DC7F9D">
              <w:t>Reliance</w:t>
            </w:r>
          </w:p>
        </w:tc>
        <w:tc>
          <w:tcPr>
            <w:tcW w:w="1500" w:type="dxa"/>
            <w:noWrap/>
            <w:hideMark/>
          </w:tcPr>
          <w:p w14:paraId="2AD19D4F" w14:textId="77777777" w:rsidR="00DC7F9D" w:rsidRPr="00DC7F9D" w:rsidRDefault="00DC7F9D" w:rsidP="00DC7F9D">
            <w:r w:rsidRPr="00DC7F9D">
              <w:t>0.1096</w:t>
            </w:r>
          </w:p>
        </w:tc>
        <w:tc>
          <w:tcPr>
            <w:tcW w:w="1580" w:type="dxa"/>
            <w:noWrap/>
            <w:hideMark/>
          </w:tcPr>
          <w:p w14:paraId="468CA768" w14:textId="77777777" w:rsidR="00DC7F9D" w:rsidRPr="00DC7F9D" w:rsidRDefault="00DC7F9D" w:rsidP="00DC7F9D">
            <w:r w:rsidRPr="00DC7F9D">
              <w:t>-0.1410</w:t>
            </w:r>
          </w:p>
        </w:tc>
        <w:tc>
          <w:tcPr>
            <w:tcW w:w="1500" w:type="dxa"/>
            <w:noWrap/>
            <w:hideMark/>
          </w:tcPr>
          <w:p w14:paraId="1CFF141B" w14:textId="77777777" w:rsidR="00DC7F9D" w:rsidRPr="00DC7F9D" w:rsidRDefault="00DC7F9D" w:rsidP="00DC7F9D">
            <w:r w:rsidRPr="00DC7F9D">
              <w:t>0.1373</w:t>
            </w:r>
          </w:p>
        </w:tc>
        <w:tc>
          <w:tcPr>
            <w:tcW w:w="1760" w:type="dxa"/>
            <w:noWrap/>
            <w:hideMark/>
          </w:tcPr>
          <w:p w14:paraId="00B302B0" w14:textId="77777777" w:rsidR="00DC7F9D" w:rsidRPr="00DC7F9D" w:rsidRDefault="00DC7F9D" w:rsidP="00DC7F9D">
            <w:r w:rsidRPr="00DC7F9D">
              <w:t>0.0207</w:t>
            </w:r>
          </w:p>
        </w:tc>
        <w:tc>
          <w:tcPr>
            <w:tcW w:w="1500" w:type="dxa"/>
            <w:noWrap/>
            <w:hideMark/>
          </w:tcPr>
          <w:p w14:paraId="6E7ADA39" w14:textId="77777777" w:rsidR="00DC7F9D" w:rsidRPr="00DC7F9D" w:rsidRDefault="00DC7F9D" w:rsidP="00DC7F9D">
            <w:r w:rsidRPr="00DC7F9D">
              <w:t>0.0343</w:t>
            </w:r>
          </w:p>
        </w:tc>
        <w:tc>
          <w:tcPr>
            <w:tcW w:w="1500" w:type="dxa"/>
            <w:noWrap/>
            <w:hideMark/>
          </w:tcPr>
          <w:p w14:paraId="7A12B710" w14:textId="77777777" w:rsidR="00DC7F9D" w:rsidRPr="00DC7F9D" w:rsidRDefault="00DC7F9D" w:rsidP="00DC7F9D">
            <w:r w:rsidRPr="00DC7F9D">
              <w:t>11.8606</w:t>
            </w:r>
          </w:p>
        </w:tc>
      </w:tr>
    </w:tbl>
    <w:p w14:paraId="1736E7BC" w14:textId="4A78A329" w:rsidR="00DC7F9D" w:rsidRDefault="00DC7F9D" w:rsidP="00D41D9A"/>
    <w:p w14:paraId="11183BA8" w14:textId="6A763384" w:rsidR="002E48D1" w:rsidRDefault="002E48D1" w:rsidP="00D41D9A">
      <w:r>
        <w:t>Results</w:t>
      </w:r>
    </w:p>
    <w:p w14:paraId="328C2843" w14:textId="77777777" w:rsidR="002E48D1" w:rsidRDefault="002E48D1" w:rsidP="002E48D1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</w:rPr>
      </w:pPr>
      <w:r>
        <w:rPr>
          <w:rFonts w:ascii="CharisSIL" w:hAnsi="CharisSIL" w:cs="CharisSIL"/>
          <w:color w:val="000000"/>
          <w:sz w:val="16"/>
          <w:szCs w:val="16"/>
        </w:rPr>
        <w:t>We consider three DCC models in the analysis:</w:t>
      </w:r>
    </w:p>
    <w:p w14:paraId="45F16EA7" w14:textId="77777777" w:rsidR="002E48D1" w:rsidRDefault="002E48D1" w:rsidP="002E48D1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</w:rPr>
      </w:pPr>
      <w:r>
        <w:rPr>
          <w:rFonts w:ascii="CharisSIL" w:hAnsi="CharisSIL" w:cs="CharisSIL"/>
          <w:color w:val="000000"/>
          <w:sz w:val="16"/>
          <w:szCs w:val="16"/>
        </w:rPr>
        <w:t xml:space="preserve">(1) The DCC-GARCH model by </w:t>
      </w:r>
      <w:r>
        <w:rPr>
          <w:rFonts w:ascii="CharisSIL" w:hAnsi="CharisSIL" w:cs="CharisSIL"/>
          <w:color w:val="0081AD"/>
          <w:sz w:val="16"/>
          <w:szCs w:val="16"/>
        </w:rPr>
        <w:t xml:space="preserve">Engle </w:t>
      </w:r>
      <w:r>
        <w:rPr>
          <w:rFonts w:ascii="CharisSIL" w:hAnsi="CharisSIL" w:cs="CharisSIL"/>
          <w:color w:val="000000"/>
          <w:sz w:val="16"/>
          <w:szCs w:val="16"/>
        </w:rPr>
        <w:t>(</w:t>
      </w:r>
      <w:r>
        <w:rPr>
          <w:rFonts w:ascii="CharisSIL" w:hAnsi="CharisSIL" w:cs="CharisSIL"/>
          <w:color w:val="0081AD"/>
          <w:sz w:val="16"/>
          <w:szCs w:val="16"/>
        </w:rPr>
        <w:t>2002</w:t>
      </w:r>
      <w:r>
        <w:rPr>
          <w:rFonts w:ascii="CharisSIL" w:hAnsi="CharisSIL" w:cs="CharisSIL"/>
          <w:color w:val="000000"/>
          <w:sz w:val="16"/>
          <w:szCs w:val="16"/>
        </w:rPr>
        <w:t xml:space="preserve">) summarized by </w:t>
      </w:r>
      <w:proofErr w:type="spellStart"/>
      <w:r>
        <w:rPr>
          <w:rFonts w:ascii="CharisSIL" w:hAnsi="CharisSIL" w:cs="CharisSIL"/>
          <w:color w:val="000000"/>
          <w:sz w:val="16"/>
          <w:szCs w:val="16"/>
        </w:rPr>
        <w:t>Eqs</w:t>
      </w:r>
      <w:proofErr w:type="spellEnd"/>
      <w:r>
        <w:rPr>
          <w:rFonts w:ascii="CharisSIL" w:hAnsi="CharisSIL" w:cs="CharisSIL"/>
          <w:color w:val="000000"/>
          <w:sz w:val="16"/>
          <w:szCs w:val="16"/>
        </w:rPr>
        <w:t xml:space="preserve">. </w:t>
      </w:r>
      <w:r>
        <w:rPr>
          <w:rFonts w:ascii="CharisSIL" w:hAnsi="CharisSIL" w:cs="CharisSIL"/>
          <w:color w:val="0081AD"/>
          <w:sz w:val="16"/>
          <w:szCs w:val="16"/>
        </w:rPr>
        <w:t>(1)</w:t>
      </w:r>
      <w:proofErr w:type="gramStart"/>
      <w:r>
        <w:rPr>
          <w:rFonts w:ascii="CharisSIL" w:hAnsi="CharisSIL" w:cs="CharisSIL"/>
          <w:color w:val="000000"/>
          <w:sz w:val="16"/>
          <w:szCs w:val="16"/>
        </w:rPr>
        <w:t>–</w:t>
      </w:r>
      <w:r>
        <w:rPr>
          <w:rFonts w:ascii="CharisSIL" w:hAnsi="CharisSIL" w:cs="CharisSIL"/>
          <w:color w:val="0081AD"/>
          <w:sz w:val="16"/>
          <w:szCs w:val="16"/>
        </w:rPr>
        <w:t>(</w:t>
      </w:r>
      <w:proofErr w:type="gramEnd"/>
      <w:r>
        <w:rPr>
          <w:rFonts w:ascii="CharisSIL" w:hAnsi="CharisSIL" w:cs="CharisSIL"/>
          <w:color w:val="0081AD"/>
          <w:sz w:val="16"/>
          <w:szCs w:val="16"/>
        </w:rPr>
        <w:t>6)</w:t>
      </w:r>
      <w:r>
        <w:rPr>
          <w:rFonts w:ascii="CharisSIL" w:hAnsi="CharisSIL" w:cs="CharisSIL"/>
          <w:color w:val="000000"/>
          <w:sz w:val="16"/>
          <w:szCs w:val="16"/>
        </w:rPr>
        <w:t>, where parameters are estimated based only on closing</w:t>
      </w:r>
    </w:p>
    <w:p w14:paraId="5A2ECE1D" w14:textId="77777777" w:rsidR="002E48D1" w:rsidRDefault="002E48D1" w:rsidP="002E48D1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</w:rPr>
      </w:pPr>
      <w:r>
        <w:rPr>
          <w:rFonts w:ascii="CharisSIL" w:hAnsi="CharisSIL" w:cs="CharisSIL"/>
          <w:color w:val="000000"/>
          <w:sz w:val="16"/>
          <w:szCs w:val="16"/>
        </w:rPr>
        <w:t>prices.</w:t>
      </w:r>
    </w:p>
    <w:p w14:paraId="246FE56E" w14:textId="3B76BF53" w:rsidR="002E48D1" w:rsidRDefault="002E48D1" w:rsidP="002E48D1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</w:rPr>
      </w:pPr>
      <w:r>
        <w:rPr>
          <w:rFonts w:ascii="CharisSIL" w:hAnsi="CharisSIL" w:cs="CharisSIL"/>
          <w:color w:val="000000"/>
          <w:sz w:val="16"/>
          <w:szCs w:val="16"/>
        </w:rPr>
        <w:t>(</w:t>
      </w:r>
      <w:r>
        <w:rPr>
          <w:rFonts w:ascii="CharisSIL" w:hAnsi="CharisSIL" w:cs="CharisSIL"/>
          <w:color w:val="000000"/>
          <w:sz w:val="16"/>
          <w:szCs w:val="16"/>
        </w:rPr>
        <w:t>2</w:t>
      </w:r>
      <w:r>
        <w:rPr>
          <w:rFonts w:ascii="CharisSIL" w:hAnsi="CharisSIL" w:cs="CharisSIL"/>
          <w:color w:val="000000"/>
          <w:sz w:val="16"/>
          <w:szCs w:val="16"/>
        </w:rPr>
        <w:t xml:space="preserve">) The proposed DCC-RGARCH model summarized by </w:t>
      </w:r>
      <w:proofErr w:type="spellStart"/>
      <w:r>
        <w:rPr>
          <w:rFonts w:ascii="CharisSIL" w:hAnsi="CharisSIL" w:cs="CharisSIL"/>
          <w:color w:val="000000"/>
          <w:sz w:val="16"/>
          <w:szCs w:val="16"/>
        </w:rPr>
        <w:t>Eqs</w:t>
      </w:r>
      <w:proofErr w:type="spellEnd"/>
      <w:r>
        <w:rPr>
          <w:rFonts w:ascii="CharisSIL" w:hAnsi="CharisSIL" w:cs="CharisSIL"/>
          <w:color w:val="000000"/>
          <w:sz w:val="16"/>
          <w:szCs w:val="16"/>
        </w:rPr>
        <w:t xml:space="preserve">. </w:t>
      </w:r>
      <w:r>
        <w:rPr>
          <w:rFonts w:ascii="CharisSIL" w:hAnsi="CharisSIL" w:cs="CharisSIL"/>
          <w:color w:val="0081AD"/>
          <w:sz w:val="16"/>
          <w:szCs w:val="16"/>
        </w:rPr>
        <w:t>(26)</w:t>
      </w:r>
      <w:proofErr w:type="gramStart"/>
      <w:r>
        <w:rPr>
          <w:rFonts w:ascii="CharisSIL" w:hAnsi="CharisSIL" w:cs="CharisSIL"/>
          <w:color w:val="000000"/>
          <w:sz w:val="16"/>
          <w:szCs w:val="16"/>
        </w:rPr>
        <w:t>–</w:t>
      </w:r>
      <w:r>
        <w:rPr>
          <w:rFonts w:ascii="CharisSIL" w:hAnsi="CharisSIL" w:cs="CharisSIL"/>
          <w:color w:val="0081AD"/>
          <w:sz w:val="16"/>
          <w:szCs w:val="16"/>
        </w:rPr>
        <w:t>(</w:t>
      </w:r>
      <w:proofErr w:type="gramEnd"/>
      <w:r>
        <w:rPr>
          <w:rFonts w:ascii="CharisSIL" w:hAnsi="CharisSIL" w:cs="CharisSIL"/>
          <w:color w:val="0081AD"/>
          <w:sz w:val="16"/>
          <w:szCs w:val="16"/>
        </w:rPr>
        <w:t>29)</w:t>
      </w:r>
      <w:r>
        <w:rPr>
          <w:rFonts w:ascii="CharisSIL" w:hAnsi="CharisSIL" w:cs="CharisSIL"/>
          <w:color w:val="000000"/>
          <w:sz w:val="16"/>
          <w:szCs w:val="16"/>
        </w:rPr>
        <w:t>. In this specification the RGARCH model described by</w:t>
      </w:r>
    </w:p>
    <w:p w14:paraId="01744A15" w14:textId="0F1E6D78" w:rsidR="002E48D1" w:rsidRDefault="002E48D1" w:rsidP="002E48D1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</w:rPr>
      </w:pPr>
      <w:proofErr w:type="spellStart"/>
      <w:r>
        <w:rPr>
          <w:rFonts w:ascii="CharisSIL" w:hAnsi="CharisSIL" w:cs="CharisSIL"/>
          <w:color w:val="000000"/>
          <w:sz w:val="16"/>
          <w:szCs w:val="16"/>
        </w:rPr>
        <w:t>Eqs</w:t>
      </w:r>
      <w:proofErr w:type="spellEnd"/>
      <w:r>
        <w:rPr>
          <w:rFonts w:ascii="CharisSIL" w:hAnsi="CharisSIL" w:cs="CharisSIL"/>
          <w:color w:val="000000"/>
          <w:sz w:val="16"/>
          <w:szCs w:val="16"/>
        </w:rPr>
        <w:t xml:space="preserve">. </w:t>
      </w:r>
      <w:r>
        <w:rPr>
          <w:rFonts w:ascii="CharisSIL" w:hAnsi="CharisSIL" w:cs="CharisSIL"/>
          <w:color w:val="0081AD"/>
          <w:sz w:val="16"/>
          <w:szCs w:val="16"/>
        </w:rPr>
        <w:t>(23)</w:t>
      </w:r>
      <w:proofErr w:type="gramStart"/>
      <w:r>
        <w:rPr>
          <w:rFonts w:ascii="CharisSIL" w:hAnsi="CharisSIL" w:cs="CharisSIL"/>
          <w:color w:val="000000"/>
          <w:sz w:val="16"/>
          <w:szCs w:val="16"/>
        </w:rPr>
        <w:t>–</w:t>
      </w:r>
      <w:r>
        <w:rPr>
          <w:rFonts w:ascii="CharisSIL" w:hAnsi="CharisSIL" w:cs="CharisSIL"/>
          <w:color w:val="0081AD"/>
          <w:sz w:val="16"/>
          <w:szCs w:val="16"/>
        </w:rPr>
        <w:t>(</w:t>
      </w:r>
      <w:proofErr w:type="gramEnd"/>
      <w:r>
        <w:rPr>
          <w:rFonts w:ascii="CharisSIL" w:hAnsi="CharisSIL" w:cs="CharisSIL"/>
          <w:color w:val="0081AD"/>
          <w:sz w:val="16"/>
          <w:szCs w:val="16"/>
        </w:rPr>
        <w:t xml:space="preserve">24) </w:t>
      </w:r>
      <w:r>
        <w:rPr>
          <w:rFonts w:ascii="CharisSIL" w:hAnsi="CharisSIL" w:cs="CharisSIL"/>
          <w:color w:val="000000"/>
          <w:sz w:val="16"/>
          <w:szCs w:val="16"/>
        </w:rPr>
        <w:t>is applied in the DCC model instead of the univariate GARCH model.</w:t>
      </w:r>
    </w:p>
    <w:p w14:paraId="654AB64F" w14:textId="77777777" w:rsidR="002E48D1" w:rsidRDefault="002E48D1" w:rsidP="002E48D1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</w:rPr>
      </w:pPr>
      <w:r>
        <w:rPr>
          <w:rFonts w:ascii="CharisSIL" w:hAnsi="CharisSIL" w:cs="CharisSIL"/>
          <w:color w:val="000000"/>
          <w:sz w:val="16"/>
          <w:szCs w:val="16"/>
        </w:rPr>
        <w:t>The considered exchange rates, ETFs and stocks are not cointegrated (according to the Johansen test). Mean equations for returns</w:t>
      </w:r>
    </w:p>
    <w:p w14:paraId="7E40D4C1" w14:textId="77777777" w:rsidR="002E48D1" w:rsidRDefault="002E48D1" w:rsidP="002E48D1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</w:rPr>
      </w:pPr>
      <w:r>
        <w:rPr>
          <w:rFonts w:ascii="CharisSIL" w:hAnsi="CharisSIL" w:cs="CharisSIL"/>
          <w:color w:val="000000"/>
          <w:sz w:val="16"/>
          <w:szCs w:val="16"/>
        </w:rPr>
        <w:t>are very simple: each mean equation is a constant, because in our data the sample return of any asset is not dependent on its own</w:t>
      </w:r>
    </w:p>
    <w:p w14:paraId="182EF68A" w14:textId="77777777" w:rsidR="002E48D1" w:rsidRDefault="002E48D1" w:rsidP="002E48D1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</w:rPr>
      </w:pPr>
      <w:r>
        <w:rPr>
          <w:rFonts w:ascii="CharisSIL" w:hAnsi="CharisSIL" w:cs="CharisSIL"/>
          <w:color w:val="000000"/>
          <w:sz w:val="16"/>
          <w:szCs w:val="16"/>
        </w:rPr>
        <w:t>past returns nor on the past returns of other assets.</w:t>
      </w:r>
    </w:p>
    <w:p w14:paraId="5CB4BA83" w14:textId="77777777" w:rsidR="002E48D1" w:rsidRDefault="002E48D1" w:rsidP="002E48D1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</w:rPr>
      </w:pPr>
      <w:r>
        <w:rPr>
          <w:rFonts w:ascii="CharisSIL" w:hAnsi="CharisSIL" w:cs="CharisSIL"/>
          <w:color w:val="000000"/>
          <w:sz w:val="16"/>
          <w:szCs w:val="16"/>
        </w:rPr>
        <w:t>We first compare the fit of the models estimated on the whole sample of data, and then compare the forecasts from these</w:t>
      </w:r>
    </w:p>
    <w:p w14:paraId="1C641E24" w14:textId="77777777" w:rsidR="002E48D1" w:rsidRDefault="002E48D1" w:rsidP="002E48D1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color w:val="000000"/>
          <w:sz w:val="16"/>
          <w:szCs w:val="16"/>
        </w:rPr>
      </w:pPr>
      <w:r>
        <w:rPr>
          <w:rFonts w:ascii="CharisSIL" w:hAnsi="CharisSIL" w:cs="CharisSIL"/>
          <w:color w:val="000000"/>
          <w:sz w:val="16"/>
          <w:szCs w:val="16"/>
        </w:rPr>
        <w:t xml:space="preserve">models. We </w:t>
      </w:r>
      <w:proofErr w:type="spellStart"/>
      <w:r>
        <w:rPr>
          <w:rFonts w:ascii="CharisSIL" w:hAnsi="CharisSIL" w:cs="CharisSIL"/>
          <w:color w:val="000000"/>
          <w:sz w:val="16"/>
          <w:szCs w:val="16"/>
        </w:rPr>
        <w:t>analyse</w:t>
      </w:r>
      <w:proofErr w:type="spellEnd"/>
      <w:r>
        <w:rPr>
          <w:rFonts w:ascii="CharisSIL" w:hAnsi="CharisSIL" w:cs="CharisSIL"/>
          <w:color w:val="000000"/>
          <w:sz w:val="16"/>
          <w:szCs w:val="16"/>
        </w:rPr>
        <w:t xml:space="preserve"> forecasts of variances and forecasts of covariances separately, because models for variances already exist whereas</w:t>
      </w:r>
    </w:p>
    <w:p w14:paraId="6C8136D8" w14:textId="0A543AAB" w:rsidR="002E48D1" w:rsidRDefault="002E48D1" w:rsidP="002E48D1">
      <w:pPr>
        <w:rPr>
          <w:rFonts w:ascii="CharisSIL" w:hAnsi="CharisSIL" w:cs="CharisSIL"/>
          <w:color w:val="000000"/>
          <w:sz w:val="16"/>
          <w:szCs w:val="16"/>
        </w:rPr>
      </w:pPr>
      <w:r>
        <w:rPr>
          <w:rFonts w:ascii="CharisSIL" w:hAnsi="CharisSIL" w:cs="CharisSIL"/>
          <w:color w:val="000000"/>
          <w:sz w:val="16"/>
          <w:szCs w:val="16"/>
        </w:rPr>
        <w:t>forecasting covariances is our main contribution.</w:t>
      </w:r>
    </w:p>
    <w:p w14:paraId="5C5B7136" w14:textId="3B12FC36" w:rsidR="004B6398" w:rsidRDefault="004B6398" w:rsidP="002E48D1">
      <w:pPr>
        <w:rPr>
          <w:rFonts w:ascii="CharisSIL" w:hAnsi="CharisSIL" w:cs="CharisSIL"/>
          <w:color w:val="000000"/>
          <w:sz w:val="16"/>
          <w:szCs w:val="16"/>
        </w:rPr>
      </w:pPr>
    </w:p>
    <w:tbl>
      <w:tblPr>
        <w:tblStyle w:val="GridTable5Dark-Accent4"/>
        <w:tblW w:w="11220" w:type="dxa"/>
        <w:tblInd w:w="-422" w:type="dxa"/>
        <w:tblLook w:val="04A0" w:firstRow="1" w:lastRow="0" w:firstColumn="1" w:lastColumn="0" w:noHBand="0" w:noVBand="1"/>
      </w:tblPr>
      <w:tblGrid>
        <w:gridCol w:w="2307"/>
        <w:gridCol w:w="1440"/>
        <w:gridCol w:w="1213"/>
        <w:gridCol w:w="1500"/>
        <w:gridCol w:w="1760"/>
        <w:gridCol w:w="1500"/>
        <w:gridCol w:w="1500"/>
      </w:tblGrid>
      <w:tr w:rsidR="004B6398" w:rsidRPr="004B6398" w14:paraId="1A6F642D" w14:textId="77777777" w:rsidTr="004B6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noWrap/>
            <w:hideMark/>
          </w:tcPr>
          <w:p w14:paraId="129E01CE" w14:textId="77777777" w:rsidR="004B6398" w:rsidRPr="004B6398" w:rsidRDefault="004B6398" w:rsidP="004B63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" w:name="_Hlk89730378"/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Assets</w:t>
            </w:r>
          </w:p>
        </w:tc>
        <w:tc>
          <w:tcPr>
            <w:tcW w:w="1440" w:type="dxa"/>
            <w:noWrap/>
            <w:hideMark/>
          </w:tcPr>
          <w:p w14:paraId="52B7EE09" w14:textId="77777777" w:rsidR="004B6398" w:rsidRPr="004B6398" w:rsidRDefault="004B6398" w:rsidP="004B6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 x 10^2</w:t>
            </w:r>
          </w:p>
        </w:tc>
        <w:tc>
          <w:tcPr>
            <w:tcW w:w="1213" w:type="dxa"/>
            <w:noWrap/>
            <w:hideMark/>
          </w:tcPr>
          <w:p w14:paraId="7533C3EE" w14:textId="77777777" w:rsidR="004B6398" w:rsidRPr="004B6398" w:rsidRDefault="004B6398" w:rsidP="004B6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500" w:type="dxa"/>
            <w:noWrap/>
            <w:hideMark/>
          </w:tcPr>
          <w:p w14:paraId="5DF07A8B" w14:textId="77777777" w:rsidR="004B6398" w:rsidRPr="004B6398" w:rsidRDefault="004B6398" w:rsidP="004B6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760" w:type="dxa"/>
            <w:noWrap/>
            <w:hideMark/>
          </w:tcPr>
          <w:p w14:paraId="6D9A14B7" w14:textId="77777777" w:rsidR="004B6398" w:rsidRPr="004B6398" w:rsidRDefault="004B6398" w:rsidP="004B6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Standard Deviation</w:t>
            </w:r>
          </w:p>
        </w:tc>
        <w:tc>
          <w:tcPr>
            <w:tcW w:w="1500" w:type="dxa"/>
            <w:noWrap/>
            <w:hideMark/>
          </w:tcPr>
          <w:p w14:paraId="4B1991BD" w14:textId="77777777" w:rsidR="004B6398" w:rsidRPr="004B6398" w:rsidRDefault="004B6398" w:rsidP="004B6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Skewness</w:t>
            </w:r>
          </w:p>
        </w:tc>
        <w:tc>
          <w:tcPr>
            <w:tcW w:w="1500" w:type="dxa"/>
            <w:noWrap/>
            <w:hideMark/>
          </w:tcPr>
          <w:p w14:paraId="2EF8D0CF" w14:textId="556D2603" w:rsidR="004B6398" w:rsidRPr="004B6398" w:rsidRDefault="004B6398" w:rsidP="004B6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Excess </w:t>
            </w: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Kurtosis</w:t>
            </w:r>
          </w:p>
        </w:tc>
      </w:tr>
      <w:tr w:rsidR="004B6398" w:rsidRPr="004B6398" w14:paraId="1E4CB866" w14:textId="77777777" w:rsidTr="004B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noWrap/>
            <w:hideMark/>
          </w:tcPr>
          <w:p w14:paraId="3E62D70F" w14:textId="77777777" w:rsidR="004B6398" w:rsidRPr="004B6398" w:rsidRDefault="004B6398" w:rsidP="004B63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Currency Rates</w:t>
            </w:r>
          </w:p>
        </w:tc>
        <w:tc>
          <w:tcPr>
            <w:tcW w:w="1440" w:type="dxa"/>
            <w:noWrap/>
            <w:hideMark/>
          </w:tcPr>
          <w:p w14:paraId="70E12394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noWrap/>
            <w:hideMark/>
          </w:tcPr>
          <w:p w14:paraId="081EC966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noWrap/>
            <w:hideMark/>
          </w:tcPr>
          <w:p w14:paraId="2020FF6F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noWrap/>
            <w:hideMark/>
          </w:tcPr>
          <w:p w14:paraId="2CF413B3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noWrap/>
            <w:hideMark/>
          </w:tcPr>
          <w:p w14:paraId="2AA493B8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noWrap/>
            <w:hideMark/>
          </w:tcPr>
          <w:p w14:paraId="06C3BD95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398" w:rsidRPr="004B6398" w14:paraId="78FB7C28" w14:textId="77777777" w:rsidTr="004B639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noWrap/>
            <w:hideMark/>
          </w:tcPr>
          <w:p w14:paraId="004AEE89" w14:textId="77777777" w:rsidR="004B6398" w:rsidRPr="004B6398" w:rsidRDefault="004B6398" w:rsidP="004B63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EUR/INR</w:t>
            </w:r>
          </w:p>
        </w:tc>
        <w:tc>
          <w:tcPr>
            <w:tcW w:w="1440" w:type="dxa"/>
            <w:noWrap/>
            <w:hideMark/>
          </w:tcPr>
          <w:p w14:paraId="55ADAA33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0.0145</w:t>
            </w:r>
          </w:p>
        </w:tc>
        <w:tc>
          <w:tcPr>
            <w:tcW w:w="1213" w:type="dxa"/>
            <w:noWrap/>
            <w:hideMark/>
          </w:tcPr>
          <w:p w14:paraId="02675BB9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-0.0250</w:t>
            </w:r>
          </w:p>
        </w:tc>
        <w:tc>
          <w:tcPr>
            <w:tcW w:w="1500" w:type="dxa"/>
            <w:noWrap/>
            <w:hideMark/>
          </w:tcPr>
          <w:p w14:paraId="52366700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0.0281</w:t>
            </w:r>
          </w:p>
        </w:tc>
        <w:tc>
          <w:tcPr>
            <w:tcW w:w="1760" w:type="dxa"/>
            <w:noWrap/>
            <w:hideMark/>
          </w:tcPr>
          <w:p w14:paraId="0C1A5DF2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0.0052</w:t>
            </w:r>
          </w:p>
        </w:tc>
        <w:tc>
          <w:tcPr>
            <w:tcW w:w="1500" w:type="dxa"/>
            <w:noWrap/>
            <w:hideMark/>
          </w:tcPr>
          <w:p w14:paraId="6A92C974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0.236*</w:t>
            </w:r>
          </w:p>
        </w:tc>
        <w:tc>
          <w:tcPr>
            <w:tcW w:w="1500" w:type="dxa"/>
            <w:noWrap/>
            <w:hideMark/>
          </w:tcPr>
          <w:p w14:paraId="1C475E5B" w14:textId="0D9FB944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.774</w:t>
            </w:r>
          </w:p>
        </w:tc>
      </w:tr>
      <w:tr w:rsidR="004B6398" w:rsidRPr="004B6398" w14:paraId="192CF1C1" w14:textId="77777777" w:rsidTr="004B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noWrap/>
            <w:hideMark/>
          </w:tcPr>
          <w:p w14:paraId="62D70616" w14:textId="77777777" w:rsidR="004B6398" w:rsidRPr="004B6398" w:rsidRDefault="004B6398" w:rsidP="004B63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USD/INR</w:t>
            </w:r>
          </w:p>
        </w:tc>
        <w:tc>
          <w:tcPr>
            <w:tcW w:w="1440" w:type="dxa"/>
            <w:noWrap/>
            <w:hideMark/>
          </w:tcPr>
          <w:p w14:paraId="6E11680F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0.0179</w:t>
            </w:r>
          </w:p>
        </w:tc>
        <w:tc>
          <w:tcPr>
            <w:tcW w:w="1213" w:type="dxa"/>
            <w:noWrap/>
            <w:hideMark/>
          </w:tcPr>
          <w:p w14:paraId="2CD20122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-0.0432</w:t>
            </w:r>
          </w:p>
        </w:tc>
        <w:tc>
          <w:tcPr>
            <w:tcW w:w="1500" w:type="dxa"/>
            <w:noWrap/>
            <w:hideMark/>
          </w:tcPr>
          <w:p w14:paraId="0F824E98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0.0272</w:t>
            </w:r>
          </w:p>
        </w:tc>
        <w:tc>
          <w:tcPr>
            <w:tcW w:w="1760" w:type="dxa"/>
            <w:noWrap/>
            <w:hideMark/>
          </w:tcPr>
          <w:p w14:paraId="150DDD83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0.0064</w:t>
            </w:r>
          </w:p>
        </w:tc>
        <w:tc>
          <w:tcPr>
            <w:tcW w:w="1500" w:type="dxa"/>
            <w:noWrap/>
            <w:hideMark/>
          </w:tcPr>
          <w:p w14:paraId="4FF79838" w14:textId="3D773F1F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-0.316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</w:p>
        </w:tc>
        <w:tc>
          <w:tcPr>
            <w:tcW w:w="1500" w:type="dxa"/>
            <w:noWrap/>
            <w:hideMark/>
          </w:tcPr>
          <w:p w14:paraId="68978DEF" w14:textId="09186CDB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.432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</w:p>
        </w:tc>
      </w:tr>
      <w:tr w:rsidR="004B6398" w:rsidRPr="004B6398" w14:paraId="0C16673D" w14:textId="77777777" w:rsidTr="004B639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noWrap/>
            <w:hideMark/>
          </w:tcPr>
          <w:p w14:paraId="6C432A1D" w14:textId="77777777" w:rsidR="004B6398" w:rsidRPr="004B6398" w:rsidRDefault="004B6398" w:rsidP="004B63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GBP/INR</w:t>
            </w:r>
          </w:p>
        </w:tc>
        <w:tc>
          <w:tcPr>
            <w:tcW w:w="1440" w:type="dxa"/>
            <w:noWrap/>
            <w:hideMark/>
          </w:tcPr>
          <w:p w14:paraId="67B392CB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0.0159</w:t>
            </w:r>
          </w:p>
        </w:tc>
        <w:tc>
          <w:tcPr>
            <w:tcW w:w="1213" w:type="dxa"/>
            <w:noWrap/>
            <w:hideMark/>
          </w:tcPr>
          <w:p w14:paraId="6F13641D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-0.0187</w:t>
            </w:r>
          </w:p>
        </w:tc>
        <w:tc>
          <w:tcPr>
            <w:tcW w:w="1500" w:type="dxa"/>
            <w:noWrap/>
            <w:hideMark/>
          </w:tcPr>
          <w:p w14:paraId="55F49BBA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0.0294</w:t>
            </w:r>
          </w:p>
        </w:tc>
        <w:tc>
          <w:tcPr>
            <w:tcW w:w="1760" w:type="dxa"/>
            <w:noWrap/>
            <w:hideMark/>
          </w:tcPr>
          <w:p w14:paraId="24071DB1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0.0047</w:t>
            </w:r>
          </w:p>
        </w:tc>
        <w:tc>
          <w:tcPr>
            <w:tcW w:w="1500" w:type="dxa"/>
            <w:noWrap/>
            <w:hideMark/>
          </w:tcPr>
          <w:p w14:paraId="400AD117" w14:textId="0DD7D332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30*</w:t>
            </w:r>
          </w:p>
        </w:tc>
        <w:tc>
          <w:tcPr>
            <w:tcW w:w="1500" w:type="dxa"/>
            <w:noWrap/>
            <w:hideMark/>
          </w:tcPr>
          <w:p w14:paraId="7A042543" w14:textId="7F6043DB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.410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</w:p>
        </w:tc>
      </w:tr>
      <w:tr w:rsidR="004B6398" w:rsidRPr="004B6398" w14:paraId="7E677BA1" w14:textId="77777777" w:rsidTr="004B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noWrap/>
            <w:hideMark/>
          </w:tcPr>
          <w:p w14:paraId="52835837" w14:textId="77777777" w:rsidR="004B6398" w:rsidRPr="004B6398" w:rsidRDefault="004B6398" w:rsidP="004B63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MidCap</w:t>
            </w:r>
            <w:proofErr w:type="spellEnd"/>
          </w:p>
        </w:tc>
        <w:tc>
          <w:tcPr>
            <w:tcW w:w="1440" w:type="dxa"/>
            <w:noWrap/>
            <w:hideMark/>
          </w:tcPr>
          <w:p w14:paraId="13DC13A5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noWrap/>
            <w:hideMark/>
          </w:tcPr>
          <w:p w14:paraId="7CEA565D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noWrap/>
            <w:hideMark/>
          </w:tcPr>
          <w:p w14:paraId="45001B2E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noWrap/>
            <w:hideMark/>
          </w:tcPr>
          <w:p w14:paraId="301F950B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noWrap/>
            <w:hideMark/>
          </w:tcPr>
          <w:p w14:paraId="46A59EF6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noWrap/>
            <w:hideMark/>
          </w:tcPr>
          <w:p w14:paraId="5AD026A5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398" w:rsidRPr="004B6398" w14:paraId="31AAC3D1" w14:textId="77777777" w:rsidTr="004B639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noWrap/>
            <w:hideMark/>
          </w:tcPr>
          <w:p w14:paraId="62FEBAB5" w14:textId="77777777" w:rsidR="004B6398" w:rsidRPr="004B6398" w:rsidRDefault="004B6398" w:rsidP="004B63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Vinergy</w:t>
            </w:r>
            <w:proofErr w:type="spellEnd"/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Capital Inc</w:t>
            </w:r>
          </w:p>
        </w:tc>
        <w:tc>
          <w:tcPr>
            <w:tcW w:w="1440" w:type="dxa"/>
            <w:noWrap/>
            <w:hideMark/>
          </w:tcPr>
          <w:p w14:paraId="614DAF42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0.1430</w:t>
            </w:r>
          </w:p>
        </w:tc>
        <w:tc>
          <w:tcPr>
            <w:tcW w:w="1213" w:type="dxa"/>
            <w:noWrap/>
            <w:hideMark/>
          </w:tcPr>
          <w:p w14:paraId="7C495A54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-0.1313</w:t>
            </w:r>
          </w:p>
        </w:tc>
        <w:tc>
          <w:tcPr>
            <w:tcW w:w="1500" w:type="dxa"/>
            <w:noWrap/>
            <w:hideMark/>
          </w:tcPr>
          <w:p w14:paraId="251B432D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0.1733</w:t>
            </w:r>
          </w:p>
        </w:tc>
        <w:tc>
          <w:tcPr>
            <w:tcW w:w="1760" w:type="dxa"/>
            <w:noWrap/>
            <w:hideMark/>
          </w:tcPr>
          <w:p w14:paraId="21ECD62A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0.0246</w:t>
            </w:r>
          </w:p>
        </w:tc>
        <w:tc>
          <w:tcPr>
            <w:tcW w:w="1500" w:type="dxa"/>
            <w:noWrap/>
            <w:hideMark/>
          </w:tcPr>
          <w:p w14:paraId="15E0C14F" w14:textId="161359B0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0.535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</w:p>
        </w:tc>
        <w:tc>
          <w:tcPr>
            <w:tcW w:w="1500" w:type="dxa"/>
            <w:noWrap/>
            <w:hideMark/>
          </w:tcPr>
          <w:p w14:paraId="6A64A214" w14:textId="58FA7159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40*</w:t>
            </w:r>
          </w:p>
        </w:tc>
      </w:tr>
      <w:tr w:rsidR="004B6398" w:rsidRPr="004B6398" w14:paraId="7A6BFDCC" w14:textId="77777777" w:rsidTr="004B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noWrap/>
            <w:hideMark/>
          </w:tcPr>
          <w:p w14:paraId="7F26E7A3" w14:textId="77777777" w:rsidR="004B6398" w:rsidRPr="004B6398" w:rsidRDefault="004B6398" w:rsidP="004B63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Tanla</w:t>
            </w:r>
            <w:proofErr w:type="spellEnd"/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Platforms Ltd</w:t>
            </w:r>
          </w:p>
        </w:tc>
        <w:tc>
          <w:tcPr>
            <w:tcW w:w="1440" w:type="dxa"/>
            <w:noWrap/>
            <w:hideMark/>
          </w:tcPr>
          <w:p w14:paraId="129159B2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0.3614</w:t>
            </w:r>
          </w:p>
        </w:tc>
        <w:tc>
          <w:tcPr>
            <w:tcW w:w="1213" w:type="dxa"/>
            <w:noWrap/>
            <w:hideMark/>
          </w:tcPr>
          <w:p w14:paraId="6D2AB058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-0.1047</w:t>
            </w:r>
          </w:p>
        </w:tc>
        <w:tc>
          <w:tcPr>
            <w:tcW w:w="1500" w:type="dxa"/>
            <w:noWrap/>
            <w:hideMark/>
          </w:tcPr>
          <w:p w14:paraId="19BC0008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0.1360</w:t>
            </w:r>
          </w:p>
        </w:tc>
        <w:tc>
          <w:tcPr>
            <w:tcW w:w="1760" w:type="dxa"/>
            <w:noWrap/>
            <w:hideMark/>
          </w:tcPr>
          <w:p w14:paraId="5C59E149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0.0332</w:t>
            </w:r>
          </w:p>
        </w:tc>
        <w:tc>
          <w:tcPr>
            <w:tcW w:w="1500" w:type="dxa"/>
            <w:noWrap/>
            <w:hideMark/>
          </w:tcPr>
          <w:p w14:paraId="7F249810" w14:textId="4C98BE90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</w:p>
        </w:tc>
        <w:tc>
          <w:tcPr>
            <w:tcW w:w="1500" w:type="dxa"/>
            <w:noWrap/>
            <w:hideMark/>
          </w:tcPr>
          <w:p w14:paraId="39EAA941" w14:textId="0EB0033F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-0.188</w:t>
            </w:r>
          </w:p>
        </w:tc>
      </w:tr>
      <w:tr w:rsidR="004B6398" w:rsidRPr="004B6398" w14:paraId="0FD291BE" w14:textId="77777777" w:rsidTr="004B639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noWrap/>
            <w:hideMark/>
          </w:tcPr>
          <w:p w14:paraId="1BF47D7D" w14:textId="77777777" w:rsidR="004B6398" w:rsidRPr="004B6398" w:rsidRDefault="004B6398" w:rsidP="004B63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L&amp;T Ltd</w:t>
            </w:r>
          </w:p>
        </w:tc>
        <w:tc>
          <w:tcPr>
            <w:tcW w:w="1440" w:type="dxa"/>
            <w:noWrap/>
            <w:hideMark/>
          </w:tcPr>
          <w:p w14:paraId="0D7ED9FD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-0.0790</w:t>
            </w:r>
          </w:p>
        </w:tc>
        <w:tc>
          <w:tcPr>
            <w:tcW w:w="1213" w:type="dxa"/>
            <w:noWrap/>
            <w:hideMark/>
          </w:tcPr>
          <w:p w14:paraId="567D6D84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-0.2042</w:t>
            </w:r>
          </w:p>
        </w:tc>
        <w:tc>
          <w:tcPr>
            <w:tcW w:w="1500" w:type="dxa"/>
            <w:noWrap/>
            <w:hideMark/>
          </w:tcPr>
          <w:p w14:paraId="24DF3A0B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0.1267</w:t>
            </w:r>
          </w:p>
        </w:tc>
        <w:tc>
          <w:tcPr>
            <w:tcW w:w="1760" w:type="dxa"/>
            <w:noWrap/>
            <w:hideMark/>
          </w:tcPr>
          <w:p w14:paraId="22C290B7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0.0297</w:t>
            </w:r>
          </w:p>
        </w:tc>
        <w:tc>
          <w:tcPr>
            <w:tcW w:w="1500" w:type="dxa"/>
            <w:noWrap/>
            <w:hideMark/>
          </w:tcPr>
          <w:p w14:paraId="1D36725B" w14:textId="3F5AB3FA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</w:p>
        </w:tc>
        <w:tc>
          <w:tcPr>
            <w:tcW w:w="1500" w:type="dxa"/>
            <w:noWrap/>
            <w:hideMark/>
          </w:tcPr>
          <w:p w14:paraId="4CCDD789" w14:textId="71D33CDF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.59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8*</w:t>
            </w:r>
          </w:p>
        </w:tc>
      </w:tr>
      <w:tr w:rsidR="004B6398" w:rsidRPr="004B6398" w14:paraId="071FE586" w14:textId="77777777" w:rsidTr="004B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noWrap/>
            <w:hideMark/>
          </w:tcPr>
          <w:p w14:paraId="1C2DD9E0" w14:textId="77777777" w:rsidR="004B6398" w:rsidRPr="004B6398" w:rsidRDefault="004B6398" w:rsidP="004B63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Stocks</w:t>
            </w:r>
          </w:p>
        </w:tc>
        <w:tc>
          <w:tcPr>
            <w:tcW w:w="1440" w:type="dxa"/>
            <w:noWrap/>
            <w:hideMark/>
          </w:tcPr>
          <w:p w14:paraId="260C3487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3" w:type="dxa"/>
            <w:noWrap/>
            <w:hideMark/>
          </w:tcPr>
          <w:p w14:paraId="3D47E3D4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noWrap/>
            <w:hideMark/>
          </w:tcPr>
          <w:p w14:paraId="09FC0C1E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noWrap/>
            <w:hideMark/>
          </w:tcPr>
          <w:p w14:paraId="2569950B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noWrap/>
            <w:hideMark/>
          </w:tcPr>
          <w:p w14:paraId="5E879F09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noWrap/>
            <w:hideMark/>
          </w:tcPr>
          <w:p w14:paraId="13ED0685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398" w:rsidRPr="004B6398" w14:paraId="74954F5E" w14:textId="77777777" w:rsidTr="004B639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noWrap/>
            <w:hideMark/>
          </w:tcPr>
          <w:p w14:paraId="6DB50AE9" w14:textId="77777777" w:rsidR="004B6398" w:rsidRPr="004B6398" w:rsidRDefault="004B6398" w:rsidP="004B63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Infosys</w:t>
            </w:r>
          </w:p>
        </w:tc>
        <w:tc>
          <w:tcPr>
            <w:tcW w:w="1440" w:type="dxa"/>
            <w:noWrap/>
            <w:hideMark/>
          </w:tcPr>
          <w:p w14:paraId="5570868D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0.1241</w:t>
            </w:r>
          </w:p>
        </w:tc>
        <w:tc>
          <w:tcPr>
            <w:tcW w:w="1213" w:type="dxa"/>
            <w:noWrap/>
            <w:hideMark/>
          </w:tcPr>
          <w:p w14:paraId="58E6BD71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-0.1766</w:t>
            </w:r>
          </w:p>
        </w:tc>
        <w:tc>
          <w:tcPr>
            <w:tcW w:w="1500" w:type="dxa"/>
            <w:noWrap/>
            <w:hideMark/>
          </w:tcPr>
          <w:p w14:paraId="26FE794F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0.1136</w:t>
            </w:r>
          </w:p>
        </w:tc>
        <w:tc>
          <w:tcPr>
            <w:tcW w:w="1760" w:type="dxa"/>
            <w:noWrap/>
            <w:hideMark/>
          </w:tcPr>
          <w:p w14:paraId="0B809CB3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0.0187</w:t>
            </w:r>
          </w:p>
        </w:tc>
        <w:tc>
          <w:tcPr>
            <w:tcW w:w="1500" w:type="dxa"/>
            <w:noWrap/>
            <w:hideMark/>
          </w:tcPr>
          <w:p w14:paraId="60084010" w14:textId="32D0A0EB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-0.812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</w:p>
        </w:tc>
        <w:tc>
          <w:tcPr>
            <w:tcW w:w="1500" w:type="dxa"/>
            <w:noWrap/>
            <w:hideMark/>
          </w:tcPr>
          <w:p w14:paraId="378E9921" w14:textId="70F4F906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</w:p>
        </w:tc>
      </w:tr>
      <w:tr w:rsidR="004B6398" w:rsidRPr="004B6398" w14:paraId="6DEB2303" w14:textId="77777777" w:rsidTr="004B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noWrap/>
            <w:hideMark/>
          </w:tcPr>
          <w:p w14:paraId="1F12B4D3" w14:textId="77777777" w:rsidR="004B6398" w:rsidRPr="004B6398" w:rsidRDefault="004B6398" w:rsidP="004B63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TCS</w:t>
            </w:r>
          </w:p>
        </w:tc>
        <w:tc>
          <w:tcPr>
            <w:tcW w:w="1440" w:type="dxa"/>
            <w:noWrap/>
            <w:hideMark/>
          </w:tcPr>
          <w:p w14:paraId="2BAFB6E1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0.0999</w:t>
            </w:r>
          </w:p>
        </w:tc>
        <w:tc>
          <w:tcPr>
            <w:tcW w:w="1213" w:type="dxa"/>
            <w:noWrap/>
            <w:hideMark/>
          </w:tcPr>
          <w:p w14:paraId="0F07A05F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-0.0988</w:t>
            </w:r>
          </w:p>
        </w:tc>
        <w:tc>
          <w:tcPr>
            <w:tcW w:w="1500" w:type="dxa"/>
            <w:noWrap/>
            <w:hideMark/>
          </w:tcPr>
          <w:p w14:paraId="32A00CB1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0.0939</w:t>
            </w:r>
          </w:p>
        </w:tc>
        <w:tc>
          <w:tcPr>
            <w:tcW w:w="1760" w:type="dxa"/>
            <w:noWrap/>
            <w:hideMark/>
          </w:tcPr>
          <w:p w14:paraId="4113B446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0.0171</w:t>
            </w:r>
          </w:p>
        </w:tc>
        <w:tc>
          <w:tcPr>
            <w:tcW w:w="1500" w:type="dxa"/>
            <w:noWrap/>
            <w:hideMark/>
          </w:tcPr>
          <w:p w14:paraId="2BF7B055" w14:textId="65D16665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</w:p>
        </w:tc>
        <w:tc>
          <w:tcPr>
            <w:tcW w:w="1500" w:type="dxa"/>
            <w:noWrap/>
            <w:hideMark/>
          </w:tcPr>
          <w:p w14:paraId="58346A9E" w14:textId="505388F9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.172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</w:p>
        </w:tc>
      </w:tr>
      <w:tr w:rsidR="004B6398" w:rsidRPr="004B6398" w14:paraId="38526D42" w14:textId="77777777" w:rsidTr="004B639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noWrap/>
            <w:hideMark/>
          </w:tcPr>
          <w:p w14:paraId="70AB0E57" w14:textId="77777777" w:rsidR="004B6398" w:rsidRPr="004B6398" w:rsidRDefault="004B6398" w:rsidP="004B63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HDFC Bank</w:t>
            </w:r>
          </w:p>
        </w:tc>
        <w:tc>
          <w:tcPr>
            <w:tcW w:w="1440" w:type="dxa"/>
            <w:noWrap/>
            <w:hideMark/>
          </w:tcPr>
          <w:p w14:paraId="6D52214E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0.0566</w:t>
            </w:r>
          </w:p>
        </w:tc>
        <w:tc>
          <w:tcPr>
            <w:tcW w:w="1213" w:type="dxa"/>
            <w:noWrap/>
            <w:hideMark/>
          </w:tcPr>
          <w:p w14:paraId="02D4975D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-0.1348</w:t>
            </w:r>
          </w:p>
        </w:tc>
        <w:tc>
          <w:tcPr>
            <w:tcW w:w="1500" w:type="dxa"/>
            <w:noWrap/>
            <w:hideMark/>
          </w:tcPr>
          <w:p w14:paraId="30BF7F29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0.1097</w:t>
            </w:r>
          </w:p>
        </w:tc>
        <w:tc>
          <w:tcPr>
            <w:tcW w:w="1760" w:type="dxa"/>
            <w:noWrap/>
            <w:hideMark/>
          </w:tcPr>
          <w:p w14:paraId="3D7E2076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0.0173</w:t>
            </w:r>
          </w:p>
        </w:tc>
        <w:tc>
          <w:tcPr>
            <w:tcW w:w="1500" w:type="dxa"/>
            <w:noWrap/>
            <w:hideMark/>
          </w:tcPr>
          <w:p w14:paraId="2AB0342C" w14:textId="44DFD63A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-0.379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</w:p>
        </w:tc>
        <w:tc>
          <w:tcPr>
            <w:tcW w:w="1500" w:type="dxa"/>
            <w:noWrap/>
            <w:hideMark/>
          </w:tcPr>
          <w:p w14:paraId="44CE45A4" w14:textId="2673C940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.14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9*</w:t>
            </w:r>
          </w:p>
        </w:tc>
      </w:tr>
      <w:tr w:rsidR="004B6398" w:rsidRPr="004B6398" w14:paraId="11AFFE05" w14:textId="77777777" w:rsidTr="004B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noWrap/>
            <w:hideMark/>
          </w:tcPr>
          <w:p w14:paraId="4D365E28" w14:textId="77777777" w:rsidR="004B6398" w:rsidRPr="004B6398" w:rsidRDefault="004B6398" w:rsidP="004B63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ICICI Bank</w:t>
            </w:r>
          </w:p>
        </w:tc>
        <w:tc>
          <w:tcPr>
            <w:tcW w:w="1440" w:type="dxa"/>
            <w:noWrap/>
            <w:hideMark/>
          </w:tcPr>
          <w:p w14:paraId="39C714ED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0.1006</w:t>
            </w:r>
          </w:p>
        </w:tc>
        <w:tc>
          <w:tcPr>
            <w:tcW w:w="1213" w:type="dxa"/>
            <w:noWrap/>
            <w:hideMark/>
          </w:tcPr>
          <w:p w14:paraId="257A8D42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-0.1966</w:t>
            </w:r>
          </w:p>
        </w:tc>
        <w:tc>
          <w:tcPr>
            <w:tcW w:w="1500" w:type="dxa"/>
            <w:noWrap/>
            <w:hideMark/>
          </w:tcPr>
          <w:p w14:paraId="6989E98D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0.1289</w:t>
            </w:r>
          </w:p>
        </w:tc>
        <w:tc>
          <w:tcPr>
            <w:tcW w:w="1760" w:type="dxa"/>
            <w:noWrap/>
            <w:hideMark/>
          </w:tcPr>
          <w:p w14:paraId="6AD1B87C" w14:textId="77777777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0.0240</w:t>
            </w:r>
          </w:p>
        </w:tc>
        <w:tc>
          <w:tcPr>
            <w:tcW w:w="1500" w:type="dxa"/>
            <w:noWrap/>
            <w:hideMark/>
          </w:tcPr>
          <w:p w14:paraId="0A9F6D54" w14:textId="21F9F2CE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-0.443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</w:p>
        </w:tc>
        <w:tc>
          <w:tcPr>
            <w:tcW w:w="1500" w:type="dxa"/>
            <w:noWrap/>
            <w:hideMark/>
          </w:tcPr>
          <w:p w14:paraId="2131E1CB" w14:textId="65582656" w:rsidR="004B6398" w:rsidRPr="004B6398" w:rsidRDefault="004B6398" w:rsidP="004B6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.212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</w:t>
            </w:r>
          </w:p>
        </w:tc>
      </w:tr>
      <w:tr w:rsidR="004B6398" w:rsidRPr="004B6398" w14:paraId="40349CFC" w14:textId="77777777" w:rsidTr="004B639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noWrap/>
            <w:hideMark/>
          </w:tcPr>
          <w:p w14:paraId="27B0AE0E" w14:textId="77777777" w:rsidR="004B6398" w:rsidRPr="004B6398" w:rsidRDefault="004B6398" w:rsidP="004B639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Reliance</w:t>
            </w:r>
          </w:p>
        </w:tc>
        <w:tc>
          <w:tcPr>
            <w:tcW w:w="1440" w:type="dxa"/>
            <w:noWrap/>
            <w:hideMark/>
          </w:tcPr>
          <w:p w14:paraId="40121751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0.1096</w:t>
            </w:r>
          </w:p>
        </w:tc>
        <w:tc>
          <w:tcPr>
            <w:tcW w:w="1213" w:type="dxa"/>
            <w:noWrap/>
            <w:hideMark/>
          </w:tcPr>
          <w:p w14:paraId="11155C2A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-0.1410</w:t>
            </w:r>
          </w:p>
        </w:tc>
        <w:tc>
          <w:tcPr>
            <w:tcW w:w="1500" w:type="dxa"/>
            <w:noWrap/>
            <w:hideMark/>
          </w:tcPr>
          <w:p w14:paraId="7B7D73A6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0.1373</w:t>
            </w:r>
          </w:p>
        </w:tc>
        <w:tc>
          <w:tcPr>
            <w:tcW w:w="1760" w:type="dxa"/>
            <w:noWrap/>
            <w:hideMark/>
          </w:tcPr>
          <w:p w14:paraId="16CA9095" w14:textId="77777777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0.0207</w:t>
            </w:r>
          </w:p>
        </w:tc>
        <w:tc>
          <w:tcPr>
            <w:tcW w:w="1500" w:type="dxa"/>
            <w:noWrap/>
            <w:hideMark/>
          </w:tcPr>
          <w:p w14:paraId="74195F8B" w14:textId="43715A98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500" w:type="dxa"/>
            <w:noWrap/>
            <w:hideMark/>
          </w:tcPr>
          <w:p w14:paraId="0C735946" w14:textId="29A66C5C" w:rsidR="004B6398" w:rsidRPr="004B6398" w:rsidRDefault="004B6398" w:rsidP="004B6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Pr="004B63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.86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1*</w:t>
            </w:r>
          </w:p>
        </w:tc>
      </w:tr>
    </w:tbl>
    <w:p w14:paraId="6262640E" w14:textId="4F9F5B3C" w:rsidR="004B6398" w:rsidRPr="00217916" w:rsidRDefault="00B93882" w:rsidP="002E48D1">
      <w:bookmarkStart w:id="3" w:name="_Hlk89730482"/>
      <w:bookmarkEnd w:id="2"/>
      <w:r>
        <w:t>*Indicates that the null hypothesis (the skewness or excess kurtosis is equal to zero) was rejected at the 10% significance level.</w:t>
      </w:r>
      <w:bookmarkEnd w:id="3"/>
    </w:p>
    <w:sectPr w:rsidR="004B6398" w:rsidRPr="0021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harisSI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9A"/>
    <w:rsid w:val="000C53CF"/>
    <w:rsid w:val="00144459"/>
    <w:rsid w:val="00217916"/>
    <w:rsid w:val="002E48D1"/>
    <w:rsid w:val="004B6398"/>
    <w:rsid w:val="006C52A0"/>
    <w:rsid w:val="007F7684"/>
    <w:rsid w:val="009263B8"/>
    <w:rsid w:val="00B93882"/>
    <w:rsid w:val="00C04A12"/>
    <w:rsid w:val="00D41D9A"/>
    <w:rsid w:val="00DC7F9D"/>
    <w:rsid w:val="00F61DA3"/>
    <w:rsid w:val="00FC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41F6"/>
  <w15:chartTrackingRefBased/>
  <w15:docId w15:val="{E788E358-B326-444A-A41E-222B86D2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4B6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Dalmia</dc:creator>
  <cp:keywords/>
  <dc:description/>
  <cp:lastModifiedBy>Sarthak Dalmia</cp:lastModifiedBy>
  <cp:revision>3</cp:revision>
  <dcterms:created xsi:type="dcterms:W3CDTF">2021-12-04T11:03:00Z</dcterms:created>
  <dcterms:modified xsi:type="dcterms:W3CDTF">2021-12-06T21:49:00Z</dcterms:modified>
</cp:coreProperties>
</file>