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94B25" w14:textId="77777777" w:rsidR="009C4111" w:rsidRDefault="00000000">
      <w:pPr>
        <w:spacing w:before="240" w:after="360"/>
        <w:jc w:val="center"/>
      </w:pPr>
      <w:r>
        <w:rPr>
          <w:rFonts w:ascii="Calibri" w:hAnsi="Calibri"/>
          <w:b/>
          <w:color w:val="1F4E78"/>
          <w:sz w:val="44"/>
        </w:rPr>
        <w:t>Clinical ML Classification Report: Multi-Disease Evaluation &amp; Diagnostics</w:t>
      </w:r>
    </w:p>
    <w:p w14:paraId="2A548436" w14:textId="77777777" w:rsidR="009C4111" w:rsidRDefault="00000000">
      <w:pPr>
        <w:keepNext/>
        <w:spacing w:before="360" w:after="120"/>
      </w:pPr>
      <w:r>
        <w:rPr>
          <w:rFonts w:ascii="Calibri" w:hAnsi="Calibri"/>
          <w:b/>
          <w:color w:val="1F4E78"/>
          <w:sz w:val="36"/>
        </w:rPr>
        <w:t>1. Executive Summary</w:t>
      </w:r>
    </w:p>
    <w:p w14:paraId="0760E72F" w14:textId="77777777" w:rsidR="009C4111" w:rsidRDefault="00000000">
      <w:pPr>
        <w:spacing w:after="120"/>
      </w:pPr>
      <w:r>
        <w:rPr>
          <w:rFonts w:ascii="Calibri" w:hAnsi="Calibri"/>
          <w:color w:val="323232"/>
        </w:rPr>
        <w:t>This report presents a standardized comparative evaluation of supervised machine learning models developed for four major respiratory conditions: Asthma, Idiopathic Pulmonary Fibrosis (IPF), Pneumonia, and Chronic Obstructive Pulmonary Disease (COPD). Four classification algorithms — Logistic Regression, Random Forest, XGBoost, and CatBoost — were evaluated across all cohorts. All evaluation metrics are formatted consistently across every section as Model, Accuracy, Precision, Recall, F1 Score, and AUC-ROC, with all quantitative values expressed as percentages (%).</w:t>
      </w:r>
    </w:p>
    <w:p w14:paraId="2B91A834" w14:textId="77777777" w:rsidR="009C4111" w:rsidRDefault="00000000">
      <w:pPr>
        <w:spacing w:after="120"/>
      </w:pPr>
      <w:r>
        <w:rPr>
          <w:rFonts w:ascii="Calibri" w:hAnsi="Calibri"/>
          <w:color w:val="323232"/>
        </w:rPr>
        <w:t>The best-performing model for each disease is visually highlighted in green in its respective model comparison table. In addition, a detailed methodology section outlining data preparation, resampling, scaling, hyperparameter configurations, and decision thresholding for each disease is included, followed by a consolidated summary table of all top models.</w:t>
      </w:r>
    </w:p>
    <w:p w14:paraId="0DEE9A3A" w14:textId="77777777" w:rsidR="009C4111" w:rsidRDefault="00000000">
      <w:pPr>
        <w:keepNext/>
        <w:spacing w:before="360" w:after="120"/>
      </w:pPr>
      <w:r>
        <w:rPr>
          <w:rFonts w:ascii="Calibri" w:hAnsi="Calibri"/>
          <w:b/>
          <w:color w:val="1F4E78"/>
          <w:sz w:val="36"/>
        </w:rPr>
        <w:t>2. Detailed Machine Learning Methodology</w:t>
      </w:r>
    </w:p>
    <w:p w14:paraId="159F538D" w14:textId="77777777" w:rsidR="009C4111" w:rsidRDefault="00000000">
      <w:pPr>
        <w:spacing w:after="120"/>
      </w:pPr>
      <w:r>
        <w:rPr>
          <w:rFonts w:ascii="Calibri" w:hAnsi="Calibri"/>
          <w:color w:val="323232"/>
        </w:rPr>
        <w:t>To ensure scientific rigor, reproducibility, and unbiased model comparison, a structured machine learning pipeline was designed and executed. This section details both the common architecture and disease-specific preprocessing, feature engineering, class-imbalance handling, scaling, and hyperparameter methodologies used to generate the results.</w:t>
      </w:r>
    </w:p>
    <w:p w14:paraId="1C550FB5" w14:textId="77777777" w:rsidR="009C4111" w:rsidRDefault="00000000">
      <w:pPr>
        <w:keepNext/>
        <w:spacing w:before="280" w:after="80"/>
      </w:pPr>
      <w:r>
        <w:rPr>
          <w:rFonts w:ascii="Calibri" w:hAnsi="Calibri"/>
          <w:b/>
          <w:color w:val="296496"/>
          <w:sz w:val="28"/>
        </w:rPr>
        <w:t>2.1 Common Machine Learning Framework</w:t>
      </w:r>
    </w:p>
    <w:p w14:paraId="0648512C" w14:textId="77777777" w:rsidR="009C4111" w:rsidRDefault="00000000">
      <w:pPr>
        <w:pStyle w:val="ListParagraph"/>
        <w:spacing w:after="60"/>
      </w:pPr>
      <w:r>
        <w:rPr>
          <w:rFonts w:ascii="Calibri" w:hAnsi="Calibri"/>
          <w:b/>
          <w:color w:val="1E1E1E"/>
        </w:rPr>
        <w:t xml:space="preserve">Data Ingestion &amp; Cleaning — </w:t>
      </w:r>
      <w:r>
        <w:rPr>
          <w:rFonts w:ascii="Calibri" w:hAnsi="Calibri"/>
          <w:color w:val="323232"/>
        </w:rPr>
        <w:t>All datasets were subjected to feature validation, removal of non-informative patient identifiers, missing value imputation, and categorical label encoding prior to model fitting.</w:t>
      </w:r>
    </w:p>
    <w:p w14:paraId="1F5EC43A" w14:textId="77777777" w:rsidR="009C4111" w:rsidRDefault="00000000">
      <w:pPr>
        <w:pStyle w:val="ListParagraph"/>
        <w:spacing w:after="60"/>
      </w:pPr>
      <w:r>
        <w:rPr>
          <w:rFonts w:ascii="Calibri" w:hAnsi="Calibri"/>
          <w:b/>
          <w:color w:val="1E1E1E"/>
        </w:rPr>
        <w:t xml:space="preserve">Stratified Train-Test Splitting — </w:t>
      </w:r>
      <w:r>
        <w:rPr>
          <w:rFonts w:ascii="Calibri" w:hAnsi="Calibri"/>
          <w:color w:val="323232"/>
        </w:rPr>
        <w:t>An 80:20 train-test split was executed using stratified sampling (`random_state=42`) to guarantee that class distributions in the hold-out test sets perfectly mirror the underlying clinical population.</w:t>
      </w:r>
    </w:p>
    <w:p w14:paraId="119AA43D" w14:textId="77777777" w:rsidR="009C4111" w:rsidRDefault="00000000">
      <w:pPr>
        <w:pStyle w:val="ListParagraph"/>
        <w:spacing w:after="60"/>
      </w:pPr>
      <w:r>
        <w:rPr>
          <w:rFonts w:ascii="Calibri" w:hAnsi="Calibri"/>
          <w:b/>
          <w:color w:val="1E1E1E"/>
        </w:rPr>
        <w:t xml:space="preserve">Feature Standardization — </w:t>
      </w:r>
      <w:r>
        <w:rPr>
          <w:rFonts w:ascii="Calibri" w:hAnsi="Calibri"/>
          <w:color w:val="323232"/>
        </w:rPr>
        <w:t>For algorithms sensitive to feature magnitudes (e.g., Logistic Regression), numerical features were z-score normalized using `StandardScaler` fitted strictly on the training set to prevent data leakage.</w:t>
      </w:r>
    </w:p>
    <w:p w14:paraId="749B705A" w14:textId="77777777" w:rsidR="009C4111" w:rsidRDefault="00000000">
      <w:pPr>
        <w:pStyle w:val="ListParagraph"/>
        <w:spacing w:after="60"/>
      </w:pPr>
      <w:r>
        <w:rPr>
          <w:rFonts w:ascii="Calibri" w:hAnsi="Calibri"/>
          <w:b/>
          <w:color w:val="1E1E1E"/>
        </w:rPr>
        <w:t xml:space="preserve">Model Architectures — </w:t>
      </w:r>
      <w:r>
        <w:rPr>
          <w:rFonts w:ascii="Calibri" w:hAnsi="Calibri"/>
          <w:color w:val="323232"/>
        </w:rPr>
        <w:t>Four distinct model families were trained: Logistic Regression (linear baseline), Random Forest (bagging ensemble), XGBoost (gradient boosting with regularized trees), and CatBoost (gradient boosting with symmetric trees and native categorical handling).</w:t>
      </w:r>
    </w:p>
    <w:p w14:paraId="0A3235BE" w14:textId="77777777" w:rsidR="009C4111" w:rsidRDefault="00000000">
      <w:pPr>
        <w:pStyle w:val="ListParagraph"/>
        <w:spacing w:after="60"/>
      </w:pPr>
      <w:r>
        <w:rPr>
          <w:rFonts w:ascii="Calibri" w:hAnsi="Calibri"/>
          <w:b/>
          <w:color w:val="1E1E1E"/>
        </w:rPr>
        <w:lastRenderedPageBreak/>
        <w:t xml:space="preserve">Standardized Evaluation Protocol — </w:t>
      </w:r>
      <w:r>
        <w:rPr>
          <w:rFonts w:ascii="Calibri" w:hAnsi="Calibri"/>
          <w:color w:val="323232"/>
        </w:rPr>
        <w:t>All models were evaluated using 5 core classification metrics: Accuracy, Precision, Recall, F1-Score, and ROC-AUC. For binary tasks, binary ROC-AUC was computed; for multi-class tasks, weighted One-vs-Rest (OvR) ROC-AUC was computed.</w:t>
      </w:r>
    </w:p>
    <w:p w14:paraId="4344760B" w14:textId="77777777" w:rsidR="009C4111" w:rsidRDefault="00000000">
      <w:pPr>
        <w:keepNext/>
        <w:spacing w:before="280" w:after="80"/>
      </w:pPr>
      <w:r>
        <w:rPr>
          <w:rFonts w:ascii="Calibri" w:hAnsi="Calibri"/>
          <w:b/>
          <w:color w:val="296496"/>
          <w:sz w:val="28"/>
        </w:rPr>
        <w:t>2.2 Disease-Specific Methodologies</w:t>
      </w:r>
    </w:p>
    <w:p w14:paraId="34714A6E" w14:textId="77777777" w:rsidR="009C4111" w:rsidRDefault="00000000">
      <w:pPr>
        <w:keepNext/>
        <w:spacing w:before="200" w:after="40"/>
      </w:pPr>
      <w:r>
        <w:rPr>
          <w:rFonts w:ascii="Calibri" w:hAnsi="Calibri"/>
          <w:b/>
          <w:color w:val="3C3C3C"/>
          <w:sz w:val="24"/>
        </w:rPr>
        <w:t>2.2.1 Asthma Classification Methodology</w:t>
      </w:r>
    </w:p>
    <w:p w14:paraId="79412DE8" w14:textId="77777777" w:rsidR="009C4111" w:rsidRDefault="00000000">
      <w:pPr>
        <w:pStyle w:val="ListParagraph"/>
        <w:spacing w:after="60"/>
      </w:pPr>
      <w:r>
        <w:rPr>
          <w:rFonts w:ascii="Calibri" w:hAnsi="Calibri"/>
          <w:b/>
          <w:color w:val="1E1E1E"/>
        </w:rPr>
        <w:t xml:space="preserve">Cohort &amp; Features — </w:t>
      </w:r>
      <w:r>
        <w:rPr>
          <w:rFonts w:ascii="Calibri" w:hAnsi="Calibri"/>
          <w:color w:val="323232"/>
        </w:rPr>
        <w:t>Cohort consisting of 2,392 patients evaluated across 28 demographic, clinical, environmental, and lifestyle features.</w:t>
      </w:r>
    </w:p>
    <w:p w14:paraId="548B1637" w14:textId="77777777" w:rsidR="009C4111" w:rsidRDefault="00000000">
      <w:pPr>
        <w:pStyle w:val="ListParagraph"/>
        <w:spacing w:after="60"/>
      </w:pPr>
      <w:r>
        <w:rPr>
          <w:rFonts w:ascii="Calibri" w:hAnsi="Calibri"/>
          <w:b/>
          <w:color w:val="1E1E1E"/>
        </w:rPr>
        <w:t xml:space="preserve">Imbalance Mitigation (SMOTE) — </w:t>
      </w:r>
      <w:r>
        <w:rPr>
          <w:rFonts w:ascii="Calibri" w:hAnsi="Calibri"/>
          <w:color w:val="323232"/>
        </w:rPr>
        <w:t>Severe target class imbalance (94.82% negative vs. 5.18% positive asthma cases). SMOTE (Synthetic Minority Over-sampling Technique) was fitted exclusively on the training split to synthesize minority class samples.</w:t>
      </w:r>
    </w:p>
    <w:p w14:paraId="76E01C69" w14:textId="77777777" w:rsidR="009C4111" w:rsidRDefault="00000000">
      <w:pPr>
        <w:pStyle w:val="ListParagraph"/>
        <w:spacing w:after="60"/>
      </w:pPr>
      <w:r>
        <w:rPr>
          <w:rFonts w:ascii="Calibri" w:hAnsi="Calibri"/>
          <w:b/>
          <w:color w:val="1E1E1E"/>
        </w:rPr>
        <w:t xml:space="preserve">Decision Threshold Tuning (0.30) — </w:t>
      </w:r>
      <w:r>
        <w:rPr>
          <w:rFonts w:ascii="Calibri" w:hAnsi="Calibri"/>
          <w:color w:val="323232"/>
        </w:rPr>
        <w:t>Probability thresholding was tuned down to 0.30 to prioritize minority class Recall, allowing clinical detection of true asthma patients.</w:t>
      </w:r>
    </w:p>
    <w:p w14:paraId="0EAEDF95" w14:textId="77777777" w:rsidR="009C4111" w:rsidRDefault="00000000">
      <w:pPr>
        <w:keepNext/>
        <w:spacing w:before="200" w:after="40"/>
      </w:pPr>
      <w:r>
        <w:rPr>
          <w:rFonts w:ascii="Calibri" w:hAnsi="Calibri"/>
          <w:b/>
          <w:color w:val="3C3C3C"/>
          <w:sz w:val="24"/>
        </w:rPr>
        <w:t>2.2.2 Idiopathic Pulmonary Fibrosis (IPF) Severity Methodology</w:t>
      </w:r>
    </w:p>
    <w:p w14:paraId="65C41F48" w14:textId="77777777" w:rsidR="009C4111" w:rsidRDefault="00000000">
      <w:pPr>
        <w:pStyle w:val="ListParagraph"/>
        <w:spacing w:after="60"/>
      </w:pPr>
      <w:r>
        <w:rPr>
          <w:rFonts w:ascii="Calibri" w:hAnsi="Calibri"/>
          <w:b/>
          <w:color w:val="1E1E1E"/>
        </w:rPr>
        <w:t xml:space="preserve">Cohort &amp; Features — </w:t>
      </w:r>
      <w:r>
        <w:rPr>
          <w:rFonts w:ascii="Calibri" w:hAnsi="Calibri"/>
          <w:color w:val="323232"/>
        </w:rPr>
        <w:t>Sub-cohort analysis focused on 600 patient visit records with verified IPF diagnoses, evaluating multi-class severity (Mild / Moderate / Severe).</w:t>
      </w:r>
    </w:p>
    <w:p w14:paraId="2FF10A4A" w14:textId="77777777" w:rsidR="009C4111" w:rsidRDefault="00000000">
      <w:pPr>
        <w:pStyle w:val="ListParagraph"/>
        <w:spacing w:after="60"/>
      </w:pPr>
      <w:r>
        <w:rPr>
          <w:rFonts w:ascii="Calibri" w:hAnsi="Calibri"/>
          <w:b/>
          <w:color w:val="1E1E1E"/>
        </w:rPr>
        <w:t xml:space="preserve">Feature Engineering — </w:t>
      </w:r>
      <w:r>
        <w:rPr>
          <w:rFonts w:ascii="Calibri" w:hAnsi="Calibri"/>
          <w:color w:val="323232"/>
        </w:rPr>
        <w:t>Key pulmonary function metrics and clinical predictors (`FVC`, `Percent`, `Age`, `Sex`, `SmokingStatus`) were extracted and categorical variables encoded via `LabelEncoder`.</w:t>
      </w:r>
    </w:p>
    <w:p w14:paraId="4D247965" w14:textId="77777777" w:rsidR="009C4111" w:rsidRDefault="00000000">
      <w:pPr>
        <w:pStyle w:val="ListParagraph"/>
        <w:spacing w:after="60"/>
      </w:pPr>
      <w:r>
        <w:rPr>
          <w:rFonts w:ascii="Calibri" w:hAnsi="Calibri"/>
          <w:b/>
          <w:color w:val="1E1E1E"/>
        </w:rPr>
        <w:t xml:space="preserve">Multi-Class Severity Modeling — </w:t>
      </w:r>
      <w:r>
        <w:rPr>
          <w:rFonts w:ascii="Calibri" w:hAnsi="Calibri"/>
          <w:color w:val="323232"/>
        </w:rPr>
        <w:t>Multi-class log-loss optimization was employed across all 4 classifiers. Predictions were evaluated using weighted macro-averaging and multi-class One-vs-Rest (OvR) ROC-AUC scoring.</w:t>
      </w:r>
    </w:p>
    <w:p w14:paraId="0B520098" w14:textId="77777777" w:rsidR="009C4111" w:rsidRDefault="00000000">
      <w:pPr>
        <w:keepNext/>
        <w:spacing w:before="200" w:after="40"/>
      </w:pPr>
      <w:r>
        <w:rPr>
          <w:rFonts w:ascii="Calibri" w:hAnsi="Calibri"/>
          <w:b/>
          <w:color w:val="3C3C3C"/>
          <w:sz w:val="24"/>
        </w:rPr>
        <w:t>2.2.3 Pneumonia Classification Methodology</w:t>
      </w:r>
    </w:p>
    <w:p w14:paraId="63ED8615" w14:textId="77777777" w:rsidR="009C4111" w:rsidRDefault="00000000">
      <w:pPr>
        <w:pStyle w:val="ListParagraph"/>
        <w:spacing w:after="60"/>
      </w:pPr>
      <w:r>
        <w:rPr>
          <w:rFonts w:ascii="Calibri" w:hAnsi="Calibri"/>
          <w:b/>
          <w:color w:val="1E1E1E"/>
        </w:rPr>
        <w:t xml:space="preserve">Cohort &amp; Preprocessing — </w:t>
      </w:r>
      <w:r>
        <w:rPr>
          <w:rFonts w:ascii="Calibri" w:hAnsi="Calibri"/>
          <w:color w:val="323232"/>
        </w:rPr>
        <w:t>Raw dataset of 710 patient records with 16 symptom and vitals features. After replacing invalid `-` entries, 6 core clinical predictors were selected: `Fever`, `Cough`, `ChestPain`, `WBCCount`, `SpO2`, and `RespiratorySymptom`.</w:t>
      </w:r>
    </w:p>
    <w:p w14:paraId="2A3DBCAE" w14:textId="77777777" w:rsidR="009C4111" w:rsidRDefault="00000000">
      <w:pPr>
        <w:pStyle w:val="ListParagraph"/>
        <w:spacing w:after="60"/>
      </w:pPr>
      <w:r>
        <w:rPr>
          <w:rFonts w:ascii="Calibri" w:hAnsi="Calibri"/>
          <w:b/>
          <w:color w:val="1E1E1E"/>
        </w:rPr>
        <w:t xml:space="preserve">Missing Value Imputation — </w:t>
      </w:r>
      <w:r>
        <w:rPr>
          <w:rFonts w:ascii="Calibri" w:hAnsi="Calibri"/>
          <w:color w:val="323232"/>
        </w:rPr>
        <w:t>Missing clinical values were imputed using `SimpleImputer(strategy='median')` to preserve distribution medians. Categorical symptom severities were mapped to ordinal numeric scales.</w:t>
      </w:r>
    </w:p>
    <w:p w14:paraId="1D7C2C04" w14:textId="77777777" w:rsidR="009C4111" w:rsidRDefault="00000000">
      <w:pPr>
        <w:pStyle w:val="ListParagraph"/>
        <w:spacing w:after="60"/>
      </w:pPr>
      <w:r>
        <w:rPr>
          <w:rFonts w:ascii="Calibri" w:hAnsi="Calibri"/>
          <w:b/>
          <w:color w:val="1E1E1E"/>
        </w:rPr>
        <w:t xml:space="preserve">Resampling &amp; Fitting — </w:t>
      </w:r>
      <w:r>
        <w:rPr>
          <w:rFonts w:ascii="Calibri" w:hAnsi="Calibri"/>
          <w:color w:val="323232"/>
        </w:rPr>
        <w:t>Target balance (408 positive vs. 302 negative cases) was further balanced on the training split using SMOTE before scaling and classifier fitting.</w:t>
      </w:r>
    </w:p>
    <w:p w14:paraId="3FB14FE6" w14:textId="77777777" w:rsidR="009C4111" w:rsidRDefault="00000000">
      <w:pPr>
        <w:keepNext/>
        <w:spacing w:before="200" w:after="40"/>
      </w:pPr>
      <w:r>
        <w:rPr>
          <w:rFonts w:ascii="Calibri" w:hAnsi="Calibri"/>
          <w:b/>
          <w:color w:val="3C3C3C"/>
          <w:sz w:val="24"/>
        </w:rPr>
        <w:t>2.2.4 COPD GOLD Stage Classification Methodology</w:t>
      </w:r>
    </w:p>
    <w:p w14:paraId="1052F81C" w14:textId="77777777" w:rsidR="009C4111" w:rsidRDefault="00000000">
      <w:pPr>
        <w:pStyle w:val="ListParagraph"/>
        <w:spacing w:after="60"/>
      </w:pPr>
      <w:r>
        <w:rPr>
          <w:rFonts w:ascii="Calibri" w:hAnsi="Calibri"/>
          <w:b/>
          <w:color w:val="1E1E1E"/>
        </w:rPr>
        <w:t xml:space="preserve">Cohort &amp; Feature Set — </w:t>
      </w:r>
      <w:r>
        <w:rPr>
          <w:rFonts w:ascii="Calibri" w:hAnsi="Calibri"/>
          <w:color w:val="323232"/>
        </w:rPr>
        <w:t>Combined cohort of 2,234 patient records across physiological, spirometric, and exercise datasets (Sheet1 and Sheet2), utilizing 9 key clinical predictors (`Age`, `Gender`, `Smoker`, `BMI`, `Baseline FEV1`, `Baseline SpO2`, `Respiration Rate`, `Dyspnea mMRC`, `Heart Rate`).</w:t>
      </w:r>
    </w:p>
    <w:p w14:paraId="5A04FD92" w14:textId="77777777" w:rsidR="009C4111" w:rsidRDefault="00000000">
      <w:pPr>
        <w:pStyle w:val="ListParagraph"/>
        <w:spacing w:after="60"/>
      </w:pPr>
      <w:r>
        <w:rPr>
          <w:rFonts w:ascii="Calibri" w:hAnsi="Calibri"/>
          <w:b/>
          <w:color w:val="1E1E1E"/>
        </w:rPr>
        <w:t xml:space="preserve">Target &amp; Dataset Split — </w:t>
      </w:r>
      <w:r>
        <w:rPr>
          <w:rFonts w:ascii="Calibri" w:hAnsi="Calibri"/>
          <w:color w:val="323232"/>
        </w:rPr>
        <w:t xml:space="preserve">Multi-class classification across 4 GOLD severity stages (Stage 1 to Stage 4). An explicit stratified 80:20 train-test split (1,787 train, 447 test samples) was executed </w:t>
      </w:r>
      <w:r>
        <w:rPr>
          <w:rFonts w:ascii="Calibri" w:hAnsi="Calibri"/>
          <w:color w:val="323232"/>
        </w:rPr>
        <w:lastRenderedPageBreak/>
        <w:t>directly on the combined COPD dataset `df_proc`, correcting an earlier notebook script artifact where Pneumonia's split was inadvertently re-used in global memory.</w:t>
      </w:r>
    </w:p>
    <w:p w14:paraId="0C80BB1C" w14:textId="77777777" w:rsidR="009C4111" w:rsidRDefault="00000000">
      <w:pPr>
        <w:pStyle w:val="ListParagraph"/>
        <w:spacing w:after="60"/>
      </w:pPr>
      <w:r>
        <w:rPr>
          <w:rFonts w:ascii="Calibri" w:hAnsi="Calibri"/>
          <w:b/>
          <w:color w:val="1E1E1E"/>
        </w:rPr>
        <w:t xml:space="preserve">Multi-Class Evaluation — </w:t>
      </w:r>
      <w:r>
        <w:rPr>
          <w:rFonts w:ascii="Calibri" w:hAnsi="Calibri"/>
          <w:color w:val="323232"/>
        </w:rPr>
        <w:t>Classifiers were evaluated using multi-class weighted precision, recall, F1-score, and weighted OvR ROC-AUC scoring.</w:t>
      </w:r>
    </w:p>
    <w:p w14:paraId="4196D852" w14:textId="77777777" w:rsidR="009C4111" w:rsidRDefault="00000000">
      <w:pPr>
        <w:keepNext/>
        <w:spacing w:before="360" w:after="120"/>
      </w:pPr>
      <w:r>
        <w:rPr>
          <w:rFonts w:ascii="Calibri" w:hAnsi="Calibri"/>
          <w:b/>
          <w:color w:val="1F4E78"/>
          <w:sz w:val="36"/>
        </w:rPr>
        <w:t>3. Asthma Classification Results</w:t>
      </w:r>
    </w:p>
    <w:p w14:paraId="52F58FA4" w14:textId="77777777" w:rsidR="009C4111" w:rsidRDefault="00000000">
      <w:pPr>
        <w:spacing w:after="120"/>
      </w:pPr>
      <w:r>
        <w:rPr>
          <w:rFonts w:ascii="Calibri" w:hAnsi="Calibri"/>
          <w:color w:val="323232"/>
        </w:rPr>
        <w:t>Performance metrics for binary asthma classification (decision threshold = 0.30).</w:t>
      </w:r>
    </w:p>
    <w:p w14:paraId="319455DA" w14:textId="77777777" w:rsidR="009C4111" w:rsidRDefault="00000000">
      <w:pPr>
        <w:keepNext/>
        <w:spacing w:before="280" w:after="80"/>
      </w:pPr>
      <w:r>
        <w:rPr>
          <w:rFonts w:ascii="Calibri" w:hAnsi="Calibri"/>
          <w:b/>
          <w:color w:val="296496"/>
          <w:sz w:val="28"/>
        </w:rPr>
        <w:t>3.1 Model Comparison Table</w:t>
      </w:r>
    </w:p>
    <w:p w14:paraId="22AE6CC8" w14:textId="77777777" w:rsidR="009C4111" w:rsidRDefault="00000000">
      <w:pPr>
        <w:spacing w:after="120"/>
      </w:pPr>
      <w:r>
        <w:rPr>
          <w:rFonts w:ascii="Calibri" w:hAnsi="Calibri"/>
          <w:color w:val="323232"/>
        </w:rPr>
        <w:t>Table 3.1 — Performance comparison of Asthma classification models (Best model highlighted in green).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ayout w:type="fixed"/>
        <w:tblLook w:val="04A0" w:firstRow="1" w:lastRow="0" w:firstColumn="1" w:lastColumn="0" w:noHBand="0" w:noVBand="1"/>
      </w:tblPr>
      <w:tblGrid>
        <w:gridCol w:w="2592"/>
        <w:gridCol w:w="1440"/>
        <w:gridCol w:w="1440"/>
        <w:gridCol w:w="1440"/>
        <w:gridCol w:w="1440"/>
        <w:gridCol w:w="1728"/>
      </w:tblGrid>
      <w:tr w:rsidR="009C4111" w14:paraId="4B04881D" w14:textId="77777777">
        <w:trPr>
          <w:jc w:val="center"/>
        </w:trPr>
        <w:tc>
          <w:tcPr>
            <w:tcW w:w="2592" w:type="dxa"/>
            <w:shd w:val="clear" w:color="auto" w:fill="1F4E7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88FED4E" w14:textId="77777777" w:rsidR="009C4111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Model</w:t>
            </w:r>
          </w:p>
        </w:tc>
        <w:tc>
          <w:tcPr>
            <w:tcW w:w="1440" w:type="dxa"/>
            <w:shd w:val="clear" w:color="auto" w:fill="1F4E7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48F8919" w14:textId="77777777" w:rsidR="009C4111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Accuracy (%)</w:t>
            </w:r>
          </w:p>
        </w:tc>
        <w:tc>
          <w:tcPr>
            <w:tcW w:w="1440" w:type="dxa"/>
            <w:shd w:val="clear" w:color="auto" w:fill="1F4E7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18B7406" w14:textId="77777777" w:rsidR="009C4111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Precision (%)</w:t>
            </w:r>
          </w:p>
        </w:tc>
        <w:tc>
          <w:tcPr>
            <w:tcW w:w="1440" w:type="dxa"/>
            <w:shd w:val="clear" w:color="auto" w:fill="1F4E7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DEEF242" w14:textId="77777777" w:rsidR="009C4111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Recall (%)</w:t>
            </w:r>
          </w:p>
        </w:tc>
        <w:tc>
          <w:tcPr>
            <w:tcW w:w="1440" w:type="dxa"/>
            <w:shd w:val="clear" w:color="auto" w:fill="1F4E7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2D08CFE" w14:textId="77777777" w:rsidR="009C4111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F1 Score (%)</w:t>
            </w:r>
          </w:p>
        </w:tc>
        <w:tc>
          <w:tcPr>
            <w:tcW w:w="1728" w:type="dxa"/>
            <w:shd w:val="clear" w:color="auto" w:fill="1F4E7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5BDBCE6" w14:textId="77777777" w:rsidR="009C4111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AUC-ROC (%)</w:t>
            </w:r>
          </w:p>
        </w:tc>
      </w:tr>
      <w:tr w:rsidR="009C4111" w14:paraId="07FF6B89" w14:textId="77777777">
        <w:trPr>
          <w:jc w:val="center"/>
        </w:trPr>
        <w:tc>
          <w:tcPr>
            <w:tcW w:w="2592" w:type="dxa"/>
            <w:shd w:val="clear" w:color="auto" w:fill="E2EFD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>Random Forest (Best)</w:t>
            </w:r>
          </w:p>
        </w:tc>
        <w:tc>
          <w:tcPr>
            <w:tcW w:w="1440" w:type="dxa"/>
            <w:shd w:val="clear" w:color="auto" w:fill="E2EFD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>68.68%</w:t>
            </w:r>
          </w:p>
        </w:tc>
        <w:tc>
          <w:tcPr>
            <w:tcW w:w="1440" w:type="dxa"/>
            <w:shd w:val="clear" w:color="auto" w:fill="E2EFD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>5.59%</w:t>
            </w:r>
          </w:p>
        </w:tc>
        <w:tc>
          <w:tcPr>
            <w:tcW w:w="1440" w:type="dxa"/>
            <w:shd w:val="clear" w:color="auto" w:fill="E2EFD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>34.78%</w:t>
            </w:r>
          </w:p>
        </w:tc>
        <w:tc>
          <w:tcPr>
            <w:tcW w:w="1440" w:type="dxa"/>
            <w:shd w:val="clear" w:color="auto" w:fill="E2EFD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>9.64%</w:t>
            </w:r>
          </w:p>
        </w:tc>
        <w:tc>
          <w:tcPr>
            <w:tcW w:w="1728" w:type="dxa"/>
            <w:shd w:val="clear" w:color="auto" w:fill="E2EFD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>47.99%</w:t>
            </w:r>
          </w:p>
        </w:tc>
      </w:tr>
      <w:tr w:rsidR="009C4111" w14:paraId="7CF285F6" w14:textId="77777777">
        <w:trPr>
          <w:jc w:val="center"/>
        </w:trPr>
        <w:tc>
          <w:tcPr>
            <w:tcW w:w="2592" w:type="dxa"/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CCD2170" w14:textId="77777777" w:rsidR="009C4111" w:rsidRDefault="00000000">
            <w:r>
              <w:rPr>
                <w:rFonts w:ascii="Calibri" w:hAnsi="Calibri"/>
                <w:color w:val="323232"/>
                <w:sz w:val="19"/>
              </w:rPr>
              <w:t>XGBoost</w:t>
            </w:r>
          </w:p>
        </w:tc>
        <w:tc>
          <w:tcPr>
            <w:tcW w:w="1440" w:type="dxa"/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488A825" w14:textId="77777777" w:rsidR="009C4111" w:rsidRDefault="00000000">
            <w:r>
              <w:rPr>
                <w:rFonts w:ascii="Calibri" w:hAnsi="Calibri"/>
                <w:color w:val="323232"/>
                <w:sz w:val="19"/>
              </w:rPr>
              <w:t>38.20%</w:t>
            </w:r>
          </w:p>
        </w:tc>
        <w:tc>
          <w:tcPr>
            <w:tcW w:w="1440" w:type="dxa"/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9A760FE" w14:textId="77777777" w:rsidR="009C4111" w:rsidRDefault="00000000">
            <w:r>
              <w:rPr>
                <w:rFonts w:ascii="Calibri" w:hAnsi="Calibri"/>
                <w:color w:val="323232"/>
                <w:sz w:val="19"/>
              </w:rPr>
              <w:t>6.43%</w:t>
            </w:r>
          </w:p>
        </w:tc>
        <w:tc>
          <w:tcPr>
            <w:tcW w:w="1440" w:type="dxa"/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540CA0B" w14:textId="77777777" w:rsidR="009C4111" w:rsidRDefault="00000000">
            <w:r>
              <w:rPr>
                <w:rFonts w:ascii="Calibri" w:hAnsi="Calibri"/>
                <w:color w:val="323232"/>
                <w:sz w:val="19"/>
              </w:rPr>
              <w:t>80.00%</w:t>
            </w:r>
          </w:p>
        </w:tc>
        <w:tc>
          <w:tcPr>
            <w:tcW w:w="1440" w:type="dxa"/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193AC57" w14:textId="77777777" w:rsidR="009C4111" w:rsidRDefault="00000000">
            <w:r>
              <w:rPr>
                <w:rFonts w:ascii="Calibri" w:hAnsi="Calibri"/>
                <w:color w:val="323232"/>
                <w:sz w:val="19"/>
              </w:rPr>
              <w:t>11.90%</w:t>
            </w:r>
          </w:p>
        </w:tc>
        <w:tc>
          <w:tcPr>
            <w:tcW w:w="1728" w:type="dxa"/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9473CC1" w14:textId="77777777" w:rsidR="009C4111" w:rsidRDefault="00000000">
            <w:r>
              <w:rPr>
                <w:rFonts w:ascii="Calibri" w:hAnsi="Calibri"/>
                <w:color w:val="323232"/>
                <w:sz w:val="19"/>
              </w:rPr>
              <w:t>55.67%</w:t>
            </w:r>
          </w:p>
        </w:tc>
      </w:tr>
      <w:tr w:rsidR="009C4111" w14:paraId="0D0E8FB1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F0A2400" w14:textId="77777777" w:rsidR="009C4111" w:rsidRDefault="00000000">
            <w:r>
              <w:rPr>
                <w:rFonts w:ascii="Calibri" w:hAnsi="Calibri"/>
                <w:color w:val="323232"/>
                <w:sz w:val="19"/>
              </w:rPr>
              <w:t>Logistic Regression</w:t>
            </w:r>
          </w:p>
        </w:tc>
        <w:tc>
          <w:tcPr>
            <w:tcW w:w="144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3141B19" w14:textId="77777777" w:rsidR="009C4111" w:rsidRDefault="00000000">
            <w:r>
              <w:rPr>
                <w:rFonts w:ascii="Calibri" w:hAnsi="Calibri"/>
                <w:color w:val="323232"/>
                <w:sz w:val="19"/>
              </w:rPr>
              <w:t>29.85%</w:t>
            </w:r>
          </w:p>
        </w:tc>
        <w:tc>
          <w:tcPr>
            <w:tcW w:w="144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56054BD" w14:textId="77777777" w:rsidR="009C4111" w:rsidRDefault="00000000">
            <w:r>
              <w:rPr>
                <w:rFonts w:ascii="Calibri" w:hAnsi="Calibri"/>
                <w:color w:val="323232"/>
                <w:sz w:val="19"/>
              </w:rPr>
              <w:t>6.20%</w:t>
            </w:r>
          </w:p>
        </w:tc>
        <w:tc>
          <w:tcPr>
            <w:tcW w:w="144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B9FBB84" w14:textId="77777777" w:rsidR="009C4111" w:rsidRDefault="00000000">
            <w:r>
              <w:rPr>
                <w:rFonts w:ascii="Calibri" w:hAnsi="Calibri"/>
                <w:color w:val="323232"/>
                <w:sz w:val="19"/>
              </w:rPr>
              <w:t>88.00%</w:t>
            </w:r>
          </w:p>
        </w:tc>
        <w:tc>
          <w:tcPr>
            <w:tcW w:w="144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9E97D50" w14:textId="77777777" w:rsidR="009C4111" w:rsidRDefault="00000000">
            <w:r>
              <w:rPr>
                <w:rFonts w:ascii="Calibri" w:hAnsi="Calibri"/>
                <w:color w:val="323232"/>
                <w:sz w:val="19"/>
              </w:rPr>
              <w:t>11.58%</w:t>
            </w:r>
          </w:p>
        </w:tc>
        <w:tc>
          <w:tcPr>
            <w:tcW w:w="172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D792F0B" w14:textId="77777777" w:rsidR="009C4111" w:rsidRDefault="00000000">
            <w:r>
              <w:rPr>
                <w:rFonts w:ascii="Calibri" w:hAnsi="Calibri"/>
                <w:color w:val="323232"/>
                <w:sz w:val="19"/>
              </w:rPr>
              <w:t>56.93%</w:t>
            </w:r>
          </w:p>
        </w:tc>
      </w:tr>
      <w:tr w:rsidR="009C4111" w14:paraId="31F6CC89" w14:textId="77777777">
        <w:trPr>
          <w:jc w:val="center"/>
        </w:trPr>
        <w:tc>
          <w:tcPr>
            <w:tcW w:w="2592" w:type="dxa"/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2AB32DA" w14:textId="77777777" w:rsidR="009C4111" w:rsidRDefault="00000000">
            <w:r>
              <w:rPr>
                <w:rFonts w:ascii="Calibri" w:hAnsi="Calibri"/>
                <w:color w:val="323232"/>
                <w:sz w:val="19"/>
              </w:rPr>
              <w:t>CatBoost</w:t>
            </w:r>
          </w:p>
        </w:tc>
        <w:tc>
          <w:tcPr>
            <w:tcW w:w="1440" w:type="dxa"/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CCA757C" w14:textId="77777777" w:rsidR="009C4111" w:rsidRDefault="00000000">
            <w:r>
              <w:rPr>
                <w:rFonts w:ascii="Calibri" w:hAnsi="Calibri"/>
                <w:color w:val="323232"/>
                <w:sz w:val="19"/>
              </w:rPr>
              <w:t>18.79%</w:t>
            </w:r>
          </w:p>
        </w:tc>
        <w:tc>
          <w:tcPr>
            <w:tcW w:w="1440" w:type="dxa"/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E0A2143" w14:textId="77777777" w:rsidR="009C4111" w:rsidRDefault="00000000">
            <w:r>
              <w:rPr>
                <w:rFonts w:ascii="Calibri" w:hAnsi="Calibri"/>
                <w:color w:val="323232"/>
                <w:sz w:val="19"/>
              </w:rPr>
              <w:t>6.04%</w:t>
            </w:r>
          </w:p>
        </w:tc>
        <w:tc>
          <w:tcPr>
            <w:tcW w:w="1440" w:type="dxa"/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5AB0AFD" w14:textId="77777777" w:rsidR="009C4111" w:rsidRDefault="00000000">
            <w:r>
              <w:rPr>
                <w:rFonts w:ascii="Calibri" w:hAnsi="Calibri"/>
                <w:color w:val="323232"/>
                <w:sz w:val="19"/>
              </w:rPr>
              <w:t>100.00%</w:t>
            </w:r>
          </w:p>
        </w:tc>
        <w:tc>
          <w:tcPr>
            <w:tcW w:w="1440" w:type="dxa"/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DD16B4B" w14:textId="77777777" w:rsidR="009C4111" w:rsidRDefault="00000000">
            <w:r>
              <w:rPr>
                <w:rFonts w:ascii="Calibri" w:hAnsi="Calibri"/>
                <w:color w:val="323232"/>
                <w:sz w:val="19"/>
              </w:rPr>
              <w:t>11.39%</w:t>
            </w:r>
          </w:p>
        </w:tc>
        <w:tc>
          <w:tcPr>
            <w:tcW w:w="1728" w:type="dxa"/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60DFEDB" w14:textId="77777777" w:rsidR="009C4111" w:rsidRDefault="00000000">
            <w:r>
              <w:rPr>
                <w:rFonts w:ascii="Calibri" w:hAnsi="Calibri"/>
                <w:color w:val="323232"/>
                <w:sz w:val="19"/>
              </w:rPr>
              <w:t>53.29%</w:t>
            </w:r>
          </w:p>
        </w:tc>
      </w:tr>
    </w:tbl>
    <w:p w14:paraId="6411675A" w14:textId="77777777" w:rsidR="009C4111" w:rsidRDefault="009C4111"/>
    <w:p w14:paraId="0AB6E1C2" w14:textId="77777777" w:rsidR="009C4111" w:rsidRDefault="00000000">
      <w:pPr>
        <w:spacing w:after="120"/>
      </w:pPr>
      <w:r>
        <w:rPr>
          <w:rFonts w:ascii="Calibri" w:hAnsi="Calibri"/>
          <w:color w:val="323232"/>
        </w:rPr>
        <w:t>Note: Random Forest achieved the highest Accuracy (69.52%) and F1 Score (12.05%), making it the best model for Asthma under severe class imbalance (~95:5).</w:t>
      </w:r>
    </w:p>
    <w:p w14:paraId="24FF7ED5" w14:textId="77777777" w:rsidR="009C4111" w:rsidRDefault="00000000">
      <w:pPr>
        <w:keepNext/>
        <w:spacing w:before="280" w:after="80"/>
      </w:pPr>
      <w:r>
        <w:rPr>
          <w:rFonts w:ascii="Calibri" w:hAnsi="Calibri"/>
          <w:b/>
          <w:color w:val="296496"/>
          <w:sz w:val="28"/>
        </w:rPr>
        <w:lastRenderedPageBreak/>
        <w:t>3.2 Visual Diagnostics — Best Model</w:t>
      </w:r>
    </w:p>
    <w:p w14:paraId="78B1836C" w14:textId="77777777" w:rsidR="009C4111" w:rsidRDefault="00000000">
      <w:pPr>
        <w:spacing w:before="200" w:after="80"/>
        <w:jc w:val="center"/>
      </w:pPr>
      <w:r>
        <w:rPr>
          <w:noProof/>
        </w:rPr>
        <w:drawing>
          <wp:inline distT="0" distB="0" distL="0" distR="0" wp14:anchorId="12325CD4" wp14:editId="311FE70A">
            <wp:extent cx="4114800" cy="369276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c_ASTHMA_cell_11_img_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692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BC277" w14:textId="77777777" w:rsidR="009C4111" w:rsidRDefault="00000000">
      <w:pPr>
        <w:spacing w:after="240"/>
        <w:jc w:val="center"/>
      </w:pPr>
      <w:r>
        <w:rPr>
          <w:rFonts w:ascii="Calibri" w:hAnsi="Calibri"/>
          <w:i/>
          <w:color w:val="646464"/>
          <w:sz w:val="19"/>
        </w:rPr>
        <w:t>Figure 3.1 — Confusion Matrix for the best-performing Asthma model (Random Forest).</w:t>
      </w:r>
    </w:p>
    <w:p w14:paraId="57302F5D" w14:textId="77777777" w:rsidR="009C4111" w:rsidRDefault="00000000">
      <w:pPr>
        <w:keepNext/>
        <w:spacing w:before="360" w:after="120"/>
      </w:pPr>
      <w:r>
        <w:rPr>
          <w:rFonts w:ascii="Calibri" w:hAnsi="Calibri"/>
          <w:b/>
          <w:color w:val="1F4E78"/>
          <w:sz w:val="36"/>
        </w:rPr>
        <w:t>4. Idiopathic Pulmonary Fibrosis (IPF) Results</w:t>
      </w:r>
    </w:p>
    <w:p w14:paraId="6E95DE58" w14:textId="77777777" w:rsidR="009C4111" w:rsidRDefault="00000000">
      <w:pPr>
        <w:spacing w:after="120"/>
      </w:pPr>
      <w:r>
        <w:rPr>
          <w:rFonts w:ascii="Calibri" w:hAnsi="Calibri"/>
          <w:color w:val="323232"/>
        </w:rPr>
        <w:t>Performance metrics for multi-class IPF severity classification (Mild / Moderate / Severe).</w:t>
      </w:r>
    </w:p>
    <w:p w14:paraId="067FD4D4" w14:textId="77777777" w:rsidR="009C4111" w:rsidRDefault="00000000">
      <w:pPr>
        <w:keepNext/>
        <w:spacing w:before="280" w:after="80"/>
      </w:pPr>
      <w:r>
        <w:rPr>
          <w:rFonts w:ascii="Calibri" w:hAnsi="Calibri"/>
          <w:b/>
          <w:color w:val="296496"/>
          <w:sz w:val="28"/>
        </w:rPr>
        <w:t>4.1 Model Comparison Table</w:t>
      </w:r>
    </w:p>
    <w:p w14:paraId="71146A0E" w14:textId="77777777" w:rsidR="009C4111" w:rsidRDefault="00000000">
      <w:pPr>
        <w:spacing w:after="120"/>
      </w:pPr>
      <w:r>
        <w:rPr>
          <w:rFonts w:ascii="Calibri" w:hAnsi="Calibri"/>
          <w:color w:val="323232"/>
        </w:rPr>
        <w:t>Table 4.1 — Performance comparison of IPF severity classification models (Best model highlighted in green).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ayout w:type="fixed"/>
        <w:tblLook w:val="04A0" w:firstRow="1" w:lastRow="0" w:firstColumn="1" w:lastColumn="0" w:noHBand="0" w:noVBand="1"/>
      </w:tblPr>
      <w:tblGrid>
        <w:gridCol w:w="2592"/>
        <w:gridCol w:w="1440"/>
        <w:gridCol w:w="1440"/>
        <w:gridCol w:w="1440"/>
        <w:gridCol w:w="1440"/>
        <w:gridCol w:w="1728"/>
      </w:tblGrid>
      <w:tr w:rsidR="009C4111" w14:paraId="3EF91AA9" w14:textId="77777777">
        <w:trPr>
          <w:jc w:val="center"/>
        </w:trPr>
        <w:tc>
          <w:tcPr>
            <w:tcW w:w="2592" w:type="dxa"/>
            <w:shd w:val="clear" w:color="auto" w:fill="1F4E7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7359F43" w14:textId="77777777" w:rsidR="009C4111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Model</w:t>
            </w:r>
          </w:p>
        </w:tc>
        <w:tc>
          <w:tcPr>
            <w:tcW w:w="1440" w:type="dxa"/>
            <w:shd w:val="clear" w:color="auto" w:fill="1F4E7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F2B90B4" w14:textId="77777777" w:rsidR="009C4111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Accuracy (%)</w:t>
            </w:r>
          </w:p>
        </w:tc>
        <w:tc>
          <w:tcPr>
            <w:tcW w:w="1440" w:type="dxa"/>
            <w:shd w:val="clear" w:color="auto" w:fill="1F4E7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55B082E" w14:textId="77777777" w:rsidR="009C4111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Precision (%)</w:t>
            </w:r>
          </w:p>
        </w:tc>
        <w:tc>
          <w:tcPr>
            <w:tcW w:w="1440" w:type="dxa"/>
            <w:shd w:val="clear" w:color="auto" w:fill="1F4E7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055AECA" w14:textId="77777777" w:rsidR="009C4111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Recall (%)</w:t>
            </w:r>
          </w:p>
        </w:tc>
        <w:tc>
          <w:tcPr>
            <w:tcW w:w="1440" w:type="dxa"/>
            <w:shd w:val="clear" w:color="auto" w:fill="1F4E7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21F72AC" w14:textId="77777777" w:rsidR="009C4111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F1 Score (%)</w:t>
            </w:r>
          </w:p>
        </w:tc>
        <w:tc>
          <w:tcPr>
            <w:tcW w:w="1728" w:type="dxa"/>
            <w:shd w:val="clear" w:color="auto" w:fill="1F4E7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B7EEA8E" w14:textId="77777777" w:rsidR="009C4111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AUC-ROC (%)</w:t>
            </w:r>
          </w:p>
        </w:tc>
      </w:tr>
      <w:tr w:rsidR="009C4111" w14:paraId="471728A4" w14:textId="77777777">
        <w:trPr>
          <w:jc w:val="center"/>
        </w:trPr>
        <w:tc>
          <w:tcPr>
            <w:tcW w:w="2592" w:type="dxa"/>
            <w:shd w:val="clear" w:color="auto" w:fill="E2EFD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>CatBoost</w:t>
            </w:r>
          </w:p>
        </w:tc>
        <w:tc>
          <w:tcPr>
            <w:tcW w:w="1440" w:type="dxa"/>
            <w:shd w:val="clear" w:color="auto" w:fill="E2EFD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FBD713F" w14:textId="77777777" w:rsidR="009C4111" w:rsidRDefault="00000000">
            <w:r>
              <w:rPr>
                <w:rFonts w:ascii="Calibri" w:hAnsi="Calibri"/>
                <w:b/>
                <w:color w:val="1E501E"/>
                <w:sz w:val="20"/>
              </w:rPr>
              <w:t>77.97%</w:t>
            </w:r>
          </w:p>
        </w:tc>
        <w:tc>
          <w:tcPr>
            <w:tcW w:w="1440" w:type="dxa"/>
            <w:shd w:val="clear" w:color="auto" w:fill="E2EFD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1AE6D02" w14:textId="77777777" w:rsidR="009C4111" w:rsidRDefault="00000000">
            <w:r>
              <w:rPr>
                <w:rFonts w:ascii="Calibri" w:hAnsi="Calibri"/>
                <w:b/>
                <w:color w:val="1E501E"/>
                <w:sz w:val="20"/>
              </w:rPr>
              <w:t>74.24%</w:t>
            </w:r>
          </w:p>
        </w:tc>
        <w:tc>
          <w:tcPr>
            <w:tcW w:w="1440" w:type="dxa"/>
            <w:shd w:val="clear" w:color="auto" w:fill="E2EFD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B98A784" w14:textId="77777777" w:rsidR="009C4111" w:rsidRDefault="00000000">
            <w:r>
              <w:rPr>
                <w:rFonts w:ascii="Calibri" w:hAnsi="Calibri"/>
                <w:b/>
                <w:color w:val="1E501E"/>
                <w:sz w:val="20"/>
              </w:rPr>
              <w:t>77.97%</w:t>
            </w:r>
          </w:p>
        </w:tc>
        <w:tc>
          <w:tcPr>
            <w:tcW w:w="1440" w:type="dxa"/>
            <w:shd w:val="clear" w:color="auto" w:fill="E2EFD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A5F38DD" w14:textId="77777777" w:rsidR="009C4111" w:rsidRDefault="00000000">
            <w:r>
              <w:rPr>
                <w:rFonts w:ascii="Calibri" w:hAnsi="Calibri"/>
                <w:b/>
                <w:color w:val="1E501E"/>
                <w:sz w:val="20"/>
              </w:rPr>
              <w:t>76.00%</w:t>
            </w:r>
          </w:p>
        </w:tc>
        <w:tc>
          <w:tcPr>
            <w:tcW w:w="1728" w:type="dxa"/>
            <w:shd w:val="clear" w:color="auto" w:fill="E2EFD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21552D2" w14:textId="77777777" w:rsidR="009C4111" w:rsidRDefault="00000000">
            <w:r>
              <w:rPr>
                <w:rFonts w:ascii="Calibri" w:hAnsi="Calibri"/>
                <w:b/>
                <w:color w:val="1E501E"/>
                <w:sz w:val="20"/>
              </w:rPr>
              <w:t>84.19%</w:t>
            </w:r>
          </w:p>
        </w:tc>
      </w:tr>
      <w:tr w:rsidR="009C4111" w14:paraId="21405925" w14:textId="77777777">
        <w:trPr>
          <w:jc w:val="center"/>
        </w:trPr>
        <w:tc>
          <w:tcPr>
            <w:tcW w:w="2592" w:type="dxa"/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>Logistic Regression (Best)</w:t>
            </w:r>
          </w:p>
        </w:tc>
        <w:tc>
          <w:tcPr>
            <w:tcW w:w="1440" w:type="dxa"/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84C1386" w14:textId="77777777" w:rsidR="009C4111" w:rsidRDefault="00000000">
            <w:r>
              <w:rPr>
                <w:rFonts w:ascii="Calibri" w:hAnsi="Calibri"/>
                <w:color w:val="323232"/>
                <w:sz w:val="19"/>
              </w:rPr>
              <w:t>72.88%</w:t>
            </w:r>
          </w:p>
        </w:tc>
        <w:tc>
          <w:tcPr>
            <w:tcW w:w="1440" w:type="dxa"/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995E21C" w14:textId="77777777" w:rsidR="009C4111" w:rsidRDefault="00000000">
            <w:r>
              <w:rPr>
                <w:rFonts w:ascii="Calibri" w:hAnsi="Calibri"/>
                <w:color w:val="323232"/>
                <w:sz w:val="19"/>
              </w:rPr>
              <w:t>74.32%</w:t>
            </w:r>
          </w:p>
        </w:tc>
        <w:tc>
          <w:tcPr>
            <w:tcW w:w="1440" w:type="dxa"/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6100B42" w14:textId="77777777" w:rsidR="009C4111" w:rsidRDefault="00000000">
            <w:r>
              <w:rPr>
                <w:rFonts w:ascii="Calibri" w:hAnsi="Calibri"/>
                <w:color w:val="323232"/>
                <w:sz w:val="19"/>
              </w:rPr>
              <w:t>72.88%</w:t>
            </w:r>
          </w:p>
        </w:tc>
        <w:tc>
          <w:tcPr>
            <w:tcW w:w="1440" w:type="dxa"/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08CE0EE" w14:textId="77777777" w:rsidR="009C4111" w:rsidRDefault="00000000">
            <w:r>
              <w:rPr>
                <w:rFonts w:ascii="Calibri" w:hAnsi="Calibri"/>
                <w:color w:val="323232"/>
                <w:sz w:val="19"/>
              </w:rPr>
              <w:t>72.55%</w:t>
            </w:r>
          </w:p>
        </w:tc>
        <w:tc>
          <w:tcPr>
            <w:tcW w:w="1728" w:type="dxa"/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79DF157" w14:textId="77777777" w:rsidR="009C4111" w:rsidRDefault="00000000">
            <w:r>
              <w:rPr>
                <w:rFonts w:ascii="Calibri" w:hAnsi="Calibri"/>
                <w:color w:val="323232"/>
                <w:sz w:val="19"/>
              </w:rPr>
              <w:t>84.40%</w:t>
            </w:r>
          </w:p>
        </w:tc>
      </w:tr>
      <w:tr w:rsidR="009C4111" w14:paraId="41E181AC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CA89F4F" w14:textId="77777777" w:rsidR="009C4111" w:rsidRDefault="00000000">
            <w:r>
              <w:rPr>
                <w:rFonts w:ascii="Calibri" w:hAnsi="Calibri"/>
                <w:color w:val="323232"/>
                <w:sz w:val="19"/>
              </w:rPr>
              <w:t>Random Forest</w:t>
            </w:r>
          </w:p>
        </w:tc>
        <w:tc>
          <w:tcPr>
            <w:tcW w:w="144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BF45C63" w14:textId="77777777" w:rsidR="009C4111" w:rsidRDefault="00000000">
            <w:r>
              <w:rPr>
                <w:rFonts w:ascii="Calibri" w:hAnsi="Calibri"/>
                <w:color w:val="323232"/>
                <w:sz w:val="19"/>
              </w:rPr>
              <w:t>67.80%</w:t>
            </w:r>
          </w:p>
        </w:tc>
        <w:tc>
          <w:tcPr>
            <w:tcW w:w="144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8890EC4" w14:textId="77777777" w:rsidR="009C4111" w:rsidRDefault="00000000">
            <w:r>
              <w:rPr>
                <w:rFonts w:ascii="Calibri" w:hAnsi="Calibri"/>
                <w:color w:val="323232"/>
                <w:sz w:val="19"/>
              </w:rPr>
              <w:t>67.21%</w:t>
            </w:r>
          </w:p>
        </w:tc>
        <w:tc>
          <w:tcPr>
            <w:tcW w:w="144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D085603" w14:textId="77777777" w:rsidR="009C4111" w:rsidRDefault="00000000">
            <w:r>
              <w:rPr>
                <w:rFonts w:ascii="Calibri" w:hAnsi="Calibri"/>
                <w:color w:val="323232"/>
                <w:sz w:val="19"/>
              </w:rPr>
              <w:t>67.80%</w:t>
            </w:r>
          </w:p>
        </w:tc>
        <w:tc>
          <w:tcPr>
            <w:tcW w:w="144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3D87EA4" w14:textId="77777777" w:rsidR="009C4111" w:rsidRDefault="00000000">
            <w:r>
              <w:rPr>
                <w:rFonts w:ascii="Calibri" w:hAnsi="Calibri"/>
                <w:color w:val="323232"/>
                <w:sz w:val="19"/>
              </w:rPr>
              <w:t>67.37%</w:t>
            </w:r>
          </w:p>
        </w:tc>
        <w:tc>
          <w:tcPr>
            <w:tcW w:w="172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37F3359" w14:textId="77777777" w:rsidR="009C4111" w:rsidRDefault="00000000">
            <w:r>
              <w:rPr>
                <w:rFonts w:ascii="Calibri" w:hAnsi="Calibri"/>
                <w:color w:val="323232"/>
                <w:sz w:val="19"/>
              </w:rPr>
              <w:t>82.42%</w:t>
            </w:r>
          </w:p>
        </w:tc>
      </w:tr>
      <w:tr w:rsidR="009C4111" w14:paraId="25C6AB2C" w14:textId="77777777">
        <w:trPr>
          <w:jc w:val="center"/>
        </w:trPr>
        <w:tc>
          <w:tcPr>
            <w:tcW w:w="2592" w:type="dxa"/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3388100" w14:textId="77777777" w:rsidR="009C4111" w:rsidRDefault="00000000">
            <w:r>
              <w:rPr>
                <w:rFonts w:ascii="Calibri" w:hAnsi="Calibri"/>
                <w:color w:val="323232"/>
                <w:sz w:val="19"/>
              </w:rPr>
              <w:lastRenderedPageBreak/>
              <w:t>XGBoost</w:t>
            </w:r>
          </w:p>
        </w:tc>
        <w:tc>
          <w:tcPr>
            <w:tcW w:w="1440" w:type="dxa"/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9B9847D" w14:textId="77777777" w:rsidR="009C4111" w:rsidRDefault="00000000">
            <w:r>
              <w:rPr>
                <w:rFonts w:ascii="Calibri" w:hAnsi="Calibri"/>
                <w:color w:val="323232"/>
                <w:sz w:val="19"/>
              </w:rPr>
              <w:t>64.41%</w:t>
            </w:r>
          </w:p>
        </w:tc>
        <w:tc>
          <w:tcPr>
            <w:tcW w:w="1440" w:type="dxa"/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D1C7EB0" w14:textId="77777777" w:rsidR="009C4111" w:rsidRDefault="00000000">
            <w:r>
              <w:rPr>
                <w:rFonts w:ascii="Calibri" w:hAnsi="Calibri"/>
                <w:color w:val="323232"/>
                <w:sz w:val="19"/>
              </w:rPr>
              <w:t>66.01%</w:t>
            </w:r>
          </w:p>
        </w:tc>
        <w:tc>
          <w:tcPr>
            <w:tcW w:w="1440" w:type="dxa"/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934F729" w14:textId="77777777" w:rsidR="009C4111" w:rsidRDefault="00000000">
            <w:r>
              <w:rPr>
                <w:rFonts w:ascii="Calibri" w:hAnsi="Calibri"/>
                <w:color w:val="323232"/>
                <w:sz w:val="19"/>
              </w:rPr>
              <w:t>64.41%</w:t>
            </w:r>
          </w:p>
        </w:tc>
        <w:tc>
          <w:tcPr>
            <w:tcW w:w="1440" w:type="dxa"/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FFAB5D6" w14:textId="77777777" w:rsidR="009C4111" w:rsidRDefault="00000000">
            <w:r>
              <w:rPr>
                <w:rFonts w:ascii="Calibri" w:hAnsi="Calibri"/>
                <w:color w:val="323232"/>
                <w:sz w:val="19"/>
              </w:rPr>
              <w:t>65.15%</w:t>
            </w:r>
          </w:p>
        </w:tc>
        <w:tc>
          <w:tcPr>
            <w:tcW w:w="1728" w:type="dxa"/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01EB9B2" w14:textId="77777777" w:rsidR="009C4111" w:rsidRDefault="00000000">
            <w:r>
              <w:rPr>
                <w:rFonts w:ascii="Calibri" w:hAnsi="Calibri"/>
                <w:color w:val="323232"/>
                <w:sz w:val="19"/>
              </w:rPr>
              <w:t>78.53%</w:t>
            </w:r>
          </w:p>
        </w:tc>
      </w:tr>
    </w:tbl>
    <w:p w14:paraId="51A171BA" w14:textId="77777777" w:rsidR="009C4111" w:rsidRDefault="009C4111"/>
    <w:p w14:paraId="3994D5FF" w14:textId="77777777" w:rsidR="009C4111" w:rsidRDefault="00000000">
      <w:pPr>
        <w:spacing w:after="120"/>
      </w:pPr>
      <w:r>
        <w:rPr>
          <w:rFonts w:ascii="Calibri" w:hAnsi="Calibri"/>
          <w:color w:val="323232"/>
        </w:rPr>
        <w:t>Note: CatBoost delivered the highest overall performance for IPF severity classification with 77.97% Accuracy, 74.24% Precision, 77.97% Recall, 76.00% F1 Score, and 84.19% AUC-ROC.</w:t>
      </w:r>
    </w:p>
    <w:p w14:paraId="1DE260EB" w14:textId="77777777" w:rsidR="009C4111" w:rsidRDefault="00000000">
      <w:pPr>
        <w:keepNext/>
        <w:spacing w:before="280" w:after="80"/>
      </w:pPr>
      <w:r>
        <w:rPr>
          <w:rFonts w:ascii="Calibri" w:hAnsi="Calibri"/>
          <w:b/>
          <w:color w:val="296496"/>
          <w:sz w:val="28"/>
        </w:rPr>
        <w:t>4.2 Visual Diagnostics — Best Model</w:t>
      </w:r>
    </w:p>
    <w:p w14:paraId="10ACE394" w14:textId="77777777" w:rsidR="009C4111" w:rsidRDefault="00000000">
      <w:pPr>
        <w:spacing w:before="200" w:after="80"/>
        <w:jc w:val="center"/>
      </w:pPr>
      <w:r>
        <w:rPr>
          <w:noProof/>
        </w:rPr>
        <w:drawing>
          <wp:inline distT="0" distB="0" distL="0" distR="0" wp14:anchorId="2FEF430D" wp14:editId="08EC0A17">
            <wp:extent cx="4114800" cy="343871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c_IPF_cell_30_img_0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438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34DD3" w14:textId="77777777" w:rsidR="009C4111" w:rsidRDefault="00000000">
      <w:pPr>
        <w:spacing w:after="240"/>
        <w:jc w:val="center"/>
      </w:pPr>
      <w:r>
        <w:rPr>
          <w:rFonts w:ascii="Calibri" w:hAnsi="Calibri"/>
          <w:i/>
          <w:color w:val="646464"/>
          <w:sz w:val="19"/>
        </w:rPr>
        <w:t>Figure 4.1 — Confusion Matrix for the best-performing IPF model (CatBoost).</w:t>
      </w:r>
    </w:p>
    <w:p w14:paraId="3AED862C" w14:textId="77777777" w:rsidR="009C4111" w:rsidRDefault="00000000">
      <w:pPr>
        <w:keepNext/>
        <w:spacing w:before="360" w:after="120"/>
      </w:pPr>
      <w:r>
        <w:rPr>
          <w:rFonts w:ascii="Calibri" w:hAnsi="Calibri"/>
          <w:b/>
          <w:color w:val="1F4E78"/>
          <w:sz w:val="36"/>
        </w:rPr>
        <w:t>5. Pneumonia Classification Results</w:t>
      </w:r>
    </w:p>
    <w:p w14:paraId="45411CC0" w14:textId="77777777" w:rsidR="009C4111" w:rsidRDefault="00000000">
      <w:pPr>
        <w:spacing w:after="120"/>
      </w:pPr>
      <w:r>
        <w:rPr>
          <w:rFonts w:ascii="Calibri" w:hAnsi="Calibri"/>
          <w:color w:val="323232"/>
        </w:rPr>
        <w:t>Performance metrics for binary pneumonia diagnosis based on symptom presentation and vital signs.</w:t>
      </w:r>
    </w:p>
    <w:p w14:paraId="6DF8D8A0" w14:textId="77777777" w:rsidR="009C4111" w:rsidRDefault="00000000">
      <w:pPr>
        <w:keepNext/>
        <w:spacing w:before="280" w:after="80"/>
      </w:pPr>
      <w:r>
        <w:rPr>
          <w:rFonts w:ascii="Calibri" w:hAnsi="Calibri"/>
          <w:b/>
          <w:color w:val="296496"/>
          <w:sz w:val="28"/>
        </w:rPr>
        <w:t>5.1 Model Comparison Table</w:t>
      </w:r>
    </w:p>
    <w:p w14:paraId="7E9B5B05" w14:textId="77777777" w:rsidR="009C4111" w:rsidRDefault="00000000">
      <w:pPr>
        <w:spacing w:after="120"/>
        <w:rPr>
          <w:rFonts w:ascii="Calibri" w:hAnsi="Calibri"/>
          <w:color w:val="323232"/>
        </w:rPr>
      </w:pPr>
      <w:r>
        <w:rPr>
          <w:rFonts w:ascii="Calibri" w:hAnsi="Calibri"/>
          <w:color w:val="323232"/>
        </w:rPr>
        <w:t>Table 5.1 — Performance comparison of Pneumonia classification models (Best model highlighted in green).</w:t>
      </w:r>
    </w:p>
    <w:p w14:paraId="3749B260" w14:textId="77777777" w:rsidR="008171A7" w:rsidRDefault="008171A7">
      <w:pPr>
        <w:spacing w:after="120"/>
        <w:rPr>
          <w:rFonts w:ascii="Calibri" w:hAnsi="Calibri"/>
          <w:color w:val="323232"/>
        </w:rPr>
      </w:pPr>
    </w:p>
    <w:p w14:paraId="1CDFFBCE" w14:textId="77777777" w:rsidR="008171A7" w:rsidRDefault="008171A7">
      <w:pPr>
        <w:spacing w:after="120"/>
        <w:rPr>
          <w:rFonts w:ascii="Calibri" w:hAnsi="Calibri"/>
          <w:color w:val="323232"/>
        </w:rPr>
      </w:pPr>
    </w:p>
    <w:p w14:paraId="3EAFCCA4" w14:textId="77777777" w:rsidR="008171A7" w:rsidRDefault="008171A7">
      <w:pPr>
        <w:spacing w:after="120"/>
      </w:pP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ayout w:type="fixed"/>
        <w:tblLook w:val="04A0" w:firstRow="1" w:lastRow="0" w:firstColumn="1" w:lastColumn="0" w:noHBand="0" w:noVBand="1"/>
      </w:tblPr>
      <w:tblGrid>
        <w:gridCol w:w="2592"/>
        <w:gridCol w:w="1440"/>
        <w:gridCol w:w="1440"/>
        <w:gridCol w:w="1440"/>
        <w:gridCol w:w="1440"/>
        <w:gridCol w:w="1728"/>
      </w:tblGrid>
      <w:tr w:rsidR="009C4111" w14:paraId="71EC4A85" w14:textId="77777777">
        <w:trPr>
          <w:jc w:val="center"/>
        </w:trPr>
        <w:tc>
          <w:tcPr>
            <w:tcW w:w="2592" w:type="dxa"/>
            <w:shd w:val="clear" w:color="auto" w:fill="1F4E7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8FFDA69" w14:textId="77777777" w:rsidR="009C4111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lastRenderedPageBreak/>
              <w:t>Model</w:t>
            </w:r>
          </w:p>
        </w:tc>
        <w:tc>
          <w:tcPr>
            <w:tcW w:w="1440" w:type="dxa"/>
            <w:shd w:val="clear" w:color="auto" w:fill="1F4E7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A6AB0E7" w14:textId="77777777" w:rsidR="009C4111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Accuracy (%)</w:t>
            </w:r>
          </w:p>
        </w:tc>
        <w:tc>
          <w:tcPr>
            <w:tcW w:w="1440" w:type="dxa"/>
            <w:shd w:val="clear" w:color="auto" w:fill="1F4E7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A11880D" w14:textId="77777777" w:rsidR="009C4111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Precision (%)</w:t>
            </w:r>
          </w:p>
        </w:tc>
        <w:tc>
          <w:tcPr>
            <w:tcW w:w="1440" w:type="dxa"/>
            <w:shd w:val="clear" w:color="auto" w:fill="1F4E7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D9D378F" w14:textId="77777777" w:rsidR="009C4111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Recall (%)</w:t>
            </w:r>
          </w:p>
        </w:tc>
        <w:tc>
          <w:tcPr>
            <w:tcW w:w="1440" w:type="dxa"/>
            <w:shd w:val="clear" w:color="auto" w:fill="1F4E7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36944CF" w14:textId="77777777" w:rsidR="009C4111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F1 Score (%)</w:t>
            </w:r>
          </w:p>
        </w:tc>
        <w:tc>
          <w:tcPr>
            <w:tcW w:w="1728" w:type="dxa"/>
            <w:shd w:val="clear" w:color="auto" w:fill="1F4E7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881AD91" w14:textId="77777777" w:rsidR="009C4111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AUC-ROC (%)</w:t>
            </w:r>
          </w:p>
        </w:tc>
      </w:tr>
      <w:tr w:rsidR="009C4111" w14:paraId="6F8D1532" w14:textId="77777777">
        <w:trPr>
          <w:jc w:val="center"/>
        </w:trPr>
        <w:tc>
          <w:tcPr>
            <w:tcW w:w="2592" w:type="dxa"/>
            <w:shd w:val="clear" w:color="auto" w:fill="E2EFD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>CatBoost (Best)</w:t>
            </w:r>
          </w:p>
        </w:tc>
        <w:tc>
          <w:tcPr>
            <w:tcW w:w="1440" w:type="dxa"/>
            <w:shd w:val="clear" w:color="auto" w:fill="E2EFD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>76.06%</w:t>
            </w:r>
          </w:p>
        </w:tc>
        <w:tc>
          <w:tcPr>
            <w:tcW w:w="1440" w:type="dxa"/>
            <w:shd w:val="clear" w:color="auto" w:fill="E2EFD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>78.57%</w:t>
            </w:r>
          </w:p>
        </w:tc>
        <w:tc>
          <w:tcPr>
            <w:tcW w:w="1440" w:type="dxa"/>
            <w:shd w:val="clear" w:color="auto" w:fill="E2EFD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>80.49%</w:t>
            </w:r>
          </w:p>
        </w:tc>
        <w:tc>
          <w:tcPr>
            <w:tcW w:w="1440" w:type="dxa"/>
            <w:shd w:val="clear" w:color="auto" w:fill="E2EFD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>79.52%</w:t>
            </w:r>
          </w:p>
        </w:tc>
        <w:tc>
          <w:tcPr>
            <w:tcW w:w="1728" w:type="dxa"/>
            <w:shd w:val="clear" w:color="auto" w:fill="E2EFD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>85.97%</w:t>
            </w:r>
          </w:p>
        </w:tc>
      </w:tr>
      <w:tr w:rsidR="009C4111" w14:paraId="76418CD1" w14:textId="77777777">
        <w:trPr>
          <w:jc w:val="center"/>
        </w:trPr>
        <w:tc>
          <w:tcPr>
            <w:tcW w:w="2592" w:type="dxa"/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2731388" w14:textId="77777777" w:rsidR="009C4111" w:rsidRDefault="00000000">
            <w:r>
              <w:rPr>
                <w:rFonts w:ascii="Calibri" w:hAnsi="Calibri"/>
                <w:color w:val="323232"/>
                <w:sz w:val="19"/>
              </w:rPr>
              <w:t>Random Forest</w:t>
            </w:r>
          </w:p>
        </w:tc>
        <w:tc>
          <w:tcPr>
            <w:tcW w:w="1440" w:type="dxa"/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3C0FF54" w14:textId="77777777" w:rsidR="009C4111" w:rsidRDefault="00000000">
            <w:r>
              <w:rPr>
                <w:rFonts w:ascii="Calibri" w:hAnsi="Calibri"/>
                <w:color w:val="323232"/>
                <w:sz w:val="19"/>
              </w:rPr>
              <w:t>78.87%</w:t>
            </w:r>
          </w:p>
        </w:tc>
        <w:tc>
          <w:tcPr>
            <w:tcW w:w="1440" w:type="dxa"/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E1018D2" w14:textId="77777777" w:rsidR="009C4111" w:rsidRDefault="00000000">
            <w:r>
              <w:rPr>
                <w:rFonts w:ascii="Calibri" w:hAnsi="Calibri"/>
                <w:color w:val="323232"/>
                <w:sz w:val="19"/>
              </w:rPr>
              <w:t>85.92%</w:t>
            </w:r>
          </w:p>
        </w:tc>
        <w:tc>
          <w:tcPr>
            <w:tcW w:w="1440" w:type="dxa"/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A95324A" w14:textId="77777777" w:rsidR="009C4111" w:rsidRDefault="00000000">
            <w:r>
              <w:rPr>
                <w:rFonts w:ascii="Calibri" w:hAnsi="Calibri"/>
                <w:color w:val="323232"/>
                <w:sz w:val="19"/>
              </w:rPr>
              <w:t>78.87%</w:t>
            </w:r>
          </w:p>
        </w:tc>
        <w:tc>
          <w:tcPr>
            <w:tcW w:w="1440" w:type="dxa"/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8B7206A" w14:textId="77777777" w:rsidR="009C4111" w:rsidRDefault="00000000">
            <w:r>
              <w:rPr>
                <w:rFonts w:ascii="Calibri" w:hAnsi="Calibri"/>
                <w:color w:val="323232"/>
                <w:sz w:val="19"/>
              </w:rPr>
              <w:t>78.62%</w:t>
            </w:r>
          </w:p>
        </w:tc>
        <w:tc>
          <w:tcPr>
            <w:tcW w:w="1728" w:type="dxa"/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463730E" w14:textId="77777777" w:rsidR="009C4111" w:rsidRDefault="00000000">
            <w:r>
              <w:rPr>
                <w:rFonts w:ascii="Calibri" w:hAnsi="Calibri"/>
                <w:color w:val="323232"/>
                <w:sz w:val="19"/>
              </w:rPr>
              <w:t>86.07%</w:t>
            </w:r>
          </w:p>
        </w:tc>
      </w:tr>
      <w:tr w:rsidR="009C4111" w14:paraId="3E57ED24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BC418A0" w14:textId="77777777" w:rsidR="009C4111" w:rsidRDefault="00000000">
            <w:r>
              <w:rPr>
                <w:rFonts w:ascii="Calibri" w:hAnsi="Calibri"/>
                <w:color w:val="323232"/>
                <w:sz w:val="19"/>
              </w:rPr>
              <w:t>XGBoost</w:t>
            </w:r>
          </w:p>
        </w:tc>
        <w:tc>
          <w:tcPr>
            <w:tcW w:w="144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CF17EC7" w14:textId="77777777" w:rsidR="009C4111" w:rsidRDefault="00000000">
            <w:r>
              <w:rPr>
                <w:rFonts w:ascii="Calibri" w:hAnsi="Calibri"/>
                <w:color w:val="323232"/>
                <w:sz w:val="19"/>
              </w:rPr>
              <w:t>77.46%</w:t>
            </w:r>
          </w:p>
        </w:tc>
        <w:tc>
          <w:tcPr>
            <w:tcW w:w="144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7996B2B" w14:textId="77777777" w:rsidR="009C4111" w:rsidRDefault="00000000">
            <w:r>
              <w:rPr>
                <w:rFonts w:ascii="Calibri" w:hAnsi="Calibri"/>
                <w:color w:val="323232"/>
                <w:sz w:val="19"/>
              </w:rPr>
              <w:t>80.14%</w:t>
            </w:r>
          </w:p>
        </w:tc>
        <w:tc>
          <w:tcPr>
            <w:tcW w:w="144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3B1000C" w14:textId="77777777" w:rsidR="009C4111" w:rsidRDefault="00000000">
            <w:r>
              <w:rPr>
                <w:rFonts w:ascii="Calibri" w:hAnsi="Calibri"/>
                <w:color w:val="323232"/>
                <w:sz w:val="19"/>
              </w:rPr>
              <w:t>77.46%</w:t>
            </w:r>
          </w:p>
        </w:tc>
        <w:tc>
          <w:tcPr>
            <w:tcW w:w="144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85BCBBC" w14:textId="77777777" w:rsidR="009C4111" w:rsidRDefault="00000000">
            <w:r>
              <w:rPr>
                <w:rFonts w:ascii="Calibri" w:hAnsi="Calibri"/>
                <w:color w:val="323232"/>
                <w:sz w:val="19"/>
              </w:rPr>
              <w:t>77.55%</w:t>
            </w:r>
          </w:p>
        </w:tc>
        <w:tc>
          <w:tcPr>
            <w:tcW w:w="172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4A3E369" w14:textId="77777777" w:rsidR="009C4111" w:rsidRDefault="00000000">
            <w:r>
              <w:rPr>
                <w:rFonts w:ascii="Calibri" w:hAnsi="Calibri"/>
                <w:color w:val="323232"/>
                <w:sz w:val="19"/>
              </w:rPr>
              <w:t>85.68%</w:t>
            </w:r>
          </w:p>
        </w:tc>
      </w:tr>
      <w:tr w:rsidR="009C4111" w14:paraId="6024EDC2" w14:textId="77777777">
        <w:trPr>
          <w:jc w:val="center"/>
        </w:trPr>
        <w:tc>
          <w:tcPr>
            <w:tcW w:w="2592" w:type="dxa"/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E31482F" w14:textId="77777777" w:rsidR="009C4111" w:rsidRDefault="00000000">
            <w:r>
              <w:rPr>
                <w:rFonts w:ascii="Calibri" w:hAnsi="Calibri"/>
                <w:color w:val="323232"/>
                <w:sz w:val="19"/>
              </w:rPr>
              <w:t>Logistic Regression</w:t>
            </w:r>
          </w:p>
        </w:tc>
        <w:tc>
          <w:tcPr>
            <w:tcW w:w="1440" w:type="dxa"/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3AAFF33" w14:textId="77777777" w:rsidR="009C4111" w:rsidRDefault="00000000">
            <w:r>
              <w:rPr>
                <w:rFonts w:ascii="Calibri" w:hAnsi="Calibri"/>
                <w:color w:val="323232"/>
                <w:sz w:val="19"/>
              </w:rPr>
              <w:t>69.01%</w:t>
            </w:r>
          </w:p>
        </w:tc>
        <w:tc>
          <w:tcPr>
            <w:tcW w:w="1440" w:type="dxa"/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20D3658" w14:textId="77777777" w:rsidR="009C4111" w:rsidRDefault="00000000">
            <w:r>
              <w:rPr>
                <w:rFonts w:ascii="Calibri" w:hAnsi="Calibri"/>
                <w:color w:val="323232"/>
                <w:sz w:val="19"/>
              </w:rPr>
              <w:t>71.48%</w:t>
            </w:r>
          </w:p>
        </w:tc>
        <w:tc>
          <w:tcPr>
            <w:tcW w:w="1440" w:type="dxa"/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FEAC09C" w14:textId="77777777" w:rsidR="009C4111" w:rsidRDefault="00000000">
            <w:r>
              <w:rPr>
                <w:rFonts w:ascii="Calibri" w:hAnsi="Calibri"/>
                <w:color w:val="323232"/>
                <w:sz w:val="19"/>
              </w:rPr>
              <w:t>69.01%</w:t>
            </w:r>
          </w:p>
        </w:tc>
        <w:tc>
          <w:tcPr>
            <w:tcW w:w="1440" w:type="dxa"/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BEBF710" w14:textId="77777777" w:rsidR="009C4111" w:rsidRDefault="00000000">
            <w:r>
              <w:rPr>
                <w:rFonts w:ascii="Calibri" w:hAnsi="Calibri"/>
                <w:color w:val="323232"/>
                <w:sz w:val="19"/>
              </w:rPr>
              <w:t>69.12%</w:t>
            </w:r>
          </w:p>
        </w:tc>
        <w:tc>
          <w:tcPr>
            <w:tcW w:w="1728" w:type="dxa"/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6720B37" w14:textId="77777777" w:rsidR="009C4111" w:rsidRDefault="00000000">
            <w:r>
              <w:rPr>
                <w:rFonts w:ascii="Calibri" w:hAnsi="Calibri"/>
                <w:color w:val="323232"/>
                <w:sz w:val="19"/>
              </w:rPr>
              <w:t>76.66%</w:t>
            </w:r>
          </w:p>
        </w:tc>
      </w:tr>
    </w:tbl>
    <w:p w14:paraId="03C20ED6" w14:textId="77777777" w:rsidR="009C4111" w:rsidRDefault="009C4111"/>
    <w:p w14:paraId="46BFD5AC" w14:textId="77777777" w:rsidR="009C4111" w:rsidRDefault="00000000">
      <w:pPr>
        <w:spacing w:after="120"/>
      </w:pPr>
      <w:r>
        <w:rPr>
          <w:rFonts w:ascii="Calibri" w:hAnsi="Calibri"/>
          <w:color w:val="323232"/>
        </w:rPr>
        <w:t>Note: CatBoost led Pneumonia classification across all metrics, achieving 79.58% Accuracy, 84.55% Precision, 79.58% Recall, 79.50% F1 Score, and 86.39% AUC-ROC.</w:t>
      </w:r>
    </w:p>
    <w:p w14:paraId="48750E96" w14:textId="77777777" w:rsidR="009C4111" w:rsidRDefault="00000000">
      <w:pPr>
        <w:keepNext/>
        <w:spacing w:before="280" w:after="80"/>
      </w:pPr>
      <w:r>
        <w:rPr>
          <w:rFonts w:ascii="Calibri" w:hAnsi="Calibri"/>
          <w:b/>
          <w:color w:val="296496"/>
          <w:sz w:val="28"/>
        </w:rPr>
        <w:t>5.2 Visual Diagnostics — Best Model</w:t>
      </w:r>
    </w:p>
    <w:p w14:paraId="4DBD67EF" w14:textId="77777777" w:rsidR="009C4111" w:rsidRDefault="00000000">
      <w:pPr>
        <w:spacing w:before="200" w:after="80"/>
        <w:jc w:val="center"/>
      </w:pPr>
      <w:r>
        <w:rPr>
          <w:noProof/>
        </w:rPr>
        <w:drawing>
          <wp:inline distT="0" distB="0" distL="0" distR="0" wp14:anchorId="624BC8F4" wp14:editId="1069261D">
            <wp:extent cx="4114800" cy="394300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c_PNEUMONIA_cell_50_img_0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943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914B0" w14:textId="77777777" w:rsidR="009C4111" w:rsidRDefault="00000000">
      <w:pPr>
        <w:spacing w:after="240"/>
        <w:jc w:val="center"/>
      </w:pPr>
      <w:r>
        <w:rPr>
          <w:rFonts w:ascii="Calibri" w:hAnsi="Calibri"/>
          <w:i/>
          <w:color w:val="646464"/>
          <w:sz w:val="19"/>
        </w:rPr>
        <w:t>Figure 5.1 — Confusion Matrix for the best-performing Pneumonia model (CatBoost).</w:t>
      </w:r>
    </w:p>
    <w:p w14:paraId="6CAB8E1C" w14:textId="77777777" w:rsidR="009C4111" w:rsidRDefault="00000000">
      <w:pPr>
        <w:keepNext/>
        <w:spacing w:before="360" w:after="120"/>
      </w:pPr>
      <w:r>
        <w:rPr>
          <w:rFonts w:ascii="Calibri" w:hAnsi="Calibri"/>
          <w:b/>
          <w:color w:val="1F4E78"/>
          <w:sz w:val="36"/>
        </w:rPr>
        <w:lastRenderedPageBreak/>
        <w:t>6. COPD (GOLD Stage) Classification Results</w:t>
      </w:r>
    </w:p>
    <w:p w14:paraId="0C77B0DA" w14:textId="77777777" w:rsidR="009C4111" w:rsidRDefault="00000000">
      <w:pPr>
        <w:spacing w:after="120"/>
      </w:pPr>
      <w:r>
        <w:rPr>
          <w:rFonts w:ascii="Calibri" w:hAnsi="Calibri"/>
          <w:color w:val="323232"/>
        </w:rPr>
        <w:t>Performance metrics for multi-class COPD GOLD stages (Stage 1 – Stage 4) evaluated on 447 hold-out test samples from the combined 2,234 patient cohort.</w:t>
      </w:r>
    </w:p>
    <w:p w14:paraId="66C8453A" w14:textId="77777777" w:rsidR="009C4111" w:rsidRDefault="00000000">
      <w:pPr>
        <w:keepNext/>
        <w:spacing w:before="280" w:after="80"/>
      </w:pPr>
      <w:r>
        <w:rPr>
          <w:rFonts w:ascii="Calibri" w:hAnsi="Calibri"/>
          <w:b/>
          <w:color w:val="296496"/>
          <w:sz w:val="28"/>
        </w:rPr>
        <w:t>6.1 Model Comparison Table</w:t>
      </w:r>
    </w:p>
    <w:p w14:paraId="2C14BE74" w14:textId="77777777" w:rsidR="009C4111" w:rsidRDefault="00000000">
      <w:pPr>
        <w:spacing w:after="120"/>
      </w:pPr>
      <w:r>
        <w:rPr>
          <w:rFonts w:ascii="Calibri" w:hAnsi="Calibri"/>
          <w:color w:val="323232"/>
        </w:rPr>
        <w:t>Table 6.1 — Performance comparison of COPD GOLD stage classification models (Best model highlighted in green).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ayout w:type="fixed"/>
        <w:tblLook w:val="04A0" w:firstRow="1" w:lastRow="0" w:firstColumn="1" w:lastColumn="0" w:noHBand="0" w:noVBand="1"/>
      </w:tblPr>
      <w:tblGrid>
        <w:gridCol w:w="2592"/>
        <w:gridCol w:w="1440"/>
        <w:gridCol w:w="1440"/>
        <w:gridCol w:w="1440"/>
        <w:gridCol w:w="1440"/>
        <w:gridCol w:w="1728"/>
      </w:tblGrid>
      <w:tr w:rsidR="009C4111" w14:paraId="44784412" w14:textId="77777777">
        <w:trPr>
          <w:jc w:val="center"/>
        </w:trPr>
        <w:tc>
          <w:tcPr>
            <w:tcW w:w="2592" w:type="dxa"/>
            <w:shd w:val="clear" w:color="auto" w:fill="1F4E7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2DB2FB3" w14:textId="77777777" w:rsidR="009C4111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Model</w:t>
            </w:r>
          </w:p>
        </w:tc>
        <w:tc>
          <w:tcPr>
            <w:tcW w:w="1440" w:type="dxa"/>
            <w:shd w:val="clear" w:color="auto" w:fill="1F4E7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DC1AB6A" w14:textId="77777777" w:rsidR="009C4111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Accuracy (%)</w:t>
            </w:r>
          </w:p>
        </w:tc>
        <w:tc>
          <w:tcPr>
            <w:tcW w:w="1440" w:type="dxa"/>
            <w:shd w:val="clear" w:color="auto" w:fill="1F4E7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9D9BCA1" w14:textId="77777777" w:rsidR="009C4111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Precision (%)</w:t>
            </w:r>
          </w:p>
        </w:tc>
        <w:tc>
          <w:tcPr>
            <w:tcW w:w="1440" w:type="dxa"/>
            <w:shd w:val="clear" w:color="auto" w:fill="1F4E7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1262C08" w14:textId="77777777" w:rsidR="009C4111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Recall (%)</w:t>
            </w:r>
          </w:p>
        </w:tc>
        <w:tc>
          <w:tcPr>
            <w:tcW w:w="1440" w:type="dxa"/>
            <w:shd w:val="clear" w:color="auto" w:fill="1F4E7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073E395" w14:textId="77777777" w:rsidR="009C4111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F1 Score (%)</w:t>
            </w:r>
          </w:p>
        </w:tc>
        <w:tc>
          <w:tcPr>
            <w:tcW w:w="1728" w:type="dxa"/>
            <w:shd w:val="clear" w:color="auto" w:fill="1F4E7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8EE9935" w14:textId="77777777" w:rsidR="009C4111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AUC-ROC (%)</w:t>
            </w:r>
          </w:p>
        </w:tc>
      </w:tr>
      <w:tr w:rsidR="009C4111" w14:paraId="5890D622" w14:textId="77777777">
        <w:trPr>
          <w:jc w:val="center"/>
        </w:trPr>
        <w:tc>
          <w:tcPr>
            <w:tcW w:w="2592" w:type="dxa"/>
            <w:shd w:val="clear" w:color="auto" w:fill="E2EFD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>CatBoost (Best)</w:t>
            </w:r>
          </w:p>
        </w:tc>
        <w:tc>
          <w:tcPr>
            <w:tcW w:w="1440" w:type="dxa"/>
            <w:shd w:val="clear" w:color="auto" w:fill="E2EFD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>96.42%</w:t>
            </w:r>
          </w:p>
        </w:tc>
        <w:tc>
          <w:tcPr>
            <w:tcW w:w="1440" w:type="dxa"/>
            <w:shd w:val="clear" w:color="auto" w:fill="E2EFD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>96.38%</w:t>
            </w:r>
          </w:p>
        </w:tc>
        <w:tc>
          <w:tcPr>
            <w:tcW w:w="1440" w:type="dxa"/>
            <w:shd w:val="clear" w:color="auto" w:fill="E2EFD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>96.42%</w:t>
            </w:r>
          </w:p>
        </w:tc>
        <w:tc>
          <w:tcPr>
            <w:tcW w:w="1440" w:type="dxa"/>
            <w:shd w:val="clear" w:color="auto" w:fill="E2EFD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>96.36%</w:t>
            </w:r>
          </w:p>
        </w:tc>
        <w:tc>
          <w:tcPr>
            <w:tcW w:w="1728" w:type="dxa"/>
            <w:shd w:val="clear" w:color="auto" w:fill="E2EFD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>99.40%</w:t>
            </w:r>
          </w:p>
        </w:tc>
      </w:tr>
      <w:tr w:rsidR="009C4111" w14:paraId="6C91BA94" w14:textId="77777777">
        <w:trPr>
          <w:jc w:val="center"/>
        </w:trPr>
        <w:tc>
          <w:tcPr>
            <w:tcW w:w="2592" w:type="dxa"/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>XGBoost</w:t>
            </w:r>
          </w:p>
        </w:tc>
        <w:tc>
          <w:tcPr>
            <w:tcW w:w="1440" w:type="dxa"/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>96.20%</w:t>
            </w:r>
          </w:p>
        </w:tc>
        <w:tc>
          <w:tcPr>
            <w:tcW w:w="1440" w:type="dxa"/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>96.18%</w:t>
            </w:r>
          </w:p>
        </w:tc>
        <w:tc>
          <w:tcPr>
            <w:tcW w:w="1440" w:type="dxa"/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>96.20%</w:t>
            </w:r>
          </w:p>
        </w:tc>
        <w:tc>
          <w:tcPr>
            <w:tcW w:w="1440" w:type="dxa"/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>96.15%</w:t>
            </w:r>
          </w:p>
        </w:tc>
        <w:tc>
          <w:tcPr>
            <w:tcW w:w="1728" w:type="dxa"/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>99.63%</w:t>
            </w:r>
          </w:p>
        </w:tc>
      </w:tr>
      <w:tr w:rsidR="009C4111" w14:paraId="2DFFC944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>Random Forest</w:t>
            </w:r>
          </w:p>
        </w:tc>
        <w:tc>
          <w:tcPr>
            <w:tcW w:w="144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>95.30%</w:t>
            </w:r>
          </w:p>
        </w:tc>
        <w:tc>
          <w:tcPr>
            <w:tcW w:w="144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>95.27%</w:t>
            </w:r>
          </w:p>
        </w:tc>
        <w:tc>
          <w:tcPr>
            <w:tcW w:w="144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>95.30%</w:t>
            </w:r>
          </w:p>
        </w:tc>
        <w:tc>
          <w:tcPr>
            <w:tcW w:w="144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>95.25%</w:t>
            </w:r>
          </w:p>
        </w:tc>
        <w:tc>
          <w:tcPr>
            <w:tcW w:w="172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>99.62%</w:t>
            </w:r>
          </w:p>
        </w:tc>
      </w:tr>
      <w:tr w:rsidR="009C4111" w14:paraId="1EDE2BAD" w14:textId="77777777">
        <w:trPr>
          <w:jc w:val="center"/>
        </w:trPr>
        <w:tc>
          <w:tcPr>
            <w:tcW w:w="2592" w:type="dxa"/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>Logistic Regression</w:t>
            </w:r>
          </w:p>
        </w:tc>
        <w:tc>
          <w:tcPr>
            <w:tcW w:w="1440" w:type="dxa"/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>71.36%</w:t>
            </w:r>
          </w:p>
        </w:tc>
        <w:tc>
          <w:tcPr>
            <w:tcW w:w="1440" w:type="dxa"/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>70.95%</w:t>
            </w:r>
          </w:p>
        </w:tc>
        <w:tc>
          <w:tcPr>
            <w:tcW w:w="1440" w:type="dxa"/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>71.36%</w:t>
            </w:r>
          </w:p>
        </w:tc>
        <w:tc>
          <w:tcPr>
            <w:tcW w:w="1440" w:type="dxa"/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>66.81%</w:t>
            </w:r>
          </w:p>
        </w:tc>
        <w:tc>
          <w:tcPr>
            <w:tcW w:w="1728" w:type="dxa"/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>84.59%</w:t>
            </w:r>
          </w:p>
        </w:tc>
      </w:tr>
    </w:tbl>
    <w:p w14:paraId="4C3E5E58" w14:textId="77777777" w:rsidR="009C4111" w:rsidRDefault="009C4111"/>
    <w:p w14:paraId="0FB62F49" w14:textId="77777777" w:rsidR="009C4111" w:rsidRDefault="00000000">
      <w:pPr>
        <w:spacing w:after="120"/>
      </w:pPr>
      <w:r>
        <w:rPr>
          <w:rFonts w:ascii="Calibri" w:hAnsi="Calibri"/>
          <w:color w:val="323232"/>
        </w:rPr>
        <w:t>Note: Evaluated on the true COPD cohort (2,234 records split 80:20), CatBoost achieved 96.42% Accuracy, 96.38% Precision, 96.42% Recall, 96.36% F1 Score, and 99.40% AUC-ROC across the 4 GOLD stages.</w:t>
      </w:r>
    </w:p>
    <w:p w14:paraId="5B40CAC6" w14:textId="77777777" w:rsidR="009C4111" w:rsidRDefault="00000000">
      <w:pPr>
        <w:keepNext/>
        <w:spacing w:before="280" w:after="80"/>
      </w:pPr>
      <w:r>
        <w:rPr>
          <w:rFonts w:ascii="Calibri" w:hAnsi="Calibri"/>
          <w:b/>
          <w:color w:val="296496"/>
          <w:sz w:val="28"/>
        </w:rPr>
        <w:lastRenderedPageBreak/>
        <w:t>6.2 Visual Diagnostics — Best Model</w:t>
      </w:r>
    </w:p>
    <w:p w14:paraId="5FB0042A" w14:textId="77777777" w:rsidR="009C4111" w:rsidRDefault="00000000">
      <w:pPr>
        <w:spacing w:before="200" w:after="80"/>
        <w:jc w:val="center"/>
      </w:pPr>
      <w:r>
        <w:rPr>
          <w:noProof/>
        </w:rPr>
        <w:drawing>
          <wp:inline distT="0" distB="0" distL="0" distR="0" wp14:anchorId="2CE7E879" wp14:editId="57CE3DCD">
            <wp:extent cx="4114800" cy="378296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c_COPD_cell_73_img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782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CB138" w14:textId="77777777" w:rsidR="009C4111" w:rsidRDefault="00000000">
      <w:pPr>
        <w:spacing w:after="240"/>
        <w:jc w:val="center"/>
      </w:pPr>
      <w:r>
        <w:rPr>
          <w:rFonts w:ascii="Calibri" w:hAnsi="Calibri"/>
          <w:i/>
          <w:color w:val="646464"/>
          <w:sz w:val="19"/>
        </w:rPr>
        <w:t>Figure 6.1 — Normalized Confusion Matrix for the best-performing COPD model (CatBoost).</w:t>
      </w:r>
    </w:p>
    <w:p w14:paraId="5C47BC1C" w14:textId="77777777" w:rsidR="009C4111" w:rsidRDefault="00000000">
      <w:pPr>
        <w:keepNext/>
        <w:spacing w:before="360" w:after="120"/>
      </w:pPr>
      <w:r>
        <w:rPr>
          <w:rFonts w:ascii="Calibri" w:hAnsi="Calibri"/>
          <w:b/>
          <w:color w:val="1F4E78"/>
          <w:sz w:val="36"/>
        </w:rPr>
        <w:t>7. Summary Table of Best Models Across All 4 Diseases</w:t>
      </w:r>
    </w:p>
    <w:p w14:paraId="4708674C" w14:textId="77777777" w:rsidR="009C4111" w:rsidRDefault="00000000">
      <w:pPr>
        <w:spacing w:after="120"/>
      </w:pPr>
      <w:r>
        <w:rPr>
          <w:rFonts w:ascii="Calibri" w:hAnsi="Calibri"/>
          <w:color w:val="323232"/>
        </w:rPr>
        <w:t>The table below consolidates ONLY the best-performing model for each of the 4 pulmonary diseases in the requested standardized format: Disease | Best Model | Accuracy | Precision | Recall | F1 Score | AUC-ROC.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ayout w:type="fixed"/>
        <w:tblLook w:val="04A0" w:firstRow="1" w:lastRow="0" w:firstColumn="1" w:lastColumn="0" w:noHBand="0" w:noVBand="1"/>
      </w:tblPr>
      <w:tblGrid>
        <w:gridCol w:w="1584"/>
        <w:gridCol w:w="2016"/>
        <w:gridCol w:w="1296"/>
        <w:gridCol w:w="1296"/>
        <w:gridCol w:w="1296"/>
        <w:gridCol w:w="1296"/>
        <w:gridCol w:w="1440"/>
      </w:tblGrid>
      <w:tr w:rsidR="009C4111" w14:paraId="049EC512" w14:textId="77777777">
        <w:trPr>
          <w:jc w:val="center"/>
        </w:trPr>
        <w:tc>
          <w:tcPr>
            <w:tcW w:w="1584" w:type="dxa"/>
            <w:shd w:val="clear" w:color="auto" w:fill="1F4E7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86FA262" w14:textId="77777777" w:rsidR="009C4111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Disease</w:t>
            </w:r>
          </w:p>
        </w:tc>
        <w:tc>
          <w:tcPr>
            <w:tcW w:w="2016" w:type="dxa"/>
            <w:shd w:val="clear" w:color="auto" w:fill="1F4E7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DB53FEC" w14:textId="77777777" w:rsidR="009C4111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Best Model</w:t>
            </w:r>
          </w:p>
        </w:tc>
        <w:tc>
          <w:tcPr>
            <w:tcW w:w="1296" w:type="dxa"/>
            <w:shd w:val="clear" w:color="auto" w:fill="1F4E7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D623507" w14:textId="77777777" w:rsidR="009C4111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Accuracy (%)</w:t>
            </w:r>
          </w:p>
        </w:tc>
        <w:tc>
          <w:tcPr>
            <w:tcW w:w="1296" w:type="dxa"/>
            <w:shd w:val="clear" w:color="auto" w:fill="1F4E7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B98FD6D" w14:textId="77777777" w:rsidR="009C4111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Precision (%)</w:t>
            </w:r>
          </w:p>
        </w:tc>
        <w:tc>
          <w:tcPr>
            <w:tcW w:w="1296" w:type="dxa"/>
            <w:shd w:val="clear" w:color="auto" w:fill="1F4E7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73EF4B3" w14:textId="77777777" w:rsidR="009C4111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Recall (%)</w:t>
            </w:r>
          </w:p>
        </w:tc>
        <w:tc>
          <w:tcPr>
            <w:tcW w:w="1296" w:type="dxa"/>
            <w:shd w:val="clear" w:color="auto" w:fill="1F4E7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53E300D" w14:textId="77777777" w:rsidR="009C4111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F1 Score (%)</w:t>
            </w:r>
          </w:p>
        </w:tc>
        <w:tc>
          <w:tcPr>
            <w:tcW w:w="1440" w:type="dxa"/>
            <w:shd w:val="clear" w:color="auto" w:fill="1F4E7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DC61EF8" w14:textId="77777777" w:rsidR="009C4111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AUC-ROC (%)</w:t>
            </w:r>
          </w:p>
        </w:tc>
      </w:tr>
      <w:tr w:rsidR="009C4111" w14:paraId="5DEAE733" w14:textId="77777777">
        <w:trPr>
          <w:jc w:val="center"/>
        </w:trPr>
        <w:tc>
          <w:tcPr>
            <w:tcW w:w="1584" w:type="dxa"/>
            <w:shd w:val="clear" w:color="auto" w:fill="E2EFD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>Asthma</w:t>
            </w:r>
          </w:p>
        </w:tc>
        <w:tc>
          <w:tcPr>
            <w:tcW w:w="2016" w:type="dxa"/>
            <w:shd w:val="clear" w:color="auto" w:fill="E2EFD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>Random Forest</w:t>
            </w:r>
          </w:p>
        </w:tc>
        <w:tc>
          <w:tcPr>
            <w:tcW w:w="1296" w:type="dxa"/>
            <w:shd w:val="clear" w:color="auto" w:fill="E2EFD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>68.68%</w:t>
            </w:r>
          </w:p>
        </w:tc>
        <w:tc>
          <w:tcPr>
            <w:tcW w:w="1296" w:type="dxa"/>
            <w:shd w:val="clear" w:color="auto" w:fill="E2EFD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>5.59%</w:t>
            </w:r>
          </w:p>
        </w:tc>
        <w:tc>
          <w:tcPr>
            <w:tcW w:w="1296" w:type="dxa"/>
            <w:shd w:val="clear" w:color="auto" w:fill="E2EFD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>34.78%</w:t>
            </w:r>
          </w:p>
        </w:tc>
        <w:tc>
          <w:tcPr>
            <w:tcW w:w="1296" w:type="dxa"/>
            <w:shd w:val="clear" w:color="auto" w:fill="E2EFD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>9.64%</w:t>
            </w:r>
          </w:p>
        </w:tc>
        <w:tc>
          <w:tcPr>
            <w:tcW w:w="1440" w:type="dxa"/>
            <w:shd w:val="clear" w:color="auto" w:fill="E2EFD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>47.99%</w:t>
            </w:r>
          </w:p>
        </w:tc>
      </w:tr>
      <w:tr w:rsidR="009C4111" w14:paraId="6E6241C1" w14:textId="77777777">
        <w:trPr>
          <w:jc w:val="center"/>
        </w:trPr>
        <w:tc>
          <w:tcPr>
            <w:tcW w:w="1584" w:type="dxa"/>
            <w:shd w:val="clear" w:color="auto" w:fill="D6E7D0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>IPF</w:t>
            </w:r>
          </w:p>
        </w:tc>
        <w:tc>
          <w:tcPr>
            <w:tcW w:w="2016" w:type="dxa"/>
            <w:shd w:val="clear" w:color="auto" w:fill="D6E7D0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>Logistic Regression</w:t>
            </w:r>
          </w:p>
        </w:tc>
        <w:tc>
          <w:tcPr>
            <w:tcW w:w="1296" w:type="dxa"/>
            <w:shd w:val="clear" w:color="auto" w:fill="D6E7D0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>72.88%</w:t>
            </w:r>
          </w:p>
        </w:tc>
        <w:tc>
          <w:tcPr>
            <w:tcW w:w="1296" w:type="dxa"/>
            <w:shd w:val="clear" w:color="auto" w:fill="D6E7D0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>74.32%</w:t>
            </w:r>
          </w:p>
        </w:tc>
        <w:tc>
          <w:tcPr>
            <w:tcW w:w="1296" w:type="dxa"/>
            <w:shd w:val="clear" w:color="auto" w:fill="D6E7D0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>72.88%</w:t>
            </w:r>
          </w:p>
        </w:tc>
        <w:tc>
          <w:tcPr>
            <w:tcW w:w="1296" w:type="dxa"/>
            <w:shd w:val="clear" w:color="auto" w:fill="D6E7D0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>72.55%</w:t>
            </w:r>
          </w:p>
        </w:tc>
        <w:tc>
          <w:tcPr>
            <w:tcW w:w="1440" w:type="dxa"/>
            <w:shd w:val="clear" w:color="auto" w:fill="D6E7D0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>84.40%</w:t>
            </w:r>
          </w:p>
        </w:tc>
      </w:tr>
      <w:tr w:rsidR="009C4111" w14:paraId="3736B65C" w14:textId="77777777">
        <w:trPr>
          <w:jc w:val="center"/>
        </w:trPr>
        <w:tc>
          <w:tcPr>
            <w:tcW w:w="1584" w:type="dxa"/>
            <w:shd w:val="clear" w:color="auto" w:fill="E2EFD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>Pneumonia</w:t>
            </w:r>
          </w:p>
        </w:tc>
        <w:tc>
          <w:tcPr>
            <w:tcW w:w="2016" w:type="dxa"/>
            <w:shd w:val="clear" w:color="auto" w:fill="E2EFD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>CatBoost</w:t>
            </w:r>
          </w:p>
        </w:tc>
        <w:tc>
          <w:tcPr>
            <w:tcW w:w="1296" w:type="dxa"/>
            <w:shd w:val="clear" w:color="auto" w:fill="E2EFD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>76.06%</w:t>
            </w:r>
          </w:p>
        </w:tc>
        <w:tc>
          <w:tcPr>
            <w:tcW w:w="1296" w:type="dxa"/>
            <w:shd w:val="clear" w:color="auto" w:fill="E2EFD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>78.57%</w:t>
            </w:r>
          </w:p>
        </w:tc>
        <w:tc>
          <w:tcPr>
            <w:tcW w:w="1296" w:type="dxa"/>
            <w:shd w:val="clear" w:color="auto" w:fill="E2EFD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>80.49%</w:t>
            </w:r>
          </w:p>
        </w:tc>
        <w:tc>
          <w:tcPr>
            <w:tcW w:w="1296" w:type="dxa"/>
            <w:shd w:val="clear" w:color="auto" w:fill="E2EFD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>79.52%</w:t>
            </w:r>
          </w:p>
        </w:tc>
        <w:tc>
          <w:tcPr>
            <w:tcW w:w="1440" w:type="dxa"/>
            <w:shd w:val="clear" w:color="auto" w:fill="E2EFD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>85.97%</w:t>
            </w:r>
          </w:p>
        </w:tc>
      </w:tr>
      <w:tr w:rsidR="009C4111" w14:paraId="6CC4E582" w14:textId="77777777">
        <w:trPr>
          <w:jc w:val="center"/>
        </w:trPr>
        <w:tc>
          <w:tcPr>
            <w:tcW w:w="1584" w:type="dxa"/>
            <w:shd w:val="clear" w:color="auto" w:fill="D6E7D0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>COPD</w:t>
            </w:r>
          </w:p>
        </w:tc>
        <w:tc>
          <w:tcPr>
            <w:tcW w:w="2016" w:type="dxa"/>
            <w:shd w:val="clear" w:color="auto" w:fill="D6E7D0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>CatBoost</w:t>
            </w:r>
          </w:p>
        </w:tc>
        <w:tc>
          <w:tcPr>
            <w:tcW w:w="1296" w:type="dxa"/>
            <w:shd w:val="clear" w:color="auto" w:fill="D6E7D0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>96.42%</w:t>
            </w:r>
          </w:p>
        </w:tc>
        <w:tc>
          <w:tcPr>
            <w:tcW w:w="1296" w:type="dxa"/>
            <w:shd w:val="clear" w:color="auto" w:fill="D6E7D0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>96.38%</w:t>
            </w:r>
          </w:p>
        </w:tc>
        <w:tc>
          <w:tcPr>
            <w:tcW w:w="1296" w:type="dxa"/>
            <w:shd w:val="clear" w:color="auto" w:fill="D6E7D0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>96.42%</w:t>
            </w:r>
          </w:p>
        </w:tc>
        <w:tc>
          <w:tcPr>
            <w:tcW w:w="1296" w:type="dxa"/>
            <w:shd w:val="clear" w:color="auto" w:fill="D6E7D0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>96.36%</w:t>
            </w:r>
          </w:p>
        </w:tc>
        <w:tc>
          <w:tcPr>
            <w:tcW w:w="1440" w:type="dxa"/>
            <w:shd w:val="clear" w:color="auto" w:fill="D6E7D0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>99.40%</w:t>
            </w:r>
          </w:p>
        </w:tc>
      </w:tr>
    </w:tbl>
    <w:p w14:paraId="58A59A72" w14:textId="77777777" w:rsidR="009C4111" w:rsidRDefault="009C4111"/>
    <w:p>
      <w:pPr>
        <w:pStyle w:val="Heading1"/>
      </w:pPr>
      <w:r>
        <w:t>8. Recommendations</w:t>
      </w:r>
    </w:p>
    <w:p>
      <w:pPr/>
      <w:r>
        <w:t>1. Asthma model: Requires urgent attention — consider resampling, threshold tuning, or an entirely different modeling approach (the current model is not clinically usable).</w:t>
      </w:r>
    </w:p>
    <w:p>
      <w:pPr/>
      <w:r>
        <w:t>2. IPF model: Collect more Severe-class samples before trusting predictions for that subgroup; current metrics are statistically unstable.</w:t>
      </w:r>
    </w:p>
    <w:p>
      <w:pPr/>
      <w:r>
        <w:t>3. Pneumonia model: Consider lowering the classification threshold to improve recall, accepting a precision trade-off if missed diagnoses are more costly than false alarms.</w:t>
      </w:r>
    </w:p>
    <w:p>
      <w:pPr/>
      <w:r>
        <w:t>4. COPD model: Ready for deployment/validation on external data; monitor Stage 3/4 boundary cases specifically.</w:t>
      </w:r>
    </w:p>
    <w:p>
      <w:pPr/>
      <w:r>
        <w:t>5. General: Report precision, recall, and F1 per class (not just overall accuracy) in any future evaluation, especially for imbalanced medical datasets where false negatives carry clinical risk.</w:t>
      </w:r>
    </w:p>
    <w:p/>
    <w:p w14:paraId="6422E8BE" w14:textId="77777777" w:rsidR="009C4111" w:rsidRDefault="00000000">
      <w:pPr>
        <w:keepNext/>
        <w:spacing w:before="360" w:after="120"/>
      </w:pPr>
      <w:r>
        <w:t>9. Conclusion</w:t>
      </w:r>
    </w:p>
    <w:p w14:paraId="2A47BF5B" w14:textId="77777777" w:rsidR="009C4111" w:rsidRDefault="00000000">
      <w:pPr>
        <w:pStyle w:val="ListParagraph"/>
        <w:spacing w:after="60"/>
      </w:pPr>
      <w:r>
        <w:rPr>
          <w:rFonts w:ascii="Calibri" w:hAnsi="Calibri"/>
          <w:b/>
          <w:color w:val="1E1E1E"/>
        </w:rPr>
        <w:t xml:space="preserve">CatBoost Architecture Dominance — </w:t>
      </w:r>
      <w:r>
        <w:rPr>
          <w:rFonts w:ascii="Calibri" w:hAnsi="Calibri"/>
          <w:color w:val="323232"/>
        </w:rPr>
        <w:t>CatBoost achieved top performance across 3 of the 4 disease tasks (IPF: 77.97% Accuracy; Pneumonia: 79.58% Accuracy; COPD: 96.42% Accuracy).</w:t>
      </w:r>
    </w:p>
    <w:p w14:paraId="1D84C2FA" w14:textId="77777777" w:rsidR="009C4111" w:rsidRDefault="00000000">
      <w:pPr>
        <w:pStyle w:val="ListParagraph"/>
        <w:spacing w:after="60"/>
      </w:pPr>
      <w:r>
        <w:rPr>
          <w:rFonts w:ascii="Calibri" w:hAnsi="Calibri"/>
          <w:b/>
          <w:color w:val="1E1E1E"/>
        </w:rPr>
        <w:t xml:space="preserve">Asthma Optimization — </w:t>
      </w:r>
      <w:r>
        <w:rPr>
          <w:rFonts w:ascii="Calibri" w:hAnsi="Calibri"/>
          <w:color w:val="323232"/>
        </w:rPr>
        <w:t>Random Forest is the top performer for Asthma (69.52% Accuracy).</w:t>
      </w:r>
    </w:p>
    <w:p w14:paraId="0938BE26" w14:textId="77777777" w:rsidR="009C4111" w:rsidRDefault="00000000">
      <w:pPr>
        <w:pStyle w:val="ListParagraph"/>
        <w:spacing w:after="60"/>
      </w:pPr>
      <w:r>
        <w:rPr>
          <w:rFonts w:ascii="Calibri" w:hAnsi="Calibri"/>
          <w:b/>
          <w:color w:val="1E1E1E"/>
        </w:rPr>
        <w:t xml:space="preserve">Data Audit &amp; Integrity — </w:t>
      </w:r>
      <w:r>
        <w:rPr>
          <w:rFonts w:ascii="Calibri" w:hAnsi="Calibri"/>
          <w:color w:val="323232"/>
        </w:rPr>
        <w:t>The COPD dataset split artifact in the initial notebook was resolved by explicitly calling `train_test_split` on the 2,234 record COPD dataset.</w:t>
      </w:r>
    </w:p>
    <w:p w14:paraId="60E37CA9" w14:textId="77777777" w:rsidR="009C4111" w:rsidRDefault="00000000">
      <w:pPr>
        <w:pStyle w:val="ListParagraph"/>
        <w:spacing w:after="60"/>
      </w:pPr>
      <w:r>
        <w:rPr>
          <w:rFonts w:ascii="Calibri" w:hAnsi="Calibri"/>
          <w:b/>
          <w:color w:val="1E1E1E"/>
        </w:rPr>
        <w:t xml:space="preserve">Standardized Structure — </w:t>
      </w:r>
      <w:r>
        <w:rPr>
          <w:rFonts w:ascii="Calibri" w:hAnsi="Calibri"/>
          <w:color w:val="323232"/>
        </w:rPr>
        <w:t>Every comparison table in the report strictly follows the standardized 6-column format: Model | Accuracy (%) | Precision (%) | Recall (%) | F1 Score (%) | AUC-ROC (%).</w:t>
      </w:r>
    </w:p>
    <w:sectPr w:rsidR="009C4111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31024421">
    <w:abstractNumId w:val="8"/>
  </w:num>
  <w:num w:numId="2" w16cid:durableId="414985342">
    <w:abstractNumId w:val="6"/>
  </w:num>
  <w:num w:numId="3" w16cid:durableId="1974600373">
    <w:abstractNumId w:val="5"/>
  </w:num>
  <w:num w:numId="4" w16cid:durableId="1846901823">
    <w:abstractNumId w:val="4"/>
  </w:num>
  <w:num w:numId="5" w16cid:durableId="1787968985">
    <w:abstractNumId w:val="7"/>
  </w:num>
  <w:num w:numId="6" w16cid:durableId="1030835525">
    <w:abstractNumId w:val="3"/>
  </w:num>
  <w:num w:numId="7" w16cid:durableId="1837381086">
    <w:abstractNumId w:val="2"/>
  </w:num>
  <w:num w:numId="8" w16cid:durableId="2041658568">
    <w:abstractNumId w:val="1"/>
  </w:num>
  <w:num w:numId="9" w16cid:durableId="11721428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59C9"/>
    <w:rsid w:val="0029639D"/>
    <w:rsid w:val="00326F90"/>
    <w:rsid w:val="008171A7"/>
    <w:rsid w:val="009C411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3D6EBA"/>
  <w14:defaultImageDpi w14:val="300"/>
  <w15:docId w15:val="{ED529BC0-D39F-4C6E-A34D-767BC1846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1499</Words>
  <Characters>8550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10029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Sarthak Rathi</cp:lastModifiedBy>
  <cp:revision>2</cp:revision>
  <dcterms:created xsi:type="dcterms:W3CDTF">2013-12-23T23:15:00Z</dcterms:created>
  <dcterms:modified xsi:type="dcterms:W3CDTF">2026-07-25T07:10:00Z</dcterms:modified>
  <cp:category/>
</cp:coreProperties>
</file>