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60" w:before="0"/>
        <w:jc w:val="center"/>
      </w:pPr>
      <w:r>
        <w:rPr>
          <w:rFonts w:ascii="Arial" w:cs="Arial" w:eastAsia="Arial" w:hAnsi="Arial"/>
          <w:b/>
          <w:bCs/>
          <w:color w:val="1B2A4A"/>
          <w:sz w:val="60"/>
          <w:szCs w:val="60"/>
        </w:rPr>
        <w:t xml:space="preserve">DATA DOCTOR</w:t>
      </w:r>
    </w:p>
    <w:p>
      <w:pPr>
        <w:spacing w:after="100" w:before="0"/>
        <w:jc w:val="center"/>
      </w:pPr>
      <w:r>
        <w:rPr>
          <w:rFonts w:ascii="Arial" w:cs="Arial" w:eastAsia="Arial" w:hAnsi="Arial"/>
          <w:color w:val="2E5F9E"/>
          <w:sz w:val="30"/>
          <w:szCs w:val="30"/>
        </w:rPr>
        <w:t xml:space="preserve">Architecture Decision Record</w:t>
      </w:r>
    </w:p>
    <w:p>
      <w:pPr>
        <w:pBdr>
          <w:bottom w:val="single" w:color="E8A020" w:sz="8" w:space="1"/>
        </w:pBdr>
        <w:spacing w:after="320" w:before="0"/>
        <w:jc w:val="center"/>
      </w:pPr>
    </w:p>
    <w:p>
      <w:pPr>
        <w:spacing w:after="60" w:before="0"/>
        <w:jc w:val="center"/>
      </w:pPr>
      <w:r>
        <w:rPr>
          <w:rFonts w:ascii="Arial" w:cs="Arial" w:eastAsia="Arial" w:hAnsi="Arial"/>
          <w:i/>
          <w:iCs/>
          <w:color w:val="555555"/>
          <w:sz w:val="21"/>
          <w:szCs w:val="21"/>
        </w:rPr>
        <w:t xml:space="preserve">A structured log of every significant technical decision made during the design</w:t>
      </w:r>
    </w:p>
    <w:p>
      <w:pPr>
        <w:spacing w:after="60" w:before="0"/>
        <w:jc w:val="center"/>
      </w:pPr>
      <w:r>
        <w:rPr>
          <w:rFonts w:ascii="Arial" w:cs="Arial" w:eastAsia="Arial" w:hAnsi="Arial"/>
          <w:i/>
          <w:iCs/>
          <w:color w:val="555555"/>
          <w:sz w:val="21"/>
          <w:szCs w:val="21"/>
        </w:rPr>
        <w:t xml:space="preserve">and development of the Data Doctor platform — including the decision taken,</w:t>
      </w:r>
    </w:p>
    <w:p>
      <w:pPr>
        <w:spacing w:after="200" w:before="0"/>
        <w:jc w:val="center"/>
      </w:pPr>
      <w:r>
        <w:rPr>
          <w:rFonts w:ascii="Arial" w:cs="Arial" w:eastAsia="Arial" w:hAnsi="Arial"/>
          <w:i/>
          <w:iCs/>
          <w:color w:val="555555"/>
          <w:sz w:val="21"/>
          <w:szCs w:val="21"/>
        </w:rPr>
        <w:t xml:space="preserve">the alternatives considered, and the reasoning behind each choice.</w:t>
      </w:r>
    </w:p>
    <w:p>
      <w:pPr>
        <w:spacing w:after="40" w:before="0"/>
        <w:jc w:val="center"/>
      </w:pPr>
      <w:r>
        <w:rPr>
          <w:rFonts w:ascii="Arial" w:cs="Arial" w:eastAsia="Arial" w:hAnsi="Arial"/>
          <w:color w:val="CCCCCC"/>
          <w:sz w:val="19"/>
          <w:szCs w:val="19"/>
        </w:rPr>
        <w:t xml:space="preserve">Hackathon Edition  |  April 2026</w:t>
      </w:r>
    </w:p>
    <w:p>
      <w:r>
        <w:br w:type="page"/>
      </w:r>
    </w:p>
    <w:p>
      <w:pPr>
        <w:pStyle w:val="Heading1"/>
        <w:spacing w:after="160" w:before="360"/>
      </w:pPr>
      <w:r>
        <w:rPr>
          <w:rFonts w:ascii="Arial" w:cs="Arial" w:eastAsia="Arial" w:hAnsi="Arial"/>
          <w:b/>
          <w:bCs/>
          <w:color w:val="1B2A4A"/>
          <w:sz w:val="34"/>
          <w:szCs w:val="34"/>
        </w:rPr>
        <w:t xml:space="preserve">About This Document</w:t>
      </w:r>
    </w:p>
    <w:p>
      <w:pPr>
        <w:pBdr>
          <w:bottom w:val="single" w:color="2E5F9E" w:sz="6" w:space="1"/>
        </w:pBdr>
        <w:spacing w:after="220" w:before="60"/>
      </w:pPr>
    </w:p>
    <w:p>
      <w:pPr>
        <w:spacing w:after="120" w:before="80"/>
      </w:pPr>
      <w:r>
        <w:rPr>
          <w:rFonts w:ascii="Arial" w:cs="Arial" w:eastAsia="Arial" w:hAnsi="Arial"/>
          <w:color w:val="2C2C2C"/>
          <w:sz w:val="20"/>
          <w:szCs w:val="20"/>
        </w:rPr>
        <w:t xml:space="preserve">This Architecture Decision Record (ADR) documents every significant technical choice made during the design and development of Data Doctor. Each entry follows a consistent structure: the decision taken, the alternatives that were seriously evaluated, the rationale for the chosen approach, and any acknowledged trade-offs.</w:t>
      </w:r>
    </w:p>
    <w:p>
      <w:pPr>
        <w:spacing w:after="120" w:before="80"/>
      </w:pPr>
      <w:r>
        <w:rPr>
          <w:rFonts w:ascii="Arial" w:cs="Arial" w:eastAsia="Arial" w:hAnsi="Arial"/>
          <w:color w:val="2C2C2C"/>
          <w:sz w:val="20"/>
          <w:szCs w:val="20"/>
        </w:rPr>
        <w:t xml:space="preserve">The purpose of this record is twofold: to provide transparency into the thinking behind the system's architecture for hackathon judges and technical reviewers, and to serve as a reference for any future development that builds upon this foundation.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5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Decision Area</w:t>
            </w:r>
          </w:p>
        </w:tc>
        <w:tc>
          <w:tcPr>
            <w:tcW w:type="dxa" w:w="5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Decision Summary</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b/>
                <w:bCs/>
                <w:color w:val="2E5F9E"/>
                <w:sz w:val="18"/>
                <w:szCs w:val="18"/>
              </w:rPr>
              <w:t xml:space="preserve">D01</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Metadata Platform</w:t>
            </w:r>
          </w:p>
        </w:tc>
        <w:tc>
          <w:tcPr>
            <w:tcW w:type="dxa" w:w="52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OpenMetadata over custom graph DB or DataHub</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E"/>
                <w:sz w:val="18"/>
                <w:szCs w:val="18"/>
              </w:rPr>
              <w:t xml:space="preserve">D02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Graph Traversal Algorithm</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BFS (Breadth-First Search) over DFS</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b/>
                <w:bCs/>
                <w:color w:val="2E5F9E"/>
                <w:sz w:val="18"/>
                <w:szCs w:val="18"/>
              </w:rPr>
              <w:t xml:space="preserve">D03</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Backend Framework</w:t>
            </w:r>
          </w:p>
        </w:tc>
        <w:tc>
          <w:tcPr>
            <w:tcW w:type="dxa" w:w="52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FastAPI over Flask or Django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E"/>
                <w:sz w:val="18"/>
                <w:szCs w:val="18"/>
              </w:rPr>
              <w:t xml:space="preserve">D04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State Persistence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OpenMetadata as sole source of truth — no secondary DB</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b/>
                <w:bCs/>
                <w:color w:val="2E5F9E"/>
                <w:sz w:val="18"/>
                <w:szCs w:val="18"/>
              </w:rPr>
              <w:t xml:space="preserve">D05</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LLM Provider</w:t>
            </w:r>
          </w:p>
        </w:tc>
        <w:tc>
          <w:tcPr>
            <w:tcW w:type="dxa" w:w="52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Groq API over OpenAI or Anthropic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E"/>
                <w:sz w:val="18"/>
                <w:szCs w:val="18"/>
              </w:rPr>
              <w:t xml:space="preserve">D06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AI Architecture Pattern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Hybrid: deterministic core + AI augmentation layer</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b/>
                <w:bCs/>
                <w:color w:val="2E5F9E"/>
                <w:sz w:val="18"/>
                <w:szCs w:val="18"/>
              </w:rPr>
              <w:t xml:space="preserve">D07</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Anomaly Detection Approach</w:t>
            </w:r>
          </w:p>
        </w:tc>
        <w:tc>
          <w:tcPr>
            <w:tcW w:type="dxa" w:w="52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Researched rule-based detection over pure ML models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E"/>
                <w:sz w:val="18"/>
                <w:szCs w:val="18"/>
              </w:rPr>
              <w:t xml:space="preserve">D08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Confidence Scoring Method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Deterministic mathematical model, AI-refined</w:t>
            </w:r>
          </w:p>
        </w:tc>
      </w:tr>
      <w:tr>
        <w:tc>
          <w:tcPr>
            <w:tcW w:type="dxa" w:w="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b/>
                <w:bCs/>
                <w:color w:val="2E5F9E"/>
                <w:sz w:val="18"/>
                <w:szCs w:val="18"/>
              </w:rPr>
              <w:t xml:space="preserve">D09</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Monitoring Trigger Model</w:t>
            </w:r>
          </w:p>
        </w:tc>
        <w:tc>
          <w:tcPr>
            <w:tcW w:type="dxa" w:w="52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18"/>
                <w:szCs w:val="18"/>
              </w:rPr>
              <w:t xml:space="preserve">On-demand diagnosis over real-time event streaming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E"/>
                <w:sz w:val="18"/>
                <w:szCs w:val="18"/>
              </w:rPr>
              <w:t xml:space="preserve">D10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Frontend Approach</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Lightweight wrapper (Streamlit / React) over full SPA</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D01</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Metadata Platform Selection</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Data Doctor requires a centralised store for entity metadata, data lineage graphs, pipeline execution statuses, schema change history, and data quality test results. A foundational decision was whether to build this store from scratch, adopt a specialised graph database, or use an existing open-source metadata platform.</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OpenMetadata — an open-source, schema-first metadata platform backed by a standard relational database (MySQL 8.x / PostgreSQL).</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Custom Neo4j graph database; DataHub (LinkedIn); Apache Atlas; building a bespoke metadata store using PostgreSQL directly.</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OpenMetadata uniquely combines a production-grade lineage API, native data quality test result storage, pipeline execution tracking, and a rich Python SDK into a single, unified platform. It eliminates the need to build or operate a custom graph database while still providing full graph traversal capabilities via its REST API. Its schema-first design aligns precisely with Data Doctor's need for predictable, strongly typed entity payloads. Critically, OpenMetadata is already widely adopted in production data stacks, meaning the assumptions Data Doctor makes about the environment are realistic and practical.</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OpenMetadata requires an existing, running instance populated by ingestion connectors. Data Doctor assumes this infrastructure is already in place and does not manage ingestion itself. For environments where OpenMetadata is not deployed, the system would require significant adaptation.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D02</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Graph Traversal Algorithm</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Root cause analysis requires traversing the data lineage graph upstream from the point of failure. Impact analysis requires traversing downstream. The choice of traversal algorithm directly affects both the quality of the diagnosis and the computational efficiency of the engine.</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Breadth-First Search (BFS) using Python's collections.deque for O(1) queue operations, traversing the in-memory adjacency list constructed from the OpenMetadata lineage JSON.</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Depth-First Search (DFS); Dijkstra's shortest path algorithm; delegating traversal to a graph database query language (e.g., Cypher on Neo4j).</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BFS is the optimal algorithm for finding the shortest path in an unweighted graph — which is precisely the requirement for root cause analysis, where the closest upstream anomaly is the most probable cause. By exploring all nodes at depth 1 before depth 2, BFS guarantees that the first anomaly found is definitionally the nearest one. DFS would find A root cause, but not necessarily the NEAREST one, making it unsuitable for depth-ranked diagnosis. Delegating traversal to a graph database was ruled out by the no-secondary-database constraint. Python's deque provides O(1) append and popleft operations, making BFS both algorithmically correct and computationally efficient.</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BFS consumes more memory than DFS for wide, shallow graphs, as it holds the entire frontier in the queue. For the graph depths used (3–5 hops), this is negligible in practice. The visited set prevents infinite loops in cyclic graphs.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D03</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Backend Framework</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Data Doctor's backend needs to expose a clean REST API, handle structured JSON payloads, validate inputs rigorously, and integrate with the OpenMetadata Python SDK. The framework choice significantly affects development velocity, type safety, and the quality of the API documentation produced.</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FastAPI — a modern, high-performance Python web framework with native Pydantic integration and automatic OpenAPI documentation generation.</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Flask (lightweight but no native validation); Django REST Framework (powerful but heavyweight for a microservice); aiohttp (async but lacks built-in validation).</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FastAPI's native integration with Pydantic models aligns perfectly with OpenMetadata's schema-first, JSON-typed entity responses. Input validation, serialisation, and error responses are handled automatically — reducing boilerplate and eliminating an entire category of defensive coding. FastAPI's automatic OpenAPI (Swagger) documentation generation means the API is self-documenting out of the box, which is a meaningful advantage in a hackathon setting where demonstrating the system to judges quickly matters. Its async-first architecture also means Data Doctor can handle concurrent OpenMetadata API calls without blocking.</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FastAPI's opinionated dependency injection system requires some familiarisation. For a simple MVP with few endpoints, Flask would have been quicker to scaffold — however, the long-term benefits of type safety and auto-documentation justify the marginal additional setup time.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D04</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State Persistence Strategy</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Any diagnostic system needs to read entity state, historical data, and relational mappings. The question is whether Data Doctor should maintain its own internal state store or rely entirely on OpenMetadata as the system of record.</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OpenMetadata is the sole persistence layer. Data Doctor is a fully stateless microservice — every request fetches live state from the OpenMetadata API in real time. No secondary database is instantiated or maintained.</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Maintaining a local PostgreSQL instance to cache lineage graphs and incident history; using Redis for short-lived state caching; persisting diagnostic results to a local SQLite file.</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Introducing a secondary database creates a synchronisation problem: the local store can drift from the ground truth in OpenMetadata, introducing stale or inconsistent diagnoses. It also adds significant operational overhead (migrations, connection management, backup) that is entirely unjustified for a hackathon scope. OpenMetadata already stores everything Data Doctor needs — lineage graphs, entity metadata, profiling history, test results, schema change logs — making a secondary store purely redundant. A stateless architecture also makes the service trivially simple to deploy, scale, and reason about.</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Without caching, repeated diagnosis of the same asset makes redundant API calls to OpenMetadata. For production scale, a short-lived cache (TTL of a few minutes) would be a worthwhile enhancement. For the hackathon MVP, the latency is entirely acceptable.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D05</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LLM Provider Selection</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Data Doctor's AI augmentation layer requires a Large Language Model to refine diagnostic suggestions, generate SQL remediation scripts, and produce polished Slack notifications. The choice of provider affects inference speed, cost, API compatibility, and reliability under hackathon demo conditions.</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Groq API with the Llama 3.3 70B model — providing OpenAI-compatible endpoints with dramatically faster inference speeds.</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OpenAI GPT-4o; Anthropic Claude; Google Gemini; running a local model via Ollama.</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Groq delivers 750–900 tokens per second on Llama 3.3 70B — approximately 20x faster than OpenAI's GPT-4o at the time of research. For a live hackathon demonstration where latency is visible to judges, this speed advantage is decisive. Groq's API is fully OpenAI-compatible, meaning the integration is straightforward and well-documented. It supports structured outputs with JSON schema validation, which is essential for ensuring the AI layer returns machine-parseable fix suggestions rather than free-form text. The cost profile is also significantly more favourable for high-volume formatting tasks. Local models via Ollama were ruled out due to hardware uncertainty in the demo environment.</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Groq's model selection is more limited than OpenAI or Anthropic. The Llama 3.3 70B model, while highly capable for structured formatting and reasoning tasks, may produce less nuanced analysis than GPT-4o or Claude Opus on highly domain-specific inputs. This is an acceptable trade-off given the speed and cost advantages.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D06</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AI Architecture Pattern</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A central architectural question for Data Doctor is the role AI should play in the diagnostic pipeline. Two opposing philosophies were considered: a fully deterministic system with no AI involvement, or a fully AI-driven system where the LLM makes all decisions. The chosen architecture deliberately sits between these extremes.</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Hybrid architecture: a 100% deterministic Python core handles all graph traversal, anomaly detection, confidence scoring, and blast radius calculation. The AI layer receives the full diagnostic context — including the structured JSON output and the complete researched rule library — and uses this to refine base suggestions and surface additional remediation options that the static rule matrix may not anticipate.</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Fully deterministic system with no AI involvement; fully AI-driven system where the LLM traverses the graph and determines root causes autonomously; AI used solely for text formatting with no analytical contribution.</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A fully deterministic system is auditable and reproducible but rigid — it cannot reason about novel anomaly combinations or generate contextually rich remediation advice beyond what the rule matrix explicitly covers. A fully AI-driven system introduces unacceptable reliability risk: LLMs can hallucinate graph traversal results, produce inconsistent confidence scores, and fail in unpredictable ways under production conditions. The hybrid model captures the best of both: the deterministic core guarantees that every diagnosis is grounded in verifiable, reproducible logic, while the AI layer — operating on structured inputs it cannot corrupt — adds contextual intelligence and enriches the output. This pattern is emerging as the industry standard for production LLM systems where reliability is non-negotiable.</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The AI layer adds latency to each diagnostic request. If the Groq API is unavailable, the system must gracefully degrade to serving the deterministic output alone. This graceful degradation path is implemented as a standard fallback.</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D07</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Anomaly Detection Approach</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Detecting data anomalies is the primary function of Data Doctor's core engine. The approach to detection — whether rule-based, statistical, or machine-learning-driven — has significant implications for reliability, interpretability, and implementation complexity.</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Researched, rule-based detection aligned with the industry-standard Five Pillars of Data Observability framework: Pipeline Failure, Stale Data, Schema Change, Data Quality Failure, Volume Anomaly, and Distribution Drift.</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Training a custom ML anomaly detection model; using statistical z-score thresholds on profiling metrics; delegating detection entirely to the LLM; using only OpenMetadata's native alerting.</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Rule-based detection grounded in the Five Pillars framework has several decisive advantages. First, it is fully interpretable — every flagged anomaly can be traced to a specific JSON field and a specific rule, making the system explainable to both engineers and hackathon judges. Second, it requires no training data, which is essential given the hackathon timeline. Third, the rules were validated against production implementations at Monte Carlo, Datadog, Anomalo, and Acceldata during the research phase, establishing their industry credibility. ML-based detection requires historical baselines and training pipelines that are entirely out of scope for the hackathon timeframe. Statistical threshold approaches were considered for volume anomaly detection and retained as a supplementary mechanism for the preventive monitoring feature.</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Static rules cannot adapt to novel anomaly patterns that fall outside the defined categories. The AI augmentation layer partially mitigates this by reasoning over the full diagnostic context and identifying patterns the rule matrix does not explicitly cover.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D08</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Confidence Scoring Method</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A diagnosis without a confidence indicator is less actionable than one that quantifies its own certainty. Data Doctor needed a mechanism for expressing how confident the system is in its identified root cause, while keeping that mechanism transparent and reproducible.</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A deterministic mathematical scoring model producing a clamped float in [0.0, 1.0], based on anomaly type signal strength, traversal depth, and a noise penalty for competing anomalies. The AI layer reviews this score alongside full diagnostic context and may surface additional nuance.</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Delegating confidence scoring entirely to the LLM; using a simple binary high/low confidence flag; applying a statistical probability model based on historical anomaly co-occurrence data.</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A mathematical model produces the same score for the same inputs every time — a property that is essential for a system claiming to be deterministic and auditable. The scoring variables (type signal, depth, noise) are directly motivated by industry practice: platforms such as Monte Carlo and Anomalo weight root cause confidence by proximity and signal clarity in precisely this way. A binary flag would lose meaningful resolution. Delegating scoring to the LLM would introduce non-determinism into what is arguably the most critical output of the system. The AI layer's role is to add contextual commentary to the score — not to override or replace the mathematical result.</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The scoring formula's fixed weights (e.g., +0.3 for hard failures, +0.2 for depth-1 proximity) are heuristic. In a production system, these weights would be calibrated against historical incident data. For the hackathon, they represent well-reasoned starting points validated against the research literature.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D09</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Monitoring Trigger Model</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Data Doctor needs a mechanism for initiating diagnostic runs. The two primary options are event-driven real-time triggering (reacting to live OpenMetadata events as they occur) or on-demand triggering (running a diagnosis when explicitly requested by a user or a scheduler).</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On-demand diagnosis as the primary MVP trigger: a user submits a target asset FQN to the Data Doctor API, which immediately fetches the current state from OpenMetadata and runs the full diagnostic pipeline synchronously. Scheduled polling (cron-based) is defined as a production enhancement path.</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Subscribing to OpenMetadata's Kafka event stream for real-time reactive triggering; polling a change-log endpoint on a fixed interval; integrating with Airflow callbacks to trigger on DAG failure events.</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Real-time Kafka subscription introduces significant infrastructure complexity — it requires a running Kafka broker, consumer group management, offset tracking, and error handling for out-of-order events. This complexity is entirely unjustified for the hackathon scope and would actively harm demo reliability. The OpenMetadata backend already centralises and indexes the current state of all entities, meaning on-demand polling retrieves the same ground-truth information as a real-time event subscription — just with a slight delay that is irrelevant in a demo context. On-demand triggering also maps cleanly onto the demo interaction model: a judge can see the system respond to a direct request, which is far more compelling than a background daemon.</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On-demand triggering means anomalies are only detected when a diagnosis is explicitly requested. In production, this would be supplemented with scheduled polling (every 15 minutes) to ensure proactive detection without requiring manual intervention.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60"/>
        <w:gridCol w:w="8600"/>
      </w:tblGrid>
      <w:tr>
        <w:tc>
          <w:tcPr>
            <w:tcBorders>
              <w:top w:val="none" w:color="FFFFFF" w:sz="0"/>
              <w:left w:val="none" w:color="FFFFFF" w:sz="0"/>
              <w:bottom w:val="none" w:color="FFFFFF" w:sz="0"/>
              <w:right w:val="none" w:color="FFFFFF" w:sz="0"/>
            </w:tcBorders>
            <w:shd w:fill="E8A020" w:val="clear"/>
            <w:tcMar>
              <w:top w:type="dxa" w:w="120"/>
              <w:left w:type="dxa" w:w="120"/>
              <w:bottom w:type="dxa" w:w="120"/>
              <w:right w:type="dxa" w:w="100"/>
            </w:tcMar>
            <w:vAlign w:val="center"/>
          </w:tcPr>
          <w:p>
            <w:pPr>
              <w:jc w:val="center"/>
            </w:pPr>
            <w:r>
              <w:rPr>
                <w:rFonts w:ascii="Arial" w:cs="Arial" w:eastAsia="Arial" w:hAnsi="Arial"/>
                <w:b/>
                <w:bCs/>
                <w:color w:val="FFFFFF"/>
                <w:sz w:val="28"/>
                <w:szCs w:val="28"/>
              </w:rPr>
              <w:t xml:space="preserve">D10</w:t>
            </w:r>
          </w:p>
        </w:tc>
        <w:tc>
          <w:tcPr>
            <w:tcBorders>
              <w:top w:val="none" w:color="FFFFFF" w:sz="0"/>
              <w:left w:val="none" w:color="FFFFFF" w:sz="0"/>
              <w:bottom w:val="none" w:color="FFFFFF" w:sz="0"/>
              <w:right w:val="none" w:color="FFFFFF" w:sz="0"/>
            </w:tcBorders>
            <w:shd w:fill="1B2A4A" w:val="clear"/>
            <w:tcMar>
              <w:top w:type="dxa" w:w="120"/>
              <w:left w:type="dxa" w:w="200"/>
              <w:bottom w:type="dxa" w:w="120"/>
              <w:right w:type="dxa" w:w="120"/>
            </w:tcMar>
            <w:vAlign w:val="center"/>
          </w:tcPr>
          <w:p>
            <w:r>
              <w:rPr>
                <w:rFonts w:ascii="Arial" w:cs="Arial" w:eastAsia="Arial" w:hAnsi="Arial"/>
                <w:b/>
                <w:bCs/>
                <w:color w:val="FFFFFF"/>
                <w:sz w:val="27"/>
                <w:szCs w:val="27"/>
              </w:rPr>
              <w:t xml:space="preserve">Frontend Approach</w:t>
            </w:r>
          </w:p>
        </w:tc>
      </w:tr>
    </w:tbl>
    <w:p>
      <w:pPr>
        <w:spacing w:after="100" w:before="160"/>
      </w:pPr>
    </w:p>
    <w:p>
      <w:pPr>
        <w:pStyle w:val="Heading2"/>
        <w:spacing w:after="100" w:before="280"/>
      </w:pPr>
      <w:r>
        <w:rPr>
          <w:rFonts w:ascii="Arial" w:cs="Arial" w:eastAsia="Arial" w:hAnsi="Arial"/>
          <w:b/>
          <w:bCs/>
          <w:color w:val="2E5F9E"/>
          <w:sz w:val="25"/>
          <w:szCs w:val="25"/>
        </w:rPr>
        <w:t xml:space="preserve">Context</w:t>
      </w:r>
    </w:p>
    <w:p>
      <w:pPr>
        <w:spacing w:after="120" w:before="80"/>
      </w:pPr>
      <w:r>
        <w:rPr>
          <w:rFonts w:ascii="Arial" w:cs="Arial" w:eastAsia="Arial" w:hAnsi="Arial"/>
          <w:color w:val="2C2C2C"/>
          <w:sz w:val="20"/>
          <w:szCs w:val="20"/>
        </w:rPr>
        <w:t xml:space="preserve">Data Doctor requires a user interface for submitting diagnostic requests and reviewing results. The scope and complexity of this interface was a deliberate decision balancing demo quality against development time.</w:t>
      </w:r>
    </w:p>
    <w:p>
      <w:pPr>
        <w:spacing w:after="60" w:before="80"/>
      </w:pPr>
    </w:p>
    <w:tbl>
      <w:tblPr>
        <w:tblW w:type="dxa" w:w="9360"/>
        <w:tblBorders>
          <w:top w:val="single" w:color="CCCCCC" w:sz="3"/>
          <w:left w:val="single" w:color="CCCCCC" w:sz="3"/>
          <w:bottom w:val="single" w:color="CCCCCC" w:sz="3"/>
          <w:right w:val="single" w:color="CCCCCC" w:sz="3"/>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DECISION</w:t>
            </w:r>
          </w:p>
        </w:tc>
        <w:tc>
          <w:tcPr>
            <w:tcW w:type="dxa" w:w="7760"/>
            <w:tcBorders>
              <w:top w:val="none" w:color="FFFFFF" w:sz="0"/>
              <w:left w:val="none" w:color="FFFFFF" w:sz="0"/>
              <w:bottom w:val="none" w:color="FFFFFF" w:sz="0"/>
              <w:right w:val="none" w:color="FFFFFF" w:sz="0"/>
            </w:tcBorders>
            <w:shd w:fill="E8F5EE"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A lightweight, purpose-built frontend — either Streamlit for rapid prototyping or a minimal React form — optimised for displaying the structured JSON diagnostic payload and rendered Markdown results. No complex frontend framework or component library.</w:t>
            </w:r>
          </w:p>
        </w:tc>
      </w:tr>
      <w:tr>
        <w:tc>
          <w:tcPr>
            <w:tcW w:type="dxa" w:w="1600"/>
            <w:tcBorders>
              <w:top w:val="none" w:color="FFFFFF" w:sz="0"/>
              <w:left w:val="none" w:color="FFFFFF" w:sz="0"/>
              <w:bottom w:val="none" w:color="FFFFFF" w:sz="0"/>
              <w:right w:val="none" w:color="FFFFFF" w:sz="0"/>
            </w:tcBorders>
            <w:shd w:fill="5A6A8A" w:val="clear"/>
            <w:tcMar>
              <w:top w:type="dxa" w:w="100"/>
              <w:left w:type="dxa" w:w="140"/>
              <w:bottom w:type="dxa" w:w="100"/>
              <w:right w:type="dxa" w:w="100"/>
            </w:tcMar>
            <w:vAlign w:val="center"/>
          </w:tcPr>
          <w:p>
            <w:r>
              <w:rPr>
                <w:rFonts w:ascii="Arial" w:cs="Arial" w:eastAsia="Arial" w:hAnsi="Arial"/>
                <w:b/>
                <w:bCs/>
                <w:color w:val="FFFFFF"/>
                <w:sz w:val="19"/>
                <w:szCs w:val="19"/>
              </w:rPr>
              <w:t xml:space="preserve">ALTERNATIVES</w:t>
            </w:r>
          </w:p>
        </w:tc>
        <w:tc>
          <w:tcPr>
            <w:tcW w:type="dxa" w:w="7760"/>
            <w:tcBorders>
              <w:top w:val="none" w:color="FFFFFF" w:sz="0"/>
              <w:left w:val="none" w:color="FFFFFF" w:sz="0"/>
              <w:bottom w:val="none" w:color="FFFFFF" w:sz="0"/>
              <w:right w:val="none" w:color="FFFFFF" w:sz="0"/>
            </w:tcBorders>
            <w:shd w:fill="F5F6F8"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A full React single-page application with a custom design system; a Next.js application; a Retool dashboard; no frontend at all (API-only demonstration).</w:t>
            </w:r>
          </w:p>
        </w:tc>
      </w:tr>
      <w:tr>
        <w:tc>
          <w:tcPr>
            <w:tcW w:type="dxa" w:w="1600"/>
            <w:tcBorders>
              <w:top w:val="none" w:color="FFFFFF" w:sz="0"/>
              <w:left w:val="none" w:color="FFFFFF" w:sz="0"/>
              <w:bottom w:val="none" w:color="FFFFFF" w:sz="0"/>
              <w:right w:val="none" w:color="FFFFFF" w:sz="0"/>
            </w:tcBorders>
            <w:shd w:fill="1B2A4A" w:val="clear"/>
            <w:tcMar>
              <w:top w:type="dxa" w:w="100"/>
              <w:left w:type="dxa" w:w="140"/>
              <w:bottom w:type="dxa" w:w="100"/>
              <w:right w:type="dxa" w:w="100"/>
            </w:tcMar>
            <w:vAlign w:val="center"/>
          </w:tcPr>
          <w:p>
            <w:r>
              <w:rPr>
                <w:rFonts w:ascii="Arial" w:cs="Arial" w:eastAsia="Arial" w:hAnsi="Arial"/>
                <w:b/>
                <w:bCs/>
                <w:color w:val="FFFFFF"/>
                <w:sz w:val="19"/>
                <w:szCs w:val="19"/>
              </w:rPr>
              <w:t xml:space="preserve">RATIONALE</w:t>
            </w:r>
          </w:p>
        </w:tc>
        <w:tc>
          <w:tcPr>
            <w:tcW w:type="dxa" w:w="7760"/>
            <w:tcBorders>
              <w:top w:val="none" w:color="FFFFFF" w:sz="0"/>
              <w:left w:val="none" w:color="FFFFFF" w:sz="0"/>
              <w:bottom w:val="none" w:color="FFFFFF" w:sz="0"/>
              <w:right w:val="none" w:color="FFFFFF" w:sz="0"/>
            </w:tcBorders>
            <w:shd w:fill="F0F4FA"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The core value of Data Doctor lies in its backend diagnostic engine, not in frontend polish. Investing significant development time in a complex SPA would reduce the time available for the engine, testing, and documentation — a poor trade-off for a hackathon. Streamlit provides an interactive, visually clean interface in a fraction of the time of a custom React build. If React is used, it is scoped to a single-page form with output rendering — not a full application. An API-only demonstration was considered but ruled out because judges need to see the system in action without running curl commands.</w:t>
            </w:r>
          </w:p>
        </w:tc>
      </w:tr>
      <w:tr>
        <w:tc>
          <w:tcPr>
            <w:tcW w:type="dxa" w:w="1600"/>
            <w:tcBorders>
              <w:top w:val="none" w:color="FFFFFF" w:sz="0"/>
              <w:left w:val="none" w:color="FFFFFF" w:sz="0"/>
              <w:bottom w:val="none" w:color="FFFFFF" w:sz="0"/>
              <w:right w:val="none" w:color="FFFFFF" w:sz="0"/>
            </w:tcBorders>
            <w:shd w:fill="7A4800" w:val="clear"/>
            <w:tcMar>
              <w:top w:type="dxa" w:w="100"/>
              <w:left w:type="dxa" w:w="140"/>
              <w:bottom w:type="dxa" w:w="100"/>
              <w:right w:type="dxa" w:w="100"/>
            </w:tcMar>
            <w:vAlign w:val="center"/>
          </w:tcPr>
          <w:p>
            <w:r>
              <w:rPr>
                <w:rFonts w:ascii="Arial" w:cs="Arial" w:eastAsia="Arial" w:hAnsi="Arial"/>
                <w:b/>
                <w:bCs/>
                <w:color w:val="FFFFFF"/>
                <w:sz w:val="19"/>
                <w:szCs w:val="19"/>
              </w:rPr>
              <w:t xml:space="preserve">TRADE-OFFS</w:t>
            </w:r>
          </w:p>
        </w:tc>
        <w:tc>
          <w:tcPr>
            <w:tcW w:type="dxa" w:w="7760"/>
            <w:tcBorders>
              <w:top w:val="none" w:color="FFFFFF" w:sz="0"/>
              <w:left w:val="none" w:color="FFFFFF" w:sz="0"/>
              <w:bottom w:val="none" w:color="FFFFFF" w:sz="0"/>
              <w:right w:val="none" w:color="FFFFFF" w:sz="0"/>
            </w:tcBorders>
            <w:shd w:fill="FFF8EC" w:val="clear"/>
            <w:tcMar>
              <w:top w:type="dxa" w:w="100"/>
              <w:left w:type="dxa" w:w="160"/>
              <w:bottom w:type="dxa" w:w="100"/>
              <w:right w:type="dxa" w:w="140"/>
            </w:tcMar>
          </w:tcPr>
          <w:p>
            <w:pPr>
              <w:spacing w:after="0" w:before="0"/>
            </w:pPr>
            <w:r>
              <w:rPr>
                <w:rFonts w:ascii="Arial" w:cs="Arial" w:eastAsia="Arial" w:hAnsi="Arial"/>
                <w:color w:val="2C2C2C"/>
                <w:sz w:val="19"/>
                <w:szCs w:val="19"/>
              </w:rPr>
              <w:t xml:space="preserve">Streamlit has limited styling flexibility and may not match the visual quality of a custom React application. For a production release, the frontend would be rebuilt as a proper web application. For the hackathon, the priority is demonstrating the diagnostic capability clearly and compellingly.</w:t>
            </w:r>
          </w:p>
        </w:tc>
      </w:tr>
    </w:tbl>
    <w:p>
      <w:pPr>
        <w:spacing w:after="0" w:before="200"/>
      </w:pPr>
    </w:p>
    <w:p>
      <w:pPr>
        <w:pBdr>
          <w:bottom w:val="single" w:color="E8A020" w:sz="6" w:space="1"/>
        </w:pBdr>
        <w:spacing w:after="160" w:before="60"/>
      </w:pPr>
    </w:p>
    <w:p>
      <w:pPr>
        <w:spacing w:after="40" w:before="0"/>
        <w:jc w:val="center"/>
      </w:pPr>
      <w:r>
        <w:rPr>
          <w:rFonts w:ascii="Arial" w:cs="Arial" w:eastAsia="Arial" w:hAnsi="Arial"/>
          <w:color w:val="CCCCCC"/>
          <w:sz w:val="18"/>
          <w:szCs w:val="18"/>
        </w:rPr>
        <w:t xml:space="preserve">Data Doctor — Architecture Decision Record</w:t>
      </w:r>
    </w:p>
    <w:p>
      <w:pPr>
        <w:spacing w:after="0" w:before="0"/>
        <w:jc w:val="center"/>
      </w:pPr>
      <w:r>
        <w:rPr>
          <w:rFonts w:ascii="Arial" w:cs="Arial" w:eastAsia="Arial" w:hAnsi="Arial"/>
          <w:color w:val="CCCCCC"/>
          <w:sz w:val="18"/>
          <w:szCs w:val="18"/>
        </w:rPr>
        <w:t xml:space="preserve">10 decisions  |  April 2026  |  Hackathon Edition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5F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2026-04-25T22:00:34.754Z</dcterms:created>
  <dcterms:modified xsi:type="dcterms:W3CDTF">2026-04-25T22:00:34.756Z</dcterms:modified>
</cp:coreProperties>
</file>

<file path=docProps/custom.xml><?xml version="1.0" encoding="utf-8"?>
<Properties xmlns="http://schemas.openxmlformats.org/officeDocument/2006/custom-properties" xmlns:vt="http://schemas.openxmlformats.org/officeDocument/2006/docPropsVTypes"/>
</file>