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spacing w:after="40" w:before="0"/>
        <w:jc w:val="center"/>
      </w:pPr>
      <w:r>
        <w:rPr>
          <w:rFonts w:ascii="Arial" w:cs="Arial" w:eastAsia="Arial" w:hAnsi="Arial"/>
          <w:b/>
          <w:bCs/>
          <w:color w:val="1B2A4A"/>
          <w:sz w:val="56"/>
          <w:szCs w:val="56"/>
        </w:rPr>
        <w:t xml:space="preserve">DATA DOCTOR</w:t>
      </w:r>
    </w:p>
    <w:p>
      <w:pPr>
        <w:spacing w:after="80" w:before="0"/>
        <w:jc w:val="center"/>
      </w:pPr>
      <w:r>
        <w:rPr>
          <w:rFonts w:ascii="Arial" w:cs="Arial" w:eastAsia="Arial" w:hAnsi="Arial"/>
          <w:color w:val="2E5F9E"/>
          <w:sz w:val="26"/>
          <w:szCs w:val="26"/>
        </w:rPr>
        <w:t xml:space="preserve">Local Demo Setup — Quick Start Guide</w:t>
      </w:r>
    </w:p>
    <w:p>
      <w:pPr>
        <w:pBdr>
          <w:bottom w:val="single" w:color="E8A020" w:sz="8" w:space="1"/>
        </w:pBdr>
        <w:spacing w:after="260" w:before="0"/>
        <w:jc w:val="center"/>
      </w:pPr>
    </w:p>
    <w:p>
      <w:pPr>
        <w:spacing w:after="60" w:before="0"/>
        <w:jc w:val="center"/>
      </w:pPr>
      <w:r>
        <w:rPr>
          <w:rFonts w:ascii="Arial" w:cs="Arial" w:eastAsia="Arial" w:hAnsi="Arial"/>
          <w:i/>
          <w:iCs/>
          <w:color w:val="555555"/>
          <w:sz w:val="20"/>
          <w:szCs w:val="20"/>
        </w:rPr>
        <w:t xml:space="preserve">Run a fully functional Data Doctor demo environment on your local machine —</w:t>
      </w:r>
    </w:p>
    <w:p>
      <w:pPr>
        <w:spacing w:after="200" w:before="0"/>
        <w:jc w:val="center"/>
      </w:pPr>
      <w:r>
        <w:rPr>
          <w:rFonts w:ascii="Arial" w:cs="Arial" w:eastAsia="Arial" w:hAnsi="Arial"/>
          <w:i/>
          <w:iCs/>
          <w:color w:val="555555"/>
          <w:sz w:val="20"/>
          <w:szCs w:val="20"/>
        </w:rPr>
        <w:t xml:space="preserve">complete with pre-configured anomaly scenarios — in under 10 minutes.</w:t>
      </w:r>
    </w:p>
    <w:p>
      <w:pPr>
        <w:jc w:val="center"/>
      </w:pPr>
      <w:r>
        <w:rPr>
          <w:rFonts w:ascii="Arial" w:cs="Arial" w:eastAsia="Arial" w:hAnsi="Arial"/>
          <w:color w:val="CCCCCC"/>
          <w:sz w:val="18"/>
          <w:szCs w:val="18"/>
        </w:rPr>
        <w:t xml:space="preserve">April 2026  |  Hackathon Edition</w:t>
      </w:r>
    </w:p>
    <w:p>
      <w:r>
        <w:br w:type="page"/>
      </w:r>
    </w:p>
    <w:p>
      <w:pPr>
        <w:pStyle w:val="Heading1"/>
        <w:spacing w:after="120" w:before="0"/>
      </w:pPr>
      <w:r>
        <w:rPr>
          <w:rFonts w:ascii="Arial" w:cs="Arial" w:eastAsia="Arial" w:hAnsi="Arial"/>
          <w:b/>
          <w:bCs/>
          <w:color w:val="1B2A4A"/>
          <w:sz w:val="34"/>
          <w:szCs w:val="34"/>
        </w:rPr>
        <w:t xml:space="preserve">Prerequisites</w:t>
      </w:r>
    </w:p>
    <w:p>
      <w:pPr>
        <w:pBdr>
          <w:bottom w:val="single" w:color="2E5F9E" w:sz="5" w:space="1"/>
        </w:pBdr>
        <w:spacing w:after="180" w:before="40"/>
      </w:pPr>
    </w:p>
    <w:p>
      <w:pPr>
        <w:spacing w:after="100" w:before="60"/>
      </w:pPr>
      <w:r>
        <w:rPr>
          <w:rFonts w:ascii="Arial" w:cs="Arial" w:eastAsia="Arial" w:hAnsi="Arial"/>
          <w:color w:val="2C2C2C"/>
          <w:sz w:val="20"/>
          <w:szCs w:val="20"/>
        </w:rPr>
        <w:t xml:space="preserve">Ensure the following are installed and available on your machine before proceeding:</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Minimum Version</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Docker Desktop</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4.x</w:t>
            </w:r>
          </w:p>
        </w:tc>
        <w:tc>
          <w:tcPr>
            <w:tcW w:type="dxa" w:w="4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Must be running before any docker compose commands are executed.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Node.js / npm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18.x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Required to run the frontend development server.</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Python (uv)</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3.11+</w:t>
            </w:r>
          </w:p>
        </w:tc>
        <w:tc>
          <w:tcPr>
            <w:tcW w:type="dxa" w:w="4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uv is used as the Python package manager for the backend.</w:t>
            </w:r>
          </w:p>
        </w:tc>
      </w:tr>
    </w:tbl>
    <w:p>
      <w:pPr>
        <w:spacing w:after="80" w:before="100"/>
      </w:pPr>
    </w:p>
    <w:tbl>
      <w:tblPr>
        <w:tblW w:type="dxa" w:w="9360"/>
        <w:tblBorders>
          <w:top w:val="single" w:color="E8A020" w:sz="2"/>
          <w:left w:val="single" w:color="E8A020" w:sz="10"/>
          <w:bottom w:val="single" w:color="E8A020" w:sz="2"/>
          <w:right w:val="single" w:color="E8A020"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C" w:val="clear"/>
            <w:tcMar>
              <w:top w:type="dxa" w:w="100"/>
              <w:left w:type="dxa" w:w="160"/>
              <w:bottom w:type="dxa" w:w="100"/>
              <w:right w:type="dxa" w:w="160"/>
            </w:tcMar>
          </w:tcPr>
          <w:p>
            <w:pPr>
              <w:spacing w:after="0" w:before="0"/>
            </w:pPr>
            <w:r>
              <w:rPr>
                <w:rFonts w:ascii="Arial" w:cs="Arial" w:eastAsia="Arial" w:hAnsi="Arial"/>
                <w:b/>
                <w:bCs/>
                <w:color w:val="7A4800"/>
                <w:sz w:val="19"/>
                <w:szCs w:val="19"/>
              </w:rPr>
              <w:t xml:space="preserve">Note:  </w:t>
            </w:r>
            <w:r>
              <w:rPr>
                <w:rFonts w:ascii="Arial" w:cs="Arial" w:eastAsia="Arial" w:hAnsi="Arial"/>
                <w:color w:val="7A4800"/>
                <w:sz w:val="19"/>
                <w:szCs w:val="19"/>
              </w:rPr>
              <w:t xml:space="preserve">OpenMetadata requires significant memory to initialise. Allocate at least 8 GB RAM to Docker Desktop before starting. Check via Docker Desktop → Settings → Resources.</w:t>
            </w:r>
          </w:p>
        </w:tc>
      </w:tr>
    </w:tbl>
    <w:p>
      <w:r>
        <w:br w:type="page"/>
      </w:r>
    </w:p>
    <w:p>
      <w:pPr>
        <w:pStyle w:val="Heading1"/>
        <w:spacing w:after="120" w:before="0"/>
      </w:pPr>
      <w:r>
        <w:rPr>
          <w:rFonts w:ascii="Arial" w:cs="Arial" w:eastAsia="Arial" w:hAnsi="Arial"/>
          <w:b/>
          <w:bCs/>
          <w:color w:val="1B2A4A"/>
          <w:sz w:val="34"/>
          <w:szCs w:val="34"/>
        </w:rPr>
        <w:t xml:space="preserve">Setup Procedure</w:t>
      </w:r>
    </w:p>
    <w:p>
      <w:pPr>
        <w:pBdr>
          <w:bottom w:val="single" w:color="2E5F9E" w:sz="5" w:space="1"/>
        </w:pBdr>
        <w:spacing w:after="180" w:before="40"/>
      </w:pPr>
    </w:p>
    <w:p>
      <w:pPr>
        <w:spacing w:after="12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A020" w:val="clear"/>
            <w:tcMar>
              <w:top w:type="dxa" w:w="100"/>
              <w:left w:type="dxa" w:w="80"/>
              <w:bottom w:type="dxa" w:w="100"/>
              <w:right w:type="dxa" w:w="80"/>
            </w:tcMar>
            <w:vAlign w:val="center"/>
          </w:tcPr>
          <w:p>
            <w:pPr>
              <w:spacing w:after="0" w:before="0"/>
              <w:jc w:val="center"/>
            </w:pPr>
            <w:r>
              <w:rPr>
                <w:rFonts w:ascii="Arial" w:cs="Arial" w:eastAsia="Arial" w:hAnsi="Arial"/>
                <w:b/>
                <w:bCs/>
                <w:color w:val="FFFFFF"/>
                <w:sz w:val="30"/>
                <w:szCs w:val="30"/>
              </w:rPr>
              <w:t xml:space="preserve">1</w:t>
            </w:r>
          </w:p>
        </w:tc>
        <w:tc>
          <w:tcPr>
            <w:tcW w:type="dxa" w:w="8720"/>
            <w:tcBorders>
              <w:top w:val="none" w:color="FFFFFF" w:sz="0"/>
              <w:left w:val="none" w:color="FFFFFF" w:sz="0"/>
              <w:bottom w:val="none" w:color="FFFFFF" w:sz="0"/>
              <w:right w:val="none" w:color="FFFFFF" w:sz="0"/>
            </w:tcBorders>
            <w:shd w:fill="1B2A4A" w:val="clear"/>
            <w:tcMar>
              <w:top w:type="dxa" w:w="80"/>
              <w:left w:type="dxa" w:w="180"/>
              <w:bottom w:type="dxa" w:w="80"/>
              <w:right w:type="dxa" w:w="140"/>
            </w:tcMar>
            <w:vAlign w:val="center"/>
          </w:tcPr>
          <w:p>
            <w:pPr>
              <w:spacing w:after="20" w:before="0"/>
            </w:pPr>
            <w:r>
              <w:rPr>
                <w:rFonts w:ascii="Arial" w:cs="Arial" w:eastAsia="Arial" w:hAnsi="Arial"/>
                <w:b/>
                <w:bCs/>
                <w:color w:val="FFFFFF"/>
                <w:sz w:val="23"/>
                <w:szCs w:val="23"/>
              </w:rPr>
              <w:t xml:space="preserve">Start Docker Desktop</w:t>
            </w:r>
          </w:p>
          <w:p>
            <w:pPr>
              <w:spacing w:after="0" w:before="0"/>
            </w:pPr>
            <w:r>
              <w:rPr>
                <w:rFonts w:ascii="Arial" w:cs="Arial" w:eastAsia="Arial" w:hAnsi="Arial"/>
                <w:i/>
                <w:iCs/>
                <w:color w:val="A8C8E8"/>
                <w:sz w:val="17"/>
                <w:szCs w:val="17"/>
              </w:rPr>
              <w:t xml:space="preserve">Wait until Docker Desktop reports a 'running' status before proceeding.</w:t>
            </w:r>
          </w:p>
        </w:tc>
      </w:tr>
    </w:tbl>
    <w:p>
      <w:pPr>
        <w:spacing w:after="60" w:before="100"/>
      </w:pPr>
    </w:p>
    <w:p>
      <w:pPr>
        <w:spacing w:after="100" w:before="60"/>
      </w:pPr>
      <w:r>
        <w:rPr>
          <w:rFonts w:ascii="Arial" w:cs="Arial" w:eastAsia="Arial" w:hAnsi="Arial"/>
          <w:color w:val="2C2C2C"/>
          <w:sz w:val="20"/>
          <w:szCs w:val="20"/>
        </w:rPr>
        <w:t xml:space="preserve">Open Docker Desktop and allow it to fully initialise before issuing any compose commands. Attempting to start containers before the Docker daemon is ready will result in connection errors.</w:t>
      </w:r>
    </w:p>
    <w:p>
      <w:pPr>
        <w:spacing w:after="12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A020" w:val="clear"/>
            <w:tcMar>
              <w:top w:type="dxa" w:w="100"/>
              <w:left w:type="dxa" w:w="80"/>
              <w:bottom w:type="dxa" w:w="100"/>
              <w:right w:type="dxa" w:w="80"/>
            </w:tcMar>
            <w:vAlign w:val="center"/>
          </w:tcPr>
          <w:p>
            <w:pPr>
              <w:spacing w:after="0" w:before="0"/>
              <w:jc w:val="center"/>
            </w:pPr>
            <w:r>
              <w:rPr>
                <w:rFonts w:ascii="Arial" w:cs="Arial" w:eastAsia="Arial" w:hAnsi="Arial"/>
                <w:b/>
                <w:bCs/>
                <w:color w:val="FFFFFF"/>
                <w:sz w:val="30"/>
                <w:szCs w:val="30"/>
              </w:rPr>
              <w:t xml:space="preserve">2</w:t>
            </w:r>
          </w:p>
        </w:tc>
        <w:tc>
          <w:tcPr>
            <w:tcW w:type="dxa" w:w="8720"/>
            <w:tcBorders>
              <w:top w:val="none" w:color="FFFFFF" w:sz="0"/>
              <w:left w:val="none" w:color="FFFFFF" w:sz="0"/>
              <w:bottom w:val="none" w:color="FFFFFF" w:sz="0"/>
              <w:right w:val="none" w:color="FFFFFF" w:sz="0"/>
            </w:tcBorders>
            <w:shd w:fill="1B2A4A" w:val="clear"/>
            <w:tcMar>
              <w:top w:type="dxa" w:w="80"/>
              <w:left w:type="dxa" w:w="180"/>
              <w:bottom w:type="dxa" w:w="80"/>
              <w:right w:type="dxa" w:w="140"/>
            </w:tcMar>
            <w:vAlign w:val="center"/>
          </w:tcPr>
          <w:p>
            <w:pPr>
              <w:spacing w:after="20" w:before="0"/>
            </w:pPr>
            <w:r>
              <w:rPr>
                <w:rFonts w:ascii="Arial" w:cs="Arial" w:eastAsia="Arial" w:hAnsi="Arial"/>
                <w:b/>
                <w:bCs/>
                <w:color w:val="FFFFFF"/>
                <w:sz w:val="23"/>
                <w:szCs w:val="23"/>
              </w:rPr>
              <w:t xml:space="preserve">Start the OpenMetadata Base Stack</w:t>
            </w:r>
          </w:p>
          <w:p>
            <w:pPr>
              <w:spacing w:after="0" w:before="0"/>
            </w:pPr>
            <w:r>
              <w:rPr>
                <w:rFonts w:ascii="Arial" w:cs="Arial" w:eastAsia="Arial" w:hAnsi="Arial"/>
                <w:i/>
                <w:iCs/>
                <w:color w:val="A8C8E8"/>
                <w:sz w:val="17"/>
                <w:szCs w:val="17"/>
              </w:rPr>
              <w:t xml:space="preserve">Estimated wait: 3–5 minutes</w:t>
            </w:r>
          </w:p>
        </w:tc>
      </w:tr>
    </w:tbl>
    <w:p>
      <w:pPr>
        <w:spacing w:after="60" w:before="100"/>
      </w:pPr>
    </w:p>
    <w:p>
      <w:pPr>
        <w:spacing w:after="100" w:before="60"/>
      </w:pPr>
      <w:r>
        <w:rPr>
          <w:rFonts w:ascii="Arial" w:cs="Arial" w:eastAsia="Arial" w:hAnsi="Arial"/>
          <w:color w:val="2C2C2C"/>
          <w:sz w:val="20"/>
          <w:szCs w:val="20"/>
        </w:rPr>
        <w:t xml:space="preserve">Navigate to the OpenMetadata Docker directory and bring up the base infrastructure stack. This starts OpenMetadata, its backing database, and the Elasticsearch index.</w:t>
      </w:r>
    </w:p>
    <w:p>
      <w:pPr>
        <w:spacing w:after="60" w:before="80"/>
      </w:pPr>
    </w:p>
    <w:tbl>
      <w:tblPr>
        <w:tblW w:type="dxa" w:w="9360"/>
        <w:tblBorders>
          <w:top w:val="single" w:color="30363D" w:sz="2"/>
          <w:left w:val="single" w:color="E8A020" w:sz="8"/>
          <w:bottom w:val="single" w:color="30363D" w:sz="2"/>
          <w:right w:val="single" w:color="30363D"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cd openmetadata-docker</w:t>
            </w:r>
          </w:p>
          <w:p>
            <w:pPr>
              <w:spacing w:after="0" w:before="0"/>
            </w:pPr>
            <w:r>
              <w:rPr>
                <w:rFonts w:ascii="Courier New" w:cs="Courier New" w:eastAsia="Courier New" w:hAnsi="Courier New"/>
                <w:color w:val="C9D1D9"/>
                <w:sz w:val="18"/>
                <w:szCs w:val="18"/>
              </w:rPr>
              <w:t xml:space="preserve">docker compose -f docker-compose.yml up -d</w:t>
            </w:r>
          </w:p>
        </w:tc>
      </w:tr>
    </w:tbl>
    <w:p>
      <w:pPr>
        <w:spacing w:after="60" w:before="80"/>
      </w:pPr>
    </w:p>
    <w:p>
      <w:pPr>
        <w:spacing w:after="100" w:before="60"/>
      </w:pPr>
      <w:r>
        <w:rPr>
          <w:rFonts w:ascii="Arial" w:cs="Arial" w:eastAsia="Arial" w:hAnsi="Arial"/>
          <w:color w:val="2C2C2C"/>
          <w:sz w:val="20"/>
          <w:szCs w:val="20"/>
        </w:rPr>
        <w:t xml:space="preserve">Once the command returns, wait 3–5 minutes for all services to reach a healthy state. You can verify readiness at any time with:</w:t>
      </w:r>
    </w:p>
    <w:p>
      <w:pPr>
        <w:spacing w:after="60" w:before="60"/>
      </w:pPr>
    </w:p>
    <w:tbl>
      <w:tblPr>
        <w:tblW w:type="dxa" w:w="9360"/>
        <w:tblBorders>
          <w:top w:val="single" w:color="30363D" w:sz="2"/>
          <w:left w:val="single" w:color="E8A020" w:sz="8"/>
          <w:bottom w:val="single" w:color="30363D" w:sz="2"/>
          <w:right w:val="single" w:color="30363D"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docker ps</w:t>
            </w:r>
          </w:p>
          <w:p>
            <w:pPr>
              <w:spacing w:after="0" w:before="0"/>
            </w:pPr>
            <w:r>
              <w:rPr>
                <w:rFonts w:ascii="Courier New" w:cs="Courier New" w:eastAsia="Courier New" w:hAnsi="Courier New"/>
                <w:color w:val="C9D1D9"/>
                <w:sz w:val="18"/>
                <w:szCs w:val="18"/>
              </w:rPr>
              <w:t xml:space="preserve"/>
            </w:r>
          </w:p>
          <w:p>
            <w:pPr>
              <w:spacing w:after="60" w:before="0"/>
            </w:pPr>
            <w:r>
              <w:rPr>
                <w:rFonts w:ascii="Courier New" w:cs="Courier New" w:eastAsia="Courier New" w:hAnsi="Courier New"/>
                <w:i/>
                <w:iCs/>
                <w:color w:val="6A9955"/>
                <w:sz w:val="18"/>
                <w:szCs w:val="18"/>
              </w:rPr>
              <w:t xml:space="preserve"># All containers should show (healthy) in the STATUS column</w:t>
            </w:r>
          </w:p>
        </w:tc>
      </w:tr>
    </w:tbl>
    <w:p>
      <w:pPr>
        <w:spacing w:after="60" w:before="80"/>
      </w:pPr>
    </w:p>
    <w:tbl>
      <w:tblPr>
        <w:tblW w:type="dxa" w:w="9360"/>
        <w:tblBorders>
          <w:top w:val="single" w:color="2E5F9E" w:sz="2"/>
          <w:left w:val="single" w:color="2E5F9E" w:sz="10"/>
          <w:bottom w:val="single" w:color="2E5F9E" w:sz="2"/>
          <w:right w:val="single" w:color="2E5F9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0" w:before="0"/>
            </w:pPr>
            <w:r>
              <w:rPr>
                <w:rFonts w:ascii="Arial" w:cs="Arial" w:eastAsia="Arial" w:hAnsi="Arial"/>
                <w:b/>
                <w:bCs/>
                <w:color w:val="1B3A6B"/>
                <w:sz w:val="19"/>
                <w:szCs w:val="19"/>
              </w:rPr>
              <w:t xml:space="preserve">Tip:  </w:t>
            </w:r>
            <w:r>
              <w:rPr>
                <w:rFonts w:ascii="Arial" w:cs="Arial" w:eastAsia="Arial" w:hAnsi="Arial"/>
                <w:color w:val="1B3A6B"/>
                <w:sz w:val="19"/>
                <w:szCs w:val="19"/>
              </w:rPr>
              <w:t xml:space="preserve">Once healthy, the OpenMetadata UI is accessible at http://localhost:8585. Default credentials: admin / admin. You do not need to log in at this stage, but it is a useful way to confirm the stack is ready.</w:t>
            </w:r>
          </w:p>
        </w:tc>
      </w:tr>
    </w:tbl>
    <w:p>
      <w:pPr>
        <w:spacing w:after="12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A020" w:val="clear"/>
            <w:tcMar>
              <w:top w:type="dxa" w:w="100"/>
              <w:left w:type="dxa" w:w="80"/>
              <w:bottom w:type="dxa" w:w="100"/>
              <w:right w:type="dxa" w:w="80"/>
            </w:tcMar>
            <w:vAlign w:val="center"/>
          </w:tcPr>
          <w:p>
            <w:pPr>
              <w:spacing w:after="0" w:before="0"/>
              <w:jc w:val="center"/>
            </w:pPr>
            <w:r>
              <w:rPr>
                <w:rFonts w:ascii="Arial" w:cs="Arial" w:eastAsia="Arial" w:hAnsi="Arial"/>
                <w:b/>
                <w:bCs/>
                <w:color w:val="FFFFFF"/>
                <w:sz w:val="30"/>
                <w:szCs w:val="30"/>
              </w:rPr>
              <w:t xml:space="preserve">3</w:t>
            </w:r>
          </w:p>
        </w:tc>
        <w:tc>
          <w:tcPr>
            <w:tcW w:type="dxa" w:w="8720"/>
            <w:tcBorders>
              <w:top w:val="none" w:color="FFFFFF" w:sz="0"/>
              <w:left w:val="none" w:color="FFFFFF" w:sz="0"/>
              <w:bottom w:val="none" w:color="FFFFFF" w:sz="0"/>
              <w:right w:val="none" w:color="FFFFFF" w:sz="0"/>
            </w:tcBorders>
            <w:shd w:fill="1B2A4A" w:val="clear"/>
            <w:tcMar>
              <w:top w:type="dxa" w:w="80"/>
              <w:left w:type="dxa" w:w="180"/>
              <w:bottom w:type="dxa" w:w="80"/>
              <w:right w:type="dxa" w:w="140"/>
            </w:tcMar>
            <w:vAlign w:val="center"/>
          </w:tcPr>
          <w:p>
            <w:pPr>
              <w:spacing w:after="20" w:before="0"/>
            </w:pPr>
            <w:r>
              <w:rPr>
                <w:rFonts w:ascii="Arial" w:cs="Arial" w:eastAsia="Arial" w:hAnsi="Arial"/>
                <w:b/>
                <w:bCs/>
                <w:color w:val="FFFFFF"/>
                <w:sz w:val="23"/>
                <w:szCs w:val="23"/>
              </w:rPr>
              <w:t xml:space="preserve">Start the Healthcare Scenario Databases</w:t>
            </w:r>
          </w:p>
          <w:p>
            <w:pPr>
              <w:spacing w:after="0" w:before="0"/>
            </w:pPr>
            <w:r>
              <w:rPr>
                <w:rFonts w:ascii="Arial" w:cs="Arial" w:eastAsia="Arial" w:hAnsi="Arial"/>
                <w:i/>
                <w:iCs/>
                <w:color w:val="A8C8E8"/>
                <w:sz w:val="17"/>
                <w:szCs w:val="17"/>
              </w:rPr>
              <w:t xml:space="preserve">Estimated wait: 1–2 minutes</w:t>
            </w:r>
          </w:p>
        </w:tc>
      </w:tr>
    </w:tbl>
    <w:p>
      <w:pPr>
        <w:spacing w:after="60" w:before="100"/>
      </w:pPr>
    </w:p>
    <w:p>
      <w:pPr>
        <w:spacing w:after="100" w:before="60"/>
      </w:pPr>
      <w:r>
        <w:rPr>
          <w:rFonts w:ascii="Arial" w:cs="Arial" w:eastAsia="Arial" w:hAnsi="Arial"/>
          <w:color w:val="2C2C2C"/>
          <w:sz w:val="20"/>
          <w:szCs w:val="20"/>
        </w:rPr>
        <w:t xml:space="preserve">With the base stack running and healthy, bring up the Healthcare scenario databases using the overlay compose file. This spins up the pre-seeded PostgreSQL instances that simulate a realistic clinical data environment.</w:t>
      </w:r>
    </w:p>
    <w:p>
      <w:pPr>
        <w:spacing w:after="60" w:before="80"/>
      </w:pPr>
    </w:p>
    <w:tbl>
      <w:tblPr>
        <w:tblW w:type="dxa" w:w="9360"/>
        <w:tblBorders>
          <w:top w:val="single" w:color="30363D" w:sz="2"/>
          <w:left w:val="single" w:color="E8A020" w:sz="8"/>
          <w:bottom w:val="single" w:color="30363D" w:sz="2"/>
          <w:right w:val="single" w:color="30363D"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docker compose -f docker-compose.yml -f docker-compose.healthcare-scenarios.yml up -d</w:t>
            </w:r>
          </w:p>
        </w:tc>
      </w:tr>
    </w:tbl>
    <w:p>
      <w:pPr>
        <w:spacing w:after="60" w:before="80"/>
      </w:pPr>
    </w:p>
    <w:p>
      <w:pPr>
        <w:spacing w:after="100" w:before="60"/>
      </w:pPr>
      <w:r>
        <w:rPr>
          <w:rFonts w:ascii="Arial" w:cs="Arial" w:eastAsia="Arial" w:hAnsi="Arial"/>
          <w:color w:val="2C2C2C"/>
          <w:sz w:val="20"/>
          <w:szCs w:val="20"/>
        </w:rPr>
        <w:t xml:space="preserve">Allow 1–2 minutes for the scenario containers to initialise and seed their data before proceeding.</w:t>
      </w:r>
    </w:p>
    <w:p>
      <w:pPr>
        <w:spacing w:after="12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A020" w:val="clear"/>
            <w:tcMar>
              <w:top w:type="dxa" w:w="100"/>
              <w:left w:type="dxa" w:w="80"/>
              <w:bottom w:type="dxa" w:w="100"/>
              <w:right w:type="dxa" w:w="80"/>
            </w:tcMar>
            <w:vAlign w:val="center"/>
          </w:tcPr>
          <w:p>
            <w:pPr>
              <w:spacing w:after="0" w:before="0"/>
              <w:jc w:val="center"/>
            </w:pPr>
            <w:r>
              <w:rPr>
                <w:rFonts w:ascii="Arial" w:cs="Arial" w:eastAsia="Arial" w:hAnsi="Arial"/>
                <w:b/>
                <w:bCs/>
                <w:color w:val="FFFFFF"/>
                <w:sz w:val="30"/>
                <w:szCs w:val="30"/>
              </w:rPr>
              <w:t xml:space="preserve">4</w:t>
            </w:r>
          </w:p>
        </w:tc>
        <w:tc>
          <w:tcPr>
            <w:tcW w:type="dxa" w:w="8720"/>
            <w:tcBorders>
              <w:top w:val="none" w:color="FFFFFF" w:sz="0"/>
              <w:left w:val="none" w:color="FFFFFF" w:sz="0"/>
              <w:bottom w:val="none" w:color="FFFFFF" w:sz="0"/>
              <w:right w:val="none" w:color="FFFFFF" w:sz="0"/>
            </w:tcBorders>
            <w:shd w:fill="1B2A4A" w:val="clear"/>
            <w:tcMar>
              <w:top w:type="dxa" w:w="80"/>
              <w:left w:type="dxa" w:w="180"/>
              <w:bottom w:type="dxa" w:w="80"/>
              <w:right w:type="dxa" w:w="140"/>
            </w:tcMar>
            <w:vAlign w:val="center"/>
          </w:tcPr>
          <w:p>
            <w:pPr>
              <w:spacing w:after="20" w:before="0"/>
            </w:pPr>
            <w:r>
              <w:rPr>
                <w:rFonts w:ascii="Arial" w:cs="Arial" w:eastAsia="Arial" w:hAnsi="Arial"/>
                <w:b/>
                <w:bCs/>
                <w:color w:val="FFFFFF"/>
                <w:sz w:val="23"/>
                <w:szCs w:val="23"/>
              </w:rPr>
              <w:t xml:space="preserve">Configure OpenMetadata (Backend Scripts)</w:t>
            </w:r>
          </w:p>
          <w:p>
            <w:pPr>
              <w:spacing w:after="0" w:before="0"/>
            </w:pPr>
            <w:r>
              <w:rPr>
                <w:rFonts w:ascii="Arial" w:cs="Arial" w:eastAsia="Arial" w:hAnsi="Arial"/>
                <w:i/>
                <w:iCs/>
                <w:color w:val="A8C8E8"/>
                <w:sz w:val="17"/>
                <w:szCs w:val="17"/>
              </w:rPr>
              <w:t xml:space="preserve">Run from the /backend directory</w:t>
            </w:r>
          </w:p>
        </w:tc>
      </w:tr>
    </w:tbl>
    <w:p>
      <w:pPr>
        <w:spacing w:after="60" w:before="100"/>
      </w:pPr>
    </w:p>
    <w:p>
      <w:pPr>
        <w:spacing w:after="100" w:before="60"/>
      </w:pPr>
      <w:r>
        <w:rPr>
          <w:rFonts w:ascii="Arial" w:cs="Arial" w:eastAsia="Arial" w:hAnsi="Arial"/>
          <w:color w:val="2C2C2C"/>
          <w:sz w:val="20"/>
          <w:szCs w:val="20"/>
        </w:rPr>
        <w:t xml:space="preserve">With all Docker containers healthy, run the two backend setup scripts. These register the scenario data sources with OpenMetadata, configure lineage relationships, and optionally create the governance tag taxonomy used by the automated tagging feature.</w:t>
      </w:r>
    </w:p>
    <w:p>
      <w:pPr>
        <w:spacing w:after="60" w:before="80"/>
      </w:pPr>
    </w:p>
    <w:p>
      <w:pPr>
        <w:spacing w:after="40" w:before="60"/>
      </w:pPr>
      <w:r>
        <w:rPr>
          <w:rFonts w:ascii="Arial" w:cs="Arial" w:eastAsia="Arial" w:hAnsi="Arial"/>
          <w:b/>
          <w:bCs/>
          <w:color w:val="1B2A4A"/>
          <w:sz w:val="20"/>
          <w:szCs w:val="20"/>
        </w:rPr>
        <w:t xml:space="preserve">4a  —  Governance Tags (Optional)</w:t>
      </w:r>
    </w:p>
    <w:p>
      <w:pPr>
        <w:spacing w:after="100" w:before="60"/>
      </w:pPr>
      <w:r>
        <w:rPr>
          <w:rFonts w:ascii="Arial" w:cs="Arial" w:eastAsia="Arial" w:hAnsi="Arial"/>
          <w:color w:val="2C2C2C"/>
          <w:sz w:val="20"/>
          <w:szCs w:val="20"/>
        </w:rPr>
        <w:t xml:space="preserve">Sets up the DataQuality.Critical and Status.Unreliable tag classifications in OpenMetadata. Required only if the Automated OM Tagging feature is enabled in the frontend.</w:t>
      </w:r>
    </w:p>
    <w:p>
      <w:pPr>
        <w:spacing w:after="60" w:before="60"/>
      </w:pPr>
    </w:p>
    <w:tbl>
      <w:tblPr>
        <w:tblW w:type="dxa" w:w="9360"/>
        <w:tblBorders>
          <w:top w:val="single" w:color="30363D" w:sz="2"/>
          <w:left w:val="single" w:color="E8A020" w:sz="8"/>
          <w:bottom w:val="single" w:color="30363D" w:sz="2"/>
          <w:right w:val="single" w:color="30363D"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cd ../backend</w:t>
            </w:r>
          </w:p>
          <w:p>
            <w:pPr>
              <w:spacing w:after="0" w:before="0"/>
            </w:pPr>
            <w:r>
              <w:rPr>
                <w:rFonts w:ascii="Courier New" w:cs="Courier New" w:eastAsia="Courier New" w:hAnsi="Courier New"/>
                <w:color w:val="C9D1D9"/>
                <w:sz w:val="18"/>
                <w:szCs w:val="18"/>
              </w:rPr>
              <w:t xml:space="preserve">uv run python scripts/setup_governance_tags.py</w:t>
            </w:r>
          </w:p>
        </w:tc>
      </w:tr>
    </w:tbl>
    <w:p>
      <w:pPr>
        <w:spacing w:after="60" w:before="100"/>
      </w:pPr>
    </w:p>
    <w:p>
      <w:pPr>
        <w:spacing w:after="40" w:before="60"/>
      </w:pPr>
      <w:r>
        <w:rPr>
          <w:rFonts w:ascii="Arial" w:cs="Arial" w:eastAsia="Arial" w:hAnsi="Arial"/>
          <w:b/>
          <w:bCs/>
          <w:color w:val="1B2A4A"/>
          <w:sz w:val="20"/>
          <w:szCs w:val="20"/>
        </w:rPr>
        <w:t xml:space="preserve">4b  —  Healthcare Scenarios (Required)</w:t>
      </w:r>
    </w:p>
    <w:p>
      <w:pPr>
        <w:spacing w:after="100" w:before="60"/>
      </w:pPr>
      <w:r>
        <w:rPr>
          <w:rFonts w:ascii="Arial" w:cs="Arial" w:eastAsia="Arial" w:hAnsi="Arial"/>
          <w:color w:val="2C2C2C"/>
          <w:sz w:val="20"/>
          <w:szCs w:val="20"/>
        </w:rPr>
        <w:t xml:space="preserve">Ingests the Healthcare scenario metadata into OpenMetadata — including table definitions, lineage graphs, pipeline statuses, profiling history, and pre-configured data quality test results. This is the dataset that Data Doctor's diagnostic engine will analyse.</w:t>
      </w:r>
    </w:p>
    <w:p>
      <w:pPr>
        <w:spacing w:after="60" w:before="60"/>
      </w:pPr>
    </w:p>
    <w:tbl>
      <w:tblPr>
        <w:tblW w:type="dxa" w:w="9360"/>
        <w:tblBorders>
          <w:top w:val="single" w:color="30363D" w:sz="2"/>
          <w:left w:val="single" w:color="E8A020" w:sz="8"/>
          <w:bottom w:val="single" w:color="30363D" w:sz="2"/>
          <w:right w:val="single" w:color="30363D"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uv run python scripts/setup_healthcare_scenarios.py</w:t>
            </w:r>
          </w:p>
        </w:tc>
      </w:tr>
    </w:tbl>
    <w:p>
      <w:pPr>
        <w:spacing w:after="60" w:before="80"/>
      </w:pPr>
    </w:p>
    <w:tbl>
      <w:tblPr>
        <w:tblW w:type="dxa" w:w="9360"/>
        <w:tblBorders>
          <w:top w:val="single" w:color="E8A020" w:sz="2"/>
          <w:left w:val="single" w:color="E8A020" w:sz="10"/>
          <w:bottom w:val="single" w:color="E8A020" w:sz="2"/>
          <w:right w:val="single" w:color="E8A020"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C" w:val="clear"/>
            <w:tcMar>
              <w:top w:type="dxa" w:w="100"/>
              <w:left w:type="dxa" w:w="160"/>
              <w:bottom w:type="dxa" w:w="100"/>
              <w:right w:type="dxa" w:w="160"/>
            </w:tcMar>
          </w:tcPr>
          <w:p>
            <w:pPr>
              <w:spacing w:after="0" w:before="0"/>
            </w:pPr>
            <w:r>
              <w:rPr>
                <w:rFonts w:ascii="Arial" w:cs="Arial" w:eastAsia="Arial" w:hAnsi="Arial"/>
                <w:b/>
                <w:bCs/>
                <w:color w:val="7A4800"/>
                <w:sz w:val="19"/>
                <w:szCs w:val="19"/>
              </w:rPr>
              <w:t xml:space="preserve">Note:  </w:t>
            </w:r>
            <w:r>
              <w:rPr>
                <w:rFonts w:ascii="Arial" w:cs="Arial" w:eastAsia="Arial" w:hAnsi="Arial"/>
                <w:color w:val="7A4800"/>
                <w:sz w:val="19"/>
                <w:szCs w:val="19"/>
              </w:rPr>
              <w:t xml:space="preserve">These scripts connect to the OpenMetadata API running on localhost:8585. Ensure the base stack is fully healthy before running them, or the setup will fail with a connection error.</w:t>
            </w:r>
          </w:p>
        </w:tc>
      </w:tr>
    </w:tbl>
    <w:p>
      <w:pPr>
        <w:spacing w:after="12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A020" w:val="clear"/>
            <w:tcMar>
              <w:top w:type="dxa" w:w="100"/>
              <w:left w:type="dxa" w:w="80"/>
              <w:bottom w:type="dxa" w:w="100"/>
              <w:right w:type="dxa" w:w="80"/>
            </w:tcMar>
            <w:vAlign w:val="center"/>
          </w:tcPr>
          <w:p>
            <w:pPr>
              <w:spacing w:after="0" w:before="0"/>
              <w:jc w:val="center"/>
            </w:pPr>
            <w:r>
              <w:rPr>
                <w:rFonts w:ascii="Arial" w:cs="Arial" w:eastAsia="Arial" w:hAnsi="Arial"/>
                <w:b/>
                <w:bCs/>
                <w:color w:val="FFFFFF"/>
                <w:sz w:val="30"/>
                <w:szCs w:val="30"/>
              </w:rPr>
              <w:t xml:space="preserve">5</w:t>
            </w:r>
          </w:p>
        </w:tc>
        <w:tc>
          <w:tcPr>
            <w:tcW w:type="dxa" w:w="8720"/>
            <w:tcBorders>
              <w:top w:val="none" w:color="FFFFFF" w:sz="0"/>
              <w:left w:val="none" w:color="FFFFFF" w:sz="0"/>
              <w:bottom w:val="none" w:color="FFFFFF" w:sz="0"/>
              <w:right w:val="none" w:color="FFFFFF" w:sz="0"/>
            </w:tcBorders>
            <w:shd w:fill="1B2A4A" w:val="clear"/>
            <w:tcMar>
              <w:top w:type="dxa" w:w="80"/>
              <w:left w:type="dxa" w:w="180"/>
              <w:bottom w:type="dxa" w:w="80"/>
              <w:right w:type="dxa" w:w="140"/>
            </w:tcMar>
            <w:vAlign w:val="center"/>
          </w:tcPr>
          <w:p>
            <w:pPr>
              <w:spacing w:after="20" w:before="0"/>
            </w:pPr>
            <w:r>
              <w:rPr>
                <w:rFonts w:ascii="Arial" w:cs="Arial" w:eastAsia="Arial" w:hAnsi="Arial"/>
                <w:b/>
                <w:bCs/>
                <w:color w:val="FFFFFF"/>
                <w:sz w:val="23"/>
                <w:szCs w:val="23"/>
              </w:rPr>
              <w:t xml:space="preserve">Start the Backend API Server</w:t>
            </w:r>
          </w:p>
          <w:p>
            <w:pPr>
              <w:spacing w:after="0" w:before="0"/>
            </w:pPr>
            <w:r>
              <w:rPr>
                <w:rFonts w:ascii="Arial" w:cs="Arial" w:eastAsia="Arial" w:hAnsi="Arial"/>
                <w:i/>
                <w:iCs/>
                <w:color w:val="A8C8E8"/>
                <w:sz w:val="17"/>
                <w:szCs w:val="17"/>
              </w:rPr>
              <w:t xml:space="preserve">Runs on http://localhost:8000</w:t>
            </w:r>
          </w:p>
        </w:tc>
      </w:tr>
    </w:tbl>
    <w:p>
      <w:pPr>
        <w:spacing w:after="60" w:before="100"/>
      </w:pPr>
    </w:p>
    <w:p>
      <w:pPr>
        <w:spacing w:after="100" w:before="60"/>
      </w:pPr>
      <w:r>
        <w:rPr>
          <w:rFonts w:ascii="Arial" w:cs="Arial" w:eastAsia="Arial" w:hAnsi="Arial"/>
          <w:color w:val="2C2C2C"/>
          <w:sz w:val="20"/>
          <w:szCs w:val="20"/>
        </w:rPr>
        <w:t xml:space="preserve">Start the Data Doctor FastAPI backend server. The --reload flag enables automatic code reloading during development.</w:t>
      </w:r>
    </w:p>
    <w:p>
      <w:pPr>
        <w:spacing w:after="60" w:before="80"/>
      </w:pPr>
    </w:p>
    <w:tbl>
      <w:tblPr>
        <w:tblW w:type="dxa" w:w="9360"/>
        <w:tblBorders>
          <w:top w:val="single" w:color="30363D" w:sz="2"/>
          <w:left w:val="single" w:color="E8A020" w:sz="8"/>
          <w:bottom w:val="single" w:color="30363D" w:sz="2"/>
          <w:right w:val="single" w:color="30363D"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cd ../backend</w:t>
            </w:r>
          </w:p>
          <w:p>
            <w:pPr>
              <w:spacing w:after="0" w:before="0"/>
            </w:pPr>
            <w:r>
              <w:rPr>
                <w:rFonts w:ascii="Courier New" w:cs="Courier New" w:eastAsia="Courier New" w:hAnsi="Courier New"/>
                <w:color w:val="C9D1D9"/>
                <w:sz w:val="18"/>
                <w:szCs w:val="18"/>
              </w:rPr>
              <w:t xml:space="preserve">uv run python -m uvicorn src.main:app --reload</w:t>
            </w:r>
          </w:p>
        </w:tc>
      </w:tr>
    </w:tbl>
    <w:p>
      <w:pPr>
        <w:spacing w:after="60" w:before="80"/>
      </w:pPr>
    </w:p>
    <w:tbl>
      <w:tblPr>
        <w:tblW w:type="dxa" w:w="9360"/>
        <w:tblBorders>
          <w:top w:val="single" w:color="2E5F9E" w:sz="2"/>
          <w:left w:val="single" w:color="2E5F9E" w:sz="10"/>
          <w:bottom w:val="single" w:color="2E5F9E" w:sz="2"/>
          <w:right w:val="single" w:color="2E5F9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0" w:before="0"/>
            </w:pPr>
            <w:r>
              <w:rPr>
                <w:rFonts w:ascii="Arial" w:cs="Arial" w:eastAsia="Arial" w:hAnsi="Arial"/>
                <w:b/>
                <w:bCs/>
                <w:color w:val="1B3A6B"/>
                <w:sz w:val="19"/>
                <w:szCs w:val="19"/>
              </w:rPr>
              <w:t xml:space="preserve">Tip:  </w:t>
            </w:r>
            <w:r>
              <w:rPr>
                <w:rFonts w:ascii="Arial" w:cs="Arial" w:eastAsia="Arial" w:hAnsi="Arial"/>
                <w:color w:val="1B3A6B"/>
                <w:sz w:val="19"/>
                <w:szCs w:val="19"/>
              </w:rPr>
              <w:t xml:space="preserve">The backend API will be available at http://localhost:8000. The interactive API documentation (Swagger UI) is accessible at http://localhost:8000/docs.</w:t>
            </w:r>
          </w:p>
        </w:tc>
      </w:tr>
    </w:tbl>
    <w:p>
      <w:pPr>
        <w:spacing w:after="12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A020" w:val="clear"/>
            <w:tcMar>
              <w:top w:type="dxa" w:w="100"/>
              <w:left w:type="dxa" w:w="80"/>
              <w:bottom w:type="dxa" w:w="100"/>
              <w:right w:type="dxa" w:w="80"/>
            </w:tcMar>
            <w:vAlign w:val="center"/>
          </w:tcPr>
          <w:p>
            <w:pPr>
              <w:spacing w:after="0" w:before="0"/>
              <w:jc w:val="center"/>
            </w:pPr>
            <w:r>
              <w:rPr>
                <w:rFonts w:ascii="Arial" w:cs="Arial" w:eastAsia="Arial" w:hAnsi="Arial"/>
                <w:b/>
                <w:bCs/>
                <w:color w:val="FFFFFF"/>
                <w:sz w:val="30"/>
                <w:szCs w:val="30"/>
              </w:rPr>
              <w:t xml:space="preserve">6</w:t>
            </w:r>
          </w:p>
        </w:tc>
        <w:tc>
          <w:tcPr>
            <w:tcW w:type="dxa" w:w="8720"/>
            <w:tcBorders>
              <w:top w:val="none" w:color="FFFFFF" w:sz="0"/>
              <w:left w:val="none" w:color="FFFFFF" w:sz="0"/>
              <w:bottom w:val="none" w:color="FFFFFF" w:sz="0"/>
              <w:right w:val="none" w:color="FFFFFF" w:sz="0"/>
            </w:tcBorders>
            <w:shd w:fill="1B2A4A" w:val="clear"/>
            <w:tcMar>
              <w:top w:type="dxa" w:w="80"/>
              <w:left w:type="dxa" w:w="180"/>
              <w:bottom w:type="dxa" w:w="80"/>
              <w:right w:type="dxa" w:w="140"/>
            </w:tcMar>
            <w:vAlign w:val="center"/>
          </w:tcPr>
          <w:p>
            <w:pPr>
              <w:spacing w:after="20" w:before="0"/>
            </w:pPr>
            <w:r>
              <w:rPr>
                <w:rFonts w:ascii="Arial" w:cs="Arial" w:eastAsia="Arial" w:hAnsi="Arial"/>
                <w:b/>
                <w:bCs/>
                <w:color w:val="FFFFFF"/>
                <w:sz w:val="23"/>
                <w:szCs w:val="23"/>
              </w:rPr>
              <w:t xml:space="preserve">Start the Frontend Development Server</w:t>
            </w:r>
          </w:p>
          <w:p>
            <w:pPr>
              <w:spacing w:after="0" w:before="0"/>
            </w:pPr>
            <w:r>
              <w:rPr>
                <w:rFonts w:ascii="Arial" w:cs="Arial" w:eastAsia="Arial" w:hAnsi="Arial"/>
                <w:i/>
                <w:iCs/>
                <w:color w:val="A8C8E8"/>
                <w:sz w:val="17"/>
                <w:szCs w:val="17"/>
              </w:rPr>
              <w:t xml:space="preserve">Open a new terminal — runs on http://localhost:5173</w:t>
            </w:r>
          </w:p>
        </w:tc>
      </w:tr>
    </w:tbl>
    <w:p>
      <w:pPr>
        <w:spacing w:after="60" w:before="100"/>
      </w:pPr>
    </w:p>
    <w:p>
      <w:pPr>
        <w:spacing w:after="100" w:before="60"/>
      </w:pPr>
      <w:r>
        <w:rPr>
          <w:rFonts w:ascii="Arial" w:cs="Arial" w:eastAsia="Arial" w:hAnsi="Arial"/>
          <w:color w:val="2C2C2C"/>
          <w:sz w:val="20"/>
          <w:szCs w:val="20"/>
        </w:rPr>
        <w:t xml:space="preserve">In a separate terminal window, navigate to the frontend directory and start the Vite development server.</w:t>
      </w:r>
    </w:p>
    <w:p>
      <w:pPr>
        <w:spacing w:after="60" w:before="80"/>
      </w:pPr>
    </w:p>
    <w:tbl>
      <w:tblPr>
        <w:tblW w:type="dxa" w:w="9360"/>
        <w:tblBorders>
          <w:top w:val="single" w:color="30363D" w:sz="2"/>
          <w:left w:val="single" w:color="E8A020" w:sz="8"/>
          <w:bottom w:val="single" w:color="30363D" w:sz="2"/>
          <w:right w:val="single" w:color="30363D"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cd ../frontend</w:t>
            </w:r>
          </w:p>
          <w:p>
            <w:pPr>
              <w:spacing w:after="0" w:before="0"/>
            </w:pPr>
            <w:r>
              <w:rPr>
                <w:rFonts w:ascii="Courier New" w:cs="Courier New" w:eastAsia="Courier New" w:hAnsi="Courier New"/>
                <w:color w:val="C9D1D9"/>
                <w:sz w:val="18"/>
                <w:szCs w:val="18"/>
              </w:rPr>
              <w:t xml:space="preserve">npm run dev</w:t>
            </w:r>
          </w:p>
        </w:tc>
      </w:tr>
    </w:tbl>
    <w:p>
      <w:pPr>
        <w:spacing w:after="12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A020" w:val="clear"/>
            <w:tcMar>
              <w:top w:type="dxa" w:w="100"/>
              <w:left w:type="dxa" w:w="80"/>
              <w:bottom w:type="dxa" w:w="100"/>
              <w:right w:type="dxa" w:w="80"/>
            </w:tcMar>
            <w:vAlign w:val="center"/>
          </w:tcPr>
          <w:p>
            <w:pPr>
              <w:spacing w:after="0" w:before="0"/>
              <w:jc w:val="center"/>
            </w:pPr>
            <w:r>
              <w:rPr>
                <w:rFonts w:ascii="Arial" w:cs="Arial" w:eastAsia="Arial" w:hAnsi="Arial"/>
                <w:b/>
                <w:bCs/>
                <w:color w:val="FFFFFF"/>
                <w:sz w:val="30"/>
                <w:szCs w:val="30"/>
              </w:rPr>
              <w:t xml:space="preserve">7</w:t>
            </w:r>
          </w:p>
        </w:tc>
        <w:tc>
          <w:tcPr>
            <w:tcW w:type="dxa" w:w="8720"/>
            <w:tcBorders>
              <w:top w:val="none" w:color="FFFFFF" w:sz="0"/>
              <w:left w:val="none" w:color="FFFFFF" w:sz="0"/>
              <w:bottom w:val="none" w:color="FFFFFF" w:sz="0"/>
              <w:right w:val="none" w:color="FFFFFF" w:sz="0"/>
            </w:tcBorders>
            <w:shd w:fill="1B2A4A" w:val="clear"/>
            <w:tcMar>
              <w:top w:type="dxa" w:w="100"/>
              <w:left w:type="dxa" w:w="180"/>
              <w:bottom w:type="dxa" w:w="100"/>
              <w:right w:type="dxa" w:w="140"/>
            </w:tcMar>
            <w:vAlign w:val="center"/>
          </w:tcPr>
          <w:p>
            <w:pPr>
              <w:spacing w:after="0" w:before="0"/>
            </w:pPr>
            <w:r>
              <w:rPr>
                <w:rFonts w:ascii="Arial" w:cs="Arial" w:eastAsia="Arial" w:hAnsi="Arial"/>
                <w:b/>
                <w:bCs/>
                <w:color w:val="FFFFFF"/>
                <w:sz w:val="23"/>
                <w:szCs w:val="23"/>
              </w:rPr>
              <w:t xml:space="preserve">Open Data Doctor &amp; Run the Demo</w:t>
            </w:r>
          </w:p>
        </w:tc>
      </w:tr>
    </w:tbl>
    <w:p>
      <w:pPr>
        <w:spacing w:after="60" w:before="100"/>
      </w:pPr>
    </w:p>
    <w:p>
      <w:pPr>
        <w:spacing w:after="100" w:before="60"/>
      </w:pPr>
      <w:r>
        <w:rPr>
          <w:rFonts w:ascii="Arial" w:cs="Arial" w:eastAsia="Arial" w:hAnsi="Arial"/>
          <w:color w:val="2C2C2C"/>
          <w:sz w:val="20"/>
          <w:szCs w:val="20"/>
        </w:rPr>
        <w:t xml:space="preserve">With all services running, open your browser and navigate to the Data Doctor interface:</w:t>
      </w:r>
    </w:p>
    <w:p>
      <w:pPr>
        <w:spacing w:after="60" w:before="80"/>
      </w:pPr>
    </w:p>
    <w:tbl>
      <w:tblPr>
        <w:tblW w:type="dxa" w:w="9360"/>
        <w:tblBorders>
          <w:top w:val="single" w:color="30363D" w:sz="2"/>
          <w:left w:val="single" w:color="E8A020" w:sz="8"/>
          <w:bottom w:val="single" w:color="30363D" w:sz="2"/>
          <w:right w:val="single" w:color="30363D"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http://localhost:5173</w:t>
            </w:r>
          </w:p>
        </w:tc>
      </w:tr>
    </w:tbl>
    <w:p>
      <w:pPr>
        <w:spacing w:after="60" w:before="80"/>
      </w:pPr>
    </w:p>
    <w:p>
      <w:pPr>
        <w:spacing w:after="100" w:before="60"/>
      </w:pPr>
      <w:r>
        <w:rPr>
          <w:rFonts w:ascii="Arial" w:cs="Arial" w:eastAsia="Arial" w:hAnsi="Arial"/>
          <w:color w:val="2C2C2C"/>
          <w:sz w:val="20"/>
          <w:szCs w:val="20"/>
        </w:rPr>
        <w:t xml:space="preserve">From the Diagnose page, click </w:t>
      </w:r>
      <w:r>
        <w:rPr>
          <w:rFonts w:ascii="Arial" w:cs="Arial" w:eastAsia="Arial" w:hAnsi="Arial"/>
          <w:b/>
          <w:bCs/>
          <w:color w:val="2C2C2C"/>
          <w:sz w:val="20"/>
          <w:szCs w:val="20"/>
        </w:rPr>
        <w:t xml:space="preserve">Interactive Demo Mode</w:t>
      </w:r>
      <w:r>
        <w:rPr>
          <w:rFonts w:ascii="Arial" w:cs="Arial" w:eastAsia="Arial" w:hAnsi="Arial"/>
          <w:color w:val="2C2C2C"/>
          <w:sz w:val="20"/>
          <w:szCs w:val="20"/>
        </w:rPr>
        <w:t xml:space="preserve"> to load the pre-configured Healthcare anomaly scenarios. Select any scenario to execute a full root cause analysis against the locally running OpenMetadata instance.</w:t>
      </w:r>
    </w:p>
    <w:p>
      <w:r>
        <w:br w:type="page"/>
      </w:r>
    </w:p>
    <w:p>
      <w:pPr>
        <w:pStyle w:val="Heading1"/>
        <w:spacing w:after="120" w:before="0"/>
      </w:pPr>
      <w:r>
        <w:rPr>
          <w:rFonts w:ascii="Arial" w:cs="Arial" w:eastAsia="Arial" w:hAnsi="Arial"/>
          <w:b/>
          <w:bCs/>
          <w:color w:val="1B2A4A"/>
          <w:sz w:val="34"/>
          <w:szCs w:val="34"/>
        </w:rPr>
        <w:t xml:space="preserve">Running Services Summary</w:t>
      </w:r>
    </w:p>
    <w:p>
      <w:pPr>
        <w:pBdr>
          <w:bottom w:val="single" w:color="2E5F9E" w:sz="5" w:space="1"/>
        </w:pBdr>
        <w:spacing w:after="180" w:before="40"/>
      </w:pPr>
    </w:p>
    <w:p>
      <w:pPr>
        <w:spacing w:after="100" w:before="60"/>
      </w:pPr>
      <w:r>
        <w:rPr>
          <w:rFonts w:ascii="Arial" w:cs="Arial" w:eastAsia="Arial" w:hAnsi="Arial"/>
          <w:color w:val="2C2C2C"/>
          <w:sz w:val="20"/>
          <w:szCs w:val="20"/>
        </w:rPr>
        <w:t xml:space="preserve">Once all steps are complete, the following services will be active on your machine:</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Service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URL</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OpenMetadata UI</w:t>
            </w:r>
          </w:p>
        </w:tc>
        <w:tc>
          <w:tcPr>
            <w:tcW w:type="dxa" w:w="3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http://localhost:8585</w:t>
            </w:r>
          </w:p>
        </w:tc>
        <w:tc>
          <w:tcPr>
            <w:tcW w:type="dxa" w:w="3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Metadata catalogue — credentials: admin /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Data Doctor 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http://localhost:8000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FastAPI diagnostic engine</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Backend API Docs</w:t>
            </w:r>
          </w:p>
        </w:tc>
        <w:tc>
          <w:tcPr>
            <w:tcW w:type="dxa" w:w="3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http://localhost:8000/docs</w:t>
            </w:r>
          </w:p>
        </w:tc>
        <w:tc>
          <w:tcPr>
            <w:tcW w:type="dxa" w:w="3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Swagger UI for direct API exploration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Data Doctor 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http://localhost:5173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18"/>
                <w:szCs w:val="18"/>
              </w:rPr>
              <w:t xml:space="preserve">Primary demo interface</w:t>
            </w:r>
          </w:p>
        </w:tc>
      </w:tr>
    </w:tbl>
    <w:p>
      <w:r>
        <w:br w:type="page"/>
      </w:r>
    </w:p>
    <w:p>
      <w:pPr>
        <w:pStyle w:val="Heading1"/>
        <w:spacing w:after="120" w:before="0"/>
      </w:pPr>
      <w:r>
        <w:rPr>
          <w:rFonts w:ascii="Arial" w:cs="Arial" w:eastAsia="Arial" w:hAnsi="Arial"/>
          <w:b/>
          <w:bCs/>
          <w:color w:val="1B2A4A"/>
          <w:sz w:val="34"/>
          <w:szCs w:val="34"/>
        </w:rPr>
        <w:t xml:space="preserve">Running Other Demo Scenarios</w:t>
      </w:r>
    </w:p>
    <w:p>
      <w:pPr>
        <w:pBdr>
          <w:bottom w:val="single" w:color="2E5F9E" w:sz="5" w:space="1"/>
        </w:pBdr>
        <w:spacing w:after="180" w:before="40"/>
      </w:pPr>
    </w:p>
    <w:p>
      <w:pPr>
        <w:spacing w:after="100" w:before="60"/>
      </w:pPr>
      <w:r>
        <w:rPr>
          <w:rFonts w:ascii="Arial" w:cs="Arial" w:eastAsia="Arial" w:hAnsi="Arial"/>
          <w:color w:val="2C2C2C"/>
          <w:sz w:val="20"/>
          <w:szCs w:val="20"/>
        </w:rPr>
        <w:t xml:space="preserve">The Healthcare scenario is the primary demo dataset, but Data Doctor also ships with pre-configured E-commerce and Finance scenarios. The setup procedure is identical — simply substitute the corresponding Docker Compose overlay file and setup script.</w:t>
      </w:r>
    </w:p>
    <w:p>
      <w:pPr>
        <w:spacing w:after="80" w:before="80"/>
      </w:pPr>
    </w:p>
    <w:p>
      <w:pPr>
        <w:pStyle w:val="Heading2"/>
        <w:spacing w:after="80" w:before="200"/>
      </w:pPr>
      <w:r>
        <w:rPr>
          <w:rFonts w:ascii="Arial" w:cs="Arial" w:eastAsia="Arial" w:hAnsi="Arial"/>
          <w:b/>
          <w:bCs/>
          <w:color w:val="2E5F9E"/>
          <w:sz w:val="24"/>
          <w:szCs w:val="24"/>
        </w:rPr>
        <w:t xml:space="preserve">E-Commerce Scenario</w:t>
      </w:r>
    </w:p>
    <w:tbl>
      <w:tblPr>
        <w:tblW w:type="dxa" w:w="9360"/>
        <w:tblBorders>
          <w:top w:val="single" w:color="30363D" w:sz="2"/>
          <w:left w:val="single" w:color="E8A020" w:sz="8"/>
          <w:bottom w:val="single" w:color="30363D" w:sz="2"/>
          <w:right w:val="single" w:color="30363D"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after="60" w:before="0"/>
            </w:pPr>
            <w:r>
              <w:rPr>
                <w:rFonts w:ascii="Courier New" w:cs="Courier New" w:eastAsia="Courier New" w:hAnsi="Courier New"/>
                <w:i/>
                <w:iCs/>
                <w:color w:val="6A9955"/>
                <w:sz w:val="18"/>
                <w:szCs w:val="18"/>
              </w:rPr>
              <w:t xml:space="preserve"># Step 3 — Start E-commerce scenario databases</w:t>
            </w:r>
          </w:p>
          <w:p>
            <w:pPr>
              <w:spacing w:after="0" w:before="0"/>
            </w:pPr>
            <w:r>
              <w:rPr>
                <w:rFonts w:ascii="Courier New" w:cs="Courier New" w:eastAsia="Courier New" w:hAnsi="Courier New"/>
                <w:color w:val="C9D1D9"/>
                <w:sz w:val="18"/>
                <w:szCs w:val="18"/>
              </w:rPr>
              <w:t xml:space="preserve">docker compose -f docker-compose.yml -f docker-compose.ecommerce-scenarios.yml up -d</w:t>
            </w:r>
          </w:p>
          <w:p>
            <w:pPr>
              <w:spacing w:after="0" w:before="0"/>
            </w:pPr>
            <w:r>
              <w:rPr>
                <w:rFonts w:ascii="Courier New" w:cs="Courier New" w:eastAsia="Courier New" w:hAnsi="Courier New"/>
                <w:color w:val="C9D1D9"/>
                <w:sz w:val="18"/>
                <w:szCs w:val="18"/>
              </w:rPr>
              <w:t xml:space="preserve"/>
            </w:r>
          </w:p>
          <w:p>
            <w:pPr>
              <w:spacing w:after="60" w:before="0"/>
            </w:pPr>
            <w:r>
              <w:rPr>
                <w:rFonts w:ascii="Courier New" w:cs="Courier New" w:eastAsia="Courier New" w:hAnsi="Courier New"/>
                <w:i/>
                <w:iCs/>
                <w:color w:val="6A9955"/>
                <w:sz w:val="18"/>
                <w:szCs w:val="18"/>
              </w:rPr>
              <w:t xml:space="preserve"># Step 4 — Ingest E-commerce metadata into OpenMetadata</w:t>
            </w:r>
          </w:p>
          <w:p>
            <w:pPr>
              <w:spacing w:after="0" w:before="0"/>
            </w:pPr>
            <w:r>
              <w:rPr>
                <w:rFonts w:ascii="Courier New" w:cs="Courier New" w:eastAsia="Courier New" w:hAnsi="Courier New"/>
                <w:color w:val="C9D1D9"/>
                <w:sz w:val="18"/>
                <w:szCs w:val="18"/>
              </w:rPr>
              <w:t xml:space="preserve">cd ../backend</w:t>
            </w:r>
          </w:p>
          <w:p>
            <w:pPr>
              <w:spacing w:after="0" w:before="0"/>
            </w:pPr>
            <w:r>
              <w:rPr>
                <w:rFonts w:ascii="Courier New" w:cs="Courier New" w:eastAsia="Courier New" w:hAnsi="Courier New"/>
                <w:color w:val="C9D1D9"/>
                <w:sz w:val="18"/>
                <w:szCs w:val="18"/>
              </w:rPr>
              <w:t xml:space="preserve">uv run python scripts/setup_ecommerce_scenarios.py</w:t>
            </w:r>
          </w:p>
        </w:tc>
      </w:tr>
    </w:tbl>
    <w:p>
      <w:pPr>
        <w:spacing w:after="80" w:before="120"/>
      </w:pPr>
    </w:p>
    <w:p>
      <w:pPr>
        <w:pStyle w:val="Heading2"/>
        <w:spacing w:after="80" w:before="200"/>
      </w:pPr>
      <w:r>
        <w:rPr>
          <w:rFonts w:ascii="Arial" w:cs="Arial" w:eastAsia="Arial" w:hAnsi="Arial"/>
          <w:b/>
          <w:bCs/>
          <w:color w:val="2E5F9E"/>
          <w:sz w:val="24"/>
          <w:szCs w:val="24"/>
        </w:rPr>
        <w:t xml:space="preserve">Finance Scenario</w:t>
      </w:r>
    </w:p>
    <w:tbl>
      <w:tblPr>
        <w:tblW w:type="dxa" w:w="9360"/>
        <w:tblBorders>
          <w:top w:val="single" w:color="30363D" w:sz="2"/>
          <w:left w:val="single" w:color="E8A020" w:sz="8"/>
          <w:bottom w:val="single" w:color="30363D" w:sz="2"/>
          <w:right w:val="single" w:color="30363D"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pPr>
              <w:spacing w:after="60" w:before="0"/>
            </w:pPr>
            <w:r>
              <w:rPr>
                <w:rFonts w:ascii="Courier New" w:cs="Courier New" w:eastAsia="Courier New" w:hAnsi="Courier New"/>
                <w:i/>
                <w:iCs/>
                <w:color w:val="6A9955"/>
                <w:sz w:val="18"/>
                <w:szCs w:val="18"/>
              </w:rPr>
              <w:t xml:space="preserve"># Step 3 — Start Finance scenario databases</w:t>
            </w:r>
          </w:p>
          <w:p>
            <w:pPr>
              <w:spacing w:after="0" w:before="0"/>
            </w:pPr>
            <w:r>
              <w:rPr>
                <w:rFonts w:ascii="Courier New" w:cs="Courier New" w:eastAsia="Courier New" w:hAnsi="Courier New"/>
                <w:color w:val="C9D1D9"/>
                <w:sz w:val="18"/>
                <w:szCs w:val="18"/>
              </w:rPr>
              <w:t xml:space="preserve">docker compose -f docker-compose.yml -f docker-compose.finance-scenarios.yml up -d</w:t>
            </w:r>
          </w:p>
          <w:p>
            <w:pPr>
              <w:spacing w:after="0" w:before="0"/>
            </w:pPr>
            <w:r>
              <w:rPr>
                <w:rFonts w:ascii="Courier New" w:cs="Courier New" w:eastAsia="Courier New" w:hAnsi="Courier New"/>
                <w:color w:val="C9D1D9"/>
                <w:sz w:val="18"/>
                <w:szCs w:val="18"/>
              </w:rPr>
              <w:t xml:space="preserve"/>
            </w:r>
          </w:p>
          <w:p>
            <w:pPr>
              <w:spacing w:after="60" w:before="0"/>
            </w:pPr>
            <w:r>
              <w:rPr>
                <w:rFonts w:ascii="Courier New" w:cs="Courier New" w:eastAsia="Courier New" w:hAnsi="Courier New"/>
                <w:i/>
                <w:iCs/>
                <w:color w:val="6A9955"/>
                <w:sz w:val="18"/>
                <w:szCs w:val="18"/>
              </w:rPr>
              <w:t xml:space="preserve"># Step 4 — Ingest Finance metadata into OpenMetadata</w:t>
            </w:r>
          </w:p>
          <w:p>
            <w:pPr>
              <w:spacing w:after="0" w:before="0"/>
            </w:pPr>
            <w:r>
              <w:rPr>
                <w:rFonts w:ascii="Courier New" w:cs="Courier New" w:eastAsia="Courier New" w:hAnsi="Courier New"/>
                <w:color w:val="C9D1D9"/>
                <w:sz w:val="18"/>
                <w:szCs w:val="18"/>
              </w:rPr>
              <w:t xml:space="preserve">cd ../backend</w:t>
            </w:r>
          </w:p>
          <w:p>
            <w:pPr>
              <w:spacing w:after="0" w:before="0"/>
            </w:pPr>
            <w:r>
              <w:rPr>
                <w:rFonts w:ascii="Courier New" w:cs="Courier New" w:eastAsia="Courier New" w:hAnsi="Courier New"/>
                <w:color w:val="C9D1D9"/>
                <w:sz w:val="18"/>
                <w:szCs w:val="18"/>
              </w:rPr>
              <w:t xml:space="preserve">uv run python scripts/setup_finance_scenarios.py</w:t>
            </w:r>
          </w:p>
        </w:tc>
      </w:tr>
    </w:tbl>
    <w:p>
      <w:pPr>
        <w:spacing w:after="80" w:before="100"/>
      </w:pPr>
    </w:p>
    <w:tbl>
      <w:tblPr>
        <w:tblW w:type="dxa" w:w="9360"/>
        <w:tblBorders>
          <w:top w:val="single" w:color="E8A020" w:sz="2"/>
          <w:left w:val="single" w:color="E8A020" w:sz="10"/>
          <w:bottom w:val="single" w:color="E8A020" w:sz="2"/>
          <w:right w:val="single" w:color="E8A020"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C" w:val="clear"/>
            <w:tcMar>
              <w:top w:type="dxa" w:w="100"/>
              <w:left w:type="dxa" w:w="160"/>
              <w:bottom w:type="dxa" w:w="100"/>
              <w:right w:type="dxa" w:w="160"/>
            </w:tcMar>
          </w:tcPr>
          <w:p>
            <w:pPr>
              <w:spacing w:after="0" w:before="0"/>
            </w:pPr>
            <w:r>
              <w:rPr>
                <w:rFonts w:ascii="Arial" w:cs="Arial" w:eastAsia="Arial" w:hAnsi="Arial"/>
                <w:b/>
                <w:bCs/>
                <w:color w:val="7A4800"/>
                <w:sz w:val="19"/>
                <w:szCs w:val="19"/>
              </w:rPr>
              <w:t xml:space="preserve">Note:  </w:t>
            </w:r>
            <w:r>
              <w:rPr>
                <w:rFonts w:ascii="Arial" w:cs="Arial" w:eastAsia="Arial" w:hAnsi="Arial"/>
                <w:color w:val="7A4800"/>
                <w:sz w:val="19"/>
                <w:szCs w:val="19"/>
              </w:rPr>
              <w:t xml:space="preserve">All three scenarios can be run simultaneously if desired. Each uses a separate database container and a distinct OpenMetadata service registration, so they do not interfere with each other. Steps 5 through 7 (backend server, frontend server, browser) remain identical regardless of the active scenario.</w:t>
            </w:r>
          </w:p>
        </w:tc>
      </w:tr>
    </w:tbl>
    <w:p>
      <w:pPr>
        <w:spacing w:after="0" w:before="200"/>
      </w:pPr>
    </w:p>
    <w:p>
      <w:pPr>
        <w:pBdr>
          <w:bottom w:val="single" w:color="E8A020" w:sz="6" w:space="1"/>
        </w:pBdr>
        <w:spacing w:after="160" w:before="60"/>
      </w:pPr>
    </w:p>
    <w:p>
      <w:pPr>
        <w:spacing w:after="40" w:before="0"/>
        <w:jc w:val="center"/>
      </w:pPr>
      <w:r>
        <w:rPr>
          <w:rFonts w:ascii="Arial" w:cs="Arial" w:eastAsia="Arial" w:hAnsi="Arial"/>
          <w:color w:val="CCCCCC"/>
          <w:sz w:val="18"/>
          <w:szCs w:val="18"/>
        </w:rPr>
        <w:t xml:space="preserve">Data Doctor — Local Demo Setup Quick Start</w:t>
      </w:r>
    </w:p>
    <w:p>
      <w:pPr>
        <w:spacing w:after="0" w:before="0"/>
        <w:jc w:val="center"/>
      </w:pPr>
      <w:r>
        <w:rPr>
          <w:rFonts w:ascii="Arial" w:cs="Arial" w:eastAsia="Arial" w:hAnsi="Arial"/>
          <w:color w:val="CCCCCC"/>
          <w:sz w:val="18"/>
          <w:szCs w:val="18"/>
        </w:rPr>
        <w:t xml:space="preserve">April 2026  |  Hackathon Edition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00"/>
      <w:outlineLvl w:val="1"/>
    </w:pPr>
    <w:rPr>
      <w:rFonts w:ascii="Arial" w:cs="Arial" w:eastAsia="Arial" w:hAnsi="Arial"/>
      <w:b/>
      <w:bCs/>
      <w:color w:val="2E5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2026-04-26T20:47:46.069Z</dcterms:created>
  <dcterms:modified xsi:type="dcterms:W3CDTF">2026-04-26T20:47:46.070Z</dcterms:modified>
</cp:coreProperties>
</file>

<file path=docProps/custom.xml><?xml version="1.0" encoding="utf-8"?>
<Properties xmlns="http://schemas.openxmlformats.org/officeDocument/2006/custom-properties" xmlns:vt="http://schemas.openxmlformats.org/officeDocument/2006/docPropsVTypes"/>
</file>