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60" w:before="0"/>
        <w:jc w:val="center"/>
      </w:pPr>
      <w:r>
        <w:rPr>
          <w:rFonts w:ascii="Arial" w:cs="Arial" w:eastAsia="Arial" w:hAnsi="Arial"/>
          <w:b/>
          <w:bCs/>
          <w:color w:val="1B2A4A"/>
          <w:sz w:val="64"/>
          <w:szCs w:val="64"/>
        </w:rPr>
        <w:t xml:space="preserve">DATA DOCTOR</w:t>
      </w:r>
    </w:p>
    <w:p>
      <w:pPr>
        <w:spacing w:after="80" w:before="0"/>
        <w:jc w:val="center"/>
      </w:pPr>
      <w:r>
        <w:rPr>
          <w:rFonts w:ascii="Arial" w:cs="Arial" w:eastAsia="Arial" w:hAnsi="Arial"/>
          <w:color w:val="2E5F9E"/>
          <w:sz w:val="28"/>
          <w:szCs w:val="28"/>
        </w:rPr>
        <w:t xml:space="preserve">Implementation &amp; Technical Reference Guide</w:t>
      </w:r>
    </w:p>
    <w:p>
      <w:pPr>
        <w:pBdr>
          <w:bottom w:val="single" w:color="E8A020" w:sz="8" w:space="1"/>
        </w:pBdr>
        <w:spacing w:after="400" w:before="0"/>
        <w:jc w:val="center"/>
      </w:pPr>
    </w:p>
    <w:p>
      <w:pPr>
        <w:spacing w:after="80" w:before="200"/>
      </w:pPr>
    </w:p>
    <w:p>
      <w:pPr>
        <w:spacing w:after="60" w:before="0"/>
        <w:jc w:val="center"/>
      </w:pPr>
      <w:r>
        <w:rPr>
          <w:rFonts w:ascii="Arial" w:cs="Arial" w:eastAsia="Arial" w:hAnsi="Arial"/>
          <w:i/>
          <w:iCs/>
          <w:color w:val="4A4A4A"/>
          <w:sz w:val="22"/>
          <w:szCs w:val="22"/>
        </w:rPr>
        <w:t xml:space="preserve">Intelligent Data Observability &amp; Root Cause Analysis Platform</w:t>
      </w:r>
    </w:p>
    <w:p>
      <w:pPr>
        <w:spacing w:after="60" w:before="60"/>
        <w:jc w:val="center"/>
      </w:pPr>
      <w:r>
        <w:rPr>
          <w:rFonts w:ascii="Arial" w:cs="Arial" w:eastAsia="Arial" w:hAnsi="Arial"/>
          <w:color w:val="2E5F9E"/>
          <w:sz w:val="20"/>
          <w:szCs w:val="20"/>
        </w:rPr>
        <w:t xml:space="preserve">Powered by OpenMetadata  •  FastAPI  •  Python</w:t>
      </w:r>
    </w:p>
    <w:p>
      <w:pPr>
        <w:spacing w:after="0" w:before="400"/>
      </w:pPr>
    </w:p>
    <w:p>
      <w:pPr>
        <w:spacing w:after="40" w:before="0"/>
        <w:jc w:val="center"/>
      </w:pPr>
      <w:r>
        <w:rPr>
          <w:rFonts w:ascii="Arial" w:cs="Arial" w:eastAsia="Arial" w:hAnsi="Arial"/>
          <w:color w:val="CCCCCC"/>
          <w:sz w:val="19"/>
          <w:szCs w:val="19"/>
        </w:rPr>
        <w:t xml:space="preserve">Version 1.0  |  April 2026</w:t>
      </w:r>
    </w:p>
    <w:p>
      <w:r>
        <w:br w:type="page"/>
      </w:r>
    </w:p>
    <w:p>
      <w:pPr>
        <w:pStyle w:val="Heading1"/>
        <w:spacing w:after="160" w:before="360"/>
      </w:pPr>
      <w:r>
        <w:rPr>
          <w:rFonts w:ascii="Arial" w:cs="Arial" w:eastAsia="Arial" w:hAnsi="Arial"/>
          <w:b/>
          <w:bCs/>
          <w:color w:val="1B2A4A"/>
          <w:sz w:val="34"/>
          <w:szCs w:val="34"/>
        </w:rPr>
        <w:t xml:space="preserve">Table of Contents</w:t>
      </w:r>
    </w:p>
    <w:p>
      <w:pPr>
        <w:pBdr>
          <w:bottom w:val="single" w:color="2E5F9E" w:sz="6" w:space="1"/>
        </w:pBdr>
        <w:spacing w:after="200" w:before="60"/>
      </w:pPr>
    </w:p>
    <w:p>
      <w:pPr>
        <w:spacing w:after="40" w:before="40"/>
      </w:pPr>
      <w:r>
        <w:rPr>
          <w:rFonts w:ascii="Arial" w:cs="Arial" w:eastAsia="Arial" w:hAnsi="Arial"/>
          <w:b/>
          <w:bCs/>
          <w:color w:val="2E5F9E"/>
          <w:sz w:val="20"/>
          <w:szCs w:val="20"/>
        </w:rPr>
        <w:t xml:space="preserve">01  </w:t>
      </w:r>
      <w:r>
        <w:rPr>
          <w:rFonts w:ascii="Arial" w:cs="Arial" w:eastAsia="Arial" w:hAnsi="Arial"/>
          <w:color w:val="4A4A4A"/>
          <w:sz w:val="20"/>
          <w:szCs w:val="20"/>
        </w:rPr>
        <w:t xml:space="preserve">System Architecture &amp; Foundational Concepts</w:t>
      </w:r>
    </w:p>
    <w:p>
      <w:pPr>
        <w:spacing w:after="40" w:before="40"/>
      </w:pPr>
      <w:r>
        <w:rPr>
          <w:rFonts w:ascii="Arial" w:cs="Arial" w:eastAsia="Arial" w:hAnsi="Arial"/>
          <w:b/>
          <w:bCs/>
          <w:color w:val="2E5F9E"/>
          <w:sz w:val="20"/>
          <w:szCs w:val="20"/>
        </w:rPr>
        <w:t xml:space="preserve">02  </w:t>
      </w:r>
      <w:r>
        <w:rPr>
          <w:rFonts w:ascii="Arial" w:cs="Arial" w:eastAsia="Arial" w:hAnsi="Arial"/>
          <w:color w:val="4A4A4A"/>
          <w:sz w:val="20"/>
          <w:szCs w:val="20"/>
        </w:rPr>
        <w:t xml:space="preserve">OpenMetadata REST API Reference</w:t>
      </w:r>
    </w:p>
    <w:p>
      <w:pPr>
        <w:spacing w:after="40" w:before="40"/>
      </w:pPr>
      <w:r>
        <w:rPr>
          <w:rFonts w:ascii="Arial" w:cs="Arial" w:eastAsia="Arial" w:hAnsi="Arial"/>
          <w:b/>
          <w:bCs/>
          <w:color w:val="2E5F9E"/>
          <w:sz w:val="20"/>
          <w:szCs w:val="20"/>
        </w:rPr>
        <w:t xml:space="preserve">03  </w:t>
      </w:r>
      <w:r>
        <w:rPr>
          <w:rFonts w:ascii="Arial" w:cs="Arial" w:eastAsia="Arial" w:hAnsi="Arial"/>
          <w:color w:val="4A4A4A"/>
          <w:sz w:val="20"/>
          <w:szCs w:val="20"/>
        </w:rPr>
        <w:t xml:space="preserve">Lineage Graph System</w:t>
      </w:r>
    </w:p>
    <w:p>
      <w:pPr>
        <w:spacing w:after="40" w:before="40"/>
      </w:pPr>
      <w:r>
        <w:rPr>
          <w:rFonts w:ascii="Arial" w:cs="Arial" w:eastAsia="Arial" w:hAnsi="Arial"/>
          <w:b/>
          <w:bCs/>
          <w:color w:val="2E5F9E"/>
          <w:sz w:val="20"/>
          <w:szCs w:val="20"/>
        </w:rPr>
        <w:t xml:space="preserve">04  </w:t>
      </w:r>
      <w:r>
        <w:rPr>
          <w:rFonts w:ascii="Arial" w:cs="Arial" w:eastAsia="Arial" w:hAnsi="Arial"/>
          <w:color w:val="4A4A4A"/>
          <w:sz w:val="20"/>
          <w:szCs w:val="20"/>
        </w:rPr>
        <w:t xml:space="preserve">Observability &amp; Anomaly Detection</w:t>
      </w:r>
    </w:p>
    <w:p>
      <w:pPr>
        <w:spacing w:after="40" w:before="40"/>
      </w:pPr>
      <w:r>
        <w:rPr>
          <w:rFonts w:ascii="Arial" w:cs="Arial" w:eastAsia="Arial" w:hAnsi="Arial"/>
          <w:b/>
          <w:bCs/>
          <w:color w:val="2E5F9E"/>
          <w:sz w:val="20"/>
          <w:szCs w:val="20"/>
        </w:rPr>
        <w:t xml:space="preserve">05  </w:t>
      </w:r>
      <w:r>
        <w:rPr>
          <w:rFonts w:ascii="Arial" w:cs="Arial" w:eastAsia="Arial" w:hAnsi="Arial"/>
          <w:color w:val="4A4A4A"/>
          <w:sz w:val="20"/>
          <w:szCs w:val="20"/>
        </w:rPr>
        <w:t xml:space="preserve">Root Cause Analysis Engine</w:t>
      </w:r>
    </w:p>
    <w:p>
      <w:pPr>
        <w:spacing w:after="40" w:before="40"/>
      </w:pPr>
      <w:r>
        <w:rPr>
          <w:rFonts w:ascii="Arial" w:cs="Arial" w:eastAsia="Arial" w:hAnsi="Arial"/>
          <w:b/>
          <w:bCs/>
          <w:color w:val="2E5F9E"/>
          <w:sz w:val="20"/>
          <w:szCs w:val="20"/>
        </w:rPr>
        <w:t xml:space="preserve">06  </w:t>
      </w:r>
      <w:r>
        <w:rPr>
          <w:rFonts w:ascii="Arial" w:cs="Arial" w:eastAsia="Arial" w:hAnsi="Arial"/>
          <w:color w:val="4A4A4A"/>
          <w:sz w:val="20"/>
          <w:szCs w:val="20"/>
        </w:rPr>
        <w:t xml:space="preserve">Confidence Scoring System</w:t>
      </w:r>
    </w:p>
    <w:p>
      <w:pPr>
        <w:spacing w:after="40" w:before="40"/>
      </w:pPr>
      <w:r>
        <w:rPr>
          <w:rFonts w:ascii="Arial" w:cs="Arial" w:eastAsia="Arial" w:hAnsi="Arial"/>
          <w:b/>
          <w:bCs/>
          <w:color w:val="2E5F9E"/>
          <w:sz w:val="20"/>
          <w:szCs w:val="20"/>
        </w:rPr>
        <w:t xml:space="preserve">07  </w:t>
      </w:r>
      <w:r>
        <w:rPr>
          <w:rFonts w:ascii="Arial" w:cs="Arial" w:eastAsia="Arial" w:hAnsi="Arial"/>
          <w:color w:val="4A4A4A"/>
          <w:sz w:val="20"/>
          <w:szCs w:val="20"/>
        </w:rPr>
        <w:t xml:space="preserve">Downstream Impact Analysis</w:t>
      </w:r>
    </w:p>
    <w:p>
      <w:pPr>
        <w:spacing w:after="40" w:before="40"/>
      </w:pPr>
      <w:r>
        <w:rPr>
          <w:rFonts w:ascii="Arial" w:cs="Arial" w:eastAsia="Arial" w:hAnsi="Arial"/>
          <w:b/>
          <w:bCs/>
          <w:color w:val="2E5F9E"/>
          <w:sz w:val="20"/>
          <w:szCs w:val="20"/>
        </w:rPr>
        <w:t xml:space="preserve">08  </w:t>
      </w:r>
      <w:r>
        <w:rPr>
          <w:rFonts w:ascii="Arial" w:cs="Arial" w:eastAsia="Arial" w:hAnsi="Arial"/>
          <w:color w:val="4A4A4A"/>
          <w:sz w:val="20"/>
          <w:szCs w:val="20"/>
        </w:rPr>
        <w:t xml:space="preserve">Suggested Fixes &amp; Remediation Engine</w:t>
      </w:r>
    </w:p>
    <w:p>
      <w:pPr>
        <w:spacing w:after="40" w:before="40"/>
      </w:pPr>
      <w:r>
        <w:rPr>
          <w:rFonts w:ascii="Arial" w:cs="Arial" w:eastAsia="Arial" w:hAnsi="Arial"/>
          <w:b/>
          <w:bCs/>
          <w:color w:val="2E5F9E"/>
          <w:sz w:val="20"/>
          <w:szCs w:val="20"/>
        </w:rPr>
        <w:t xml:space="preserve">09  </w:t>
      </w:r>
      <w:r>
        <w:rPr>
          <w:rFonts w:ascii="Arial" w:cs="Arial" w:eastAsia="Arial" w:hAnsi="Arial"/>
          <w:color w:val="4A4A4A"/>
          <w:sz w:val="20"/>
          <w:szCs w:val="20"/>
        </w:rPr>
        <w:t xml:space="preserve">Governance &amp; Asset Tagging</w:t>
      </w:r>
    </w:p>
    <w:p>
      <w:pPr>
        <w:spacing w:after="40" w:before="40"/>
      </w:pPr>
      <w:r>
        <w:rPr>
          <w:rFonts w:ascii="Arial" w:cs="Arial" w:eastAsia="Arial" w:hAnsi="Arial"/>
          <w:b/>
          <w:bCs/>
          <w:color w:val="2E5F9E"/>
          <w:sz w:val="20"/>
          <w:szCs w:val="20"/>
        </w:rPr>
        <w:t xml:space="preserve">10  </w:t>
      </w:r>
      <w:r>
        <w:rPr>
          <w:rFonts w:ascii="Arial" w:cs="Arial" w:eastAsia="Arial" w:hAnsi="Arial"/>
          <w:color w:val="4A4A4A"/>
          <w:sz w:val="20"/>
          <w:szCs w:val="20"/>
        </w:rPr>
        <w:t xml:space="preserve">Backend Architecture</w:t>
      </w:r>
    </w:p>
    <w:p>
      <w:pPr>
        <w:spacing w:after="40" w:before="40"/>
      </w:pPr>
      <w:r>
        <w:rPr>
          <w:rFonts w:ascii="Arial" w:cs="Arial" w:eastAsia="Arial" w:hAnsi="Arial"/>
          <w:b/>
          <w:bCs/>
          <w:color w:val="2E5F9E"/>
          <w:sz w:val="20"/>
          <w:szCs w:val="20"/>
        </w:rPr>
        <w:t xml:space="preserve">11  </w:t>
      </w:r>
      <w:r>
        <w:rPr>
          <w:rFonts w:ascii="Arial" w:cs="Arial" w:eastAsia="Arial" w:hAnsi="Arial"/>
          <w:color w:val="4A4A4A"/>
          <w:sz w:val="20"/>
          <w:szCs w:val="20"/>
        </w:rPr>
        <w:t xml:space="preserve">Implementation Plan &amp; Sprint Phases</w:t>
      </w:r>
    </w:p>
    <w:p>
      <w:pPr>
        <w:spacing w:after="40" w:before="40"/>
      </w:pPr>
      <w:r>
        <w:rPr>
          <w:rFonts w:ascii="Arial" w:cs="Arial" w:eastAsia="Arial" w:hAnsi="Arial"/>
          <w:b/>
          <w:bCs/>
          <w:color w:val="2E5F9E"/>
          <w:sz w:val="20"/>
          <w:szCs w:val="20"/>
        </w:rPr>
        <w:t xml:space="preserve">12  </w:t>
      </w:r>
      <w:r>
        <w:rPr>
          <w:rFonts w:ascii="Arial" w:cs="Arial" w:eastAsia="Arial" w:hAnsi="Arial"/>
          <w:color w:val="4A4A4A"/>
          <w:sz w:val="20"/>
          <w:szCs w:val="20"/>
        </w:rPr>
        <w:t xml:space="preserve">User Interaction Model</w:t>
      </w:r>
    </w:p>
    <w:p>
      <w:pPr>
        <w:spacing w:after="40" w:before="40"/>
      </w:pPr>
      <w:r>
        <w:rPr>
          <w:rFonts w:ascii="Arial" w:cs="Arial" w:eastAsia="Arial" w:hAnsi="Arial"/>
          <w:b/>
          <w:bCs/>
          <w:color w:val="2E5F9E"/>
          <w:sz w:val="20"/>
          <w:szCs w:val="20"/>
        </w:rPr>
        <w:t xml:space="preserve">13  </w:t>
      </w:r>
      <w:r>
        <w:rPr>
          <w:rFonts w:ascii="Arial" w:cs="Arial" w:eastAsia="Arial" w:hAnsi="Arial"/>
          <w:color w:val="4A4A4A"/>
          <w:sz w:val="20"/>
          <w:szCs w:val="20"/>
        </w:rPr>
        <w:t xml:space="preserve">Demo Flow &amp; Hackathon Narrative</w:t>
      </w:r>
    </w:p>
    <w:p>
      <w:pPr>
        <w:spacing w:after="40" w:before="40"/>
      </w:pPr>
      <w:r>
        <w:rPr>
          <w:rFonts w:ascii="Arial" w:cs="Arial" w:eastAsia="Arial" w:hAnsi="Arial"/>
          <w:b/>
          <w:bCs/>
          <w:color w:val="2E5F9E"/>
          <w:sz w:val="20"/>
          <w:szCs w:val="20"/>
        </w:rPr>
        <w:t xml:space="preserve">14  </w:t>
      </w:r>
      <w:r>
        <w:rPr>
          <w:rFonts w:ascii="Arial" w:cs="Arial" w:eastAsia="Arial" w:hAnsi="Arial"/>
          <w:color w:val="4A4A4A"/>
          <w:sz w:val="20"/>
          <w:szCs w:val="20"/>
        </w:rPr>
        <w:t xml:space="preserve">Unified Output Schema</w:t>
      </w:r>
    </w:p>
    <w:p>
      <w:pPr>
        <w:spacing w:after="40" w:before="40"/>
      </w:pPr>
      <w:r>
        <w:rPr>
          <w:rFonts w:ascii="Arial" w:cs="Arial" w:eastAsia="Arial" w:hAnsi="Arial"/>
          <w:b/>
          <w:bCs/>
          <w:color w:val="2E5F9E"/>
          <w:sz w:val="20"/>
          <w:szCs w:val="20"/>
        </w:rPr>
        <w:t xml:space="preserve">15  </w:t>
      </w:r>
      <w:r>
        <w:rPr>
          <w:rFonts w:ascii="Arial" w:cs="Arial" w:eastAsia="Arial" w:hAnsi="Arial"/>
          <w:color w:val="4A4A4A"/>
          <w:sz w:val="20"/>
          <w:szCs w:val="20"/>
        </w:rPr>
        <w:t xml:space="preserve">Severity Scoring Model</w:t>
      </w:r>
    </w:p>
    <w:p>
      <w:pPr>
        <w:spacing w:after="40" w:before="40"/>
      </w:pPr>
      <w:r>
        <w:rPr>
          <w:rFonts w:ascii="Arial" w:cs="Arial" w:eastAsia="Arial" w:hAnsi="Arial"/>
          <w:b/>
          <w:bCs/>
          <w:color w:val="2E5F9E"/>
          <w:sz w:val="20"/>
          <w:szCs w:val="20"/>
        </w:rPr>
        <w:t xml:space="preserve">16  </w:t>
      </w:r>
      <w:r>
        <w:rPr>
          <w:rFonts w:ascii="Arial" w:cs="Arial" w:eastAsia="Arial" w:hAnsi="Arial"/>
          <w:color w:val="4A4A4A"/>
          <w:sz w:val="20"/>
          <w:szCs w:val="20"/>
        </w:rPr>
        <w:t xml:space="preserve">What-If Simulation Engine</w:t>
      </w:r>
    </w:p>
    <w:p>
      <w:pPr>
        <w:spacing w:after="40" w:before="40"/>
      </w:pPr>
      <w:r>
        <w:rPr>
          <w:rFonts w:ascii="Arial" w:cs="Arial" w:eastAsia="Arial" w:hAnsi="Arial"/>
          <w:b/>
          <w:bCs/>
          <w:color w:val="2E5F9E"/>
          <w:sz w:val="20"/>
          <w:szCs w:val="20"/>
        </w:rPr>
        <w:t xml:space="preserve">17  </w:t>
      </w:r>
      <w:r>
        <w:rPr>
          <w:rFonts w:ascii="Arial" w:cs="Arial" w:eastAsia="Arial" w:hAnsi="Arial"/>
          <w:color w:val="4A4A4A"/>
          <w:sz w:val="20"/>
          <w:szCs w:val="20"/>
        </w:rPr>
        <w:t xml:space="preserve">Preventive Monitoring</w:t>
      </w:r>
    </w:p>
    <w:p>
      <w:pPr>
        <w:spacing w:after="40" w:before="40"/>
      </w:pPr>
      <w:r>
        <w:rPr>
          <w:rFonts w:ascii="Arial" w:cs="Arial" w:eastAsia="Arial" w:hAnsi="Arial"/>
          <w:b/>
          <w:bCs/>
          <w:color w:val="2E5F9E"/>
          <w:sz w:val="20"/>
          <w:szCs w:val="20"/>
        </w:rPr>
        <w:t xml:space="preserve">18  </w:t>
      </w:r>
      <w:r>
        <w:rPr>
          <w:rFonts w:ascii="Arial" w:cs="Arial" w:eastAsia="Arial" w:hAnsi="Arial"/>
          <w:color w:val="4A4A4A"/>
          <w:sz w:val="20"/>
          <w:szCs w:val="20"/>
        </w:rPr>
        <w:t xml:space="preserve">Design Constraints &amp; Anti-Goals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01</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System Architecture &amp; Foundational Concepts</w:t>
            </w:r>
          </w:p>
        </w:tc>
      </w:tr>
    </w:tbl>
    <w:p>
      <w:pPr>
        <w:spacing w:after="80" w:before="160"/>
      </w:pPr>
    </w:p>
    <w:p>
      <w:pPr>
        <w:pStyle w:val="Heading2"/>
        <w:spacing w:after="120" w:before="280"/>
      </w:pPr>
      <w:r>
        <w:rPr>
          <w:rFonts w:ascii="Arial" w:cs="Arial" w:eastAsia="Arial" w:hAnsi="Arial"/>
          <w:b/>
          <w:bCs/>
          <w:color w:val="2E5F9E"/>
          <w:sz w:val="26"/>
          <w:szCs w:val="26"/>
        </w:rPr>
        <w:t xml:space="preserve">Overview</w:t>
      </w:r>
    </w:p>
    <w:p>
      <w:pPr>
        <w:spacing w:after="120" w:before="80"/>
      </w:pPr>
      <w:r>
        <w:rPr>
          <w:rFonts w:ascii="Arial" w:cs="Arial" w:eastAsia="Arial" w:hAnsi="Arial"/>
          <w:color w:val="4A4A4A"/>
          <w:sz w:val="20"/>
          <w:szCs w:val="20"/>
        </w:rPr>
        <w:t xml:space="preserve">The modern data ecosystem is characterised by extreme fragmentation, with data assets distributed across disparate warehouses, orchestration tools, and consumption layers. OpenMetadata addresses this challenge by operating as an open-source, centralised metadata store designed to unify data cataloguing, discovery, observability, and collaboration into a single, highly cohesive platform.</w:t>
      </w:r>
    </w:p>
    <w:p>
      <w:pPr>
        <w:spacing w:after="120" w:before="80"/>
      </w:pPr>
      <w:r>
        <w:rPr>
          <w:rFonts w:ascii="Arial" w:cs="Arial" w:eastAsia="Arial" w:hAnsi="Arial"/>
          <w:color w:val="4A4A4A"/>
          <w:sz w:val="20"/>
          <w:szCs w:val="20"/>
        </w:rPr>
        <w:t xml:space="preserve">Built on a rigorous schema-first architecture, the system enforces strict consistency across disparate data sources through a unified metadata model defined entirely by JSON Schemas. For Data Doctor, OpenMetadata serves as the definitive source of truth, centralising all entity relationships, observability signals, data quality metrics, and pipeline statuses — enabling advanced root-cause and impact analytics without the construction or maintenance of secondary databases.</w:t>
      </w:r>
    </w:p>
    <w:p>
      <w:pPr>
        <w:pStyle w:val="Heading2"/>
        <w:spacing w:after="120" w:before="280"/>
      </w:pPr>
      <w:r>
        <w:rPr>
          <w:rFonts w:ascii="Arial" w:cs="Arial" w:eastAsia="Arial" w:hAnsi="Arial"/>
          <w:b/>
          <w:bCs/>
          <w:color w:val="2E5F9E"/>
          <w:sz w:val="26"/>
          <w:szCs w:val="26"/>
        </w:rPr>
        <w:t xml:space="preserve">Database Architecture</w:t>
      </w:r>
    </w:p>
    <w:p>
      <w:pPr>
        <w:spacing w:after="120" w:before="80"/>
      </w:pPr>
      <w:r>
        <w:rPr>
          <w:rFonts w:ascii="Arial" w:cs="Arial" w:eastAsia="Arial" w:hAnsi="Arial"/>
          <w:color w:val="4A4A4A"/>
          <w:sz w:val="20"/>
          <w:szCs w:val="20"/>
        </w:rPr>
        <w:t xml:space="preserve">The underlying architecture eliminates operational overhead by relying on highly optimised standard relational databases — specifically MySQL 8.x or PostgreSQL — to persist the entire metadata graph. A dedicated entity_relationship table acts as the graph edge store, decoupling intrinsic entity attributes from relational mappings. This allows individual entities to be processed and updated independently, while relationships are evaluated at runtime during graph traversal operations.</w:t>
      </w:r>
    </w:p>
    <w:p>
      <w:pPr>
        <w:pStyle w:val="Heading2"/>
        <w:spacing w:after="120" w:before="280"/>
      </w:pPr>
      <w:r>
        <w:rPr>
          <w:rFonts w:ascii="Arial" w:cs="Arial" w:eastAsia="Arial" w:hAnsi="Arial"/>
          <w:b/>
          <w:bCs/>
          <w:color w:val="2E5F9E"/>
          <w:sz w:val="26"/>
          <w:szCs w:val="26"/>
        </w:rPr>
        <w:t xml:space="preserve">Core System Components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Component</w:t>
            </w:r>
          </w:p>
        </w:tc>
        <w:tc>
          <w:tcPr>
            <w:tcW w:type="dxa" w:w="35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Architecture &amp; Functionality</w:t>
            </w:r>
          </w:p>
        </w:tc>
        <w:tc>
          <w:tcPr>
            <w:tcW w:type="dxa" w:w="38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Relevance to Data Doctor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Metadata Store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Relational database (MySQL 8.x / PostgreSQL) storing JSON entity representations, histories, and relationships. Each entity table contains a json column from which derived columns are generated.</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Acts as the ultimate system of record. Data Doctor reads from this deterministic state via REST APIs — never via direct SQL queries.</w:t>
            </w:r>
          </w:p>
        </w:tc>
      </w:tr>
      <w:tr>
        <w:tc>
          <w:tcPr>
            <w:tcW w:type="dxa" w:w="20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Ingestion Framework</w:t>
            </w:r>
          </w:p>
        </w:tc>
        <w:tc>
          <w:tcPr>
            <w:tcW w:type="dxa" w:w="35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A pluggable, pull-based Python framework connecting to 90+ external sources (Snowflake, dbt, Airflow, Tableau). Executes scheduled workflows to extract metadata, lineage, and usage patterns.</w:t>
            </w:r>
          </w:p>
        </w:tc>
        <w:tc>
          <w:tcPr>
            <w:tcW w:type="dxa" w:w="38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Continuously populates the metadata, profiling metrics, test results, and lineage topology that Data Doctor analyses for anomalies.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Search Engine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An Elasticsearch (7.x) implementation indexing metadata and powering rapid search operations. Events are published asynchronously upon any entity state change.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Enables Data Doctor to rapidly resolve Fully Qualified Names (FQNs) to internal UUIDs, bypassing heavy database lookups.</w:t>
            </w:r>
          </w:p>
        </w:tc>
      </w:tr>
      <w:tr>
        <w:tc>
          <w:tcPr>
            <w:tcW w:type="dxa" w:w="20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API Server</w:t>
            </w:r>
          </w:p>
        </w:tc>
        <w:tc>
          <w:tcPr>
            <w:tcW w:type="dxa" w:w="35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A Dropwizard/Jetty-backed REST API layer implementing the core JSON Schemas. Acts as the middleware centralising communication between the storage layer and external applications.</w:t>
            </w:r>
          </w:p>
        </w:tc>
        <w:tc>
          <w:tcPr>
            <w:tcW w:type="dxa" w:w="38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Serves as the exclusive integration interface for all Data Doctor queries, traversals, detection logic, and tagging operations.</w:t>
            </w:r>
          </w:p>
        </w:tc>
      </w:tr>
    </w:tbl>
    <w:p>
      <w:pPr>
        <w:pStyle w:val="Heading2"/>
        <w:spacing w:after="120" w:before="280"/>
      </w:pPr>
      <w:r>
        <w:rPr>
          <w:rFonts w:ascii="Arial" w:cs="Arial" w:eastAsia="Arial" w:hAnsi="Arial"/>
          <w:b/>
          <w:bCs/>
          <w:color w:val="2E5F9E"/>
          <w:sz w:val="26"/>
          <w:szCs w:val="26"/>
        </w:rPr>
        <w:t xml:space="preserve">The Unified Metadata Graph</w:t>
      </w:r>
    </w:p>
    <w:p>
      <w:pPr>
        <w:spacing w:after="120" w:before="80"/>
      </w:pPr>
      <w:r>
        <w:rPr>
          <w:rFonts w:ascii="Arial" w:cs="Arial" w:eastAsia="Arial" w:hAnsi="Arial"/>
          <w:color w:val="4A4A4A"/>
          <w:sz w:val="20"/>
          <w:szCs w:val="20"/>
        </w:rPr>
        <w:t xml:space="preserve">The core analytical paradigm powering Data Doctor's root-cause and impact analysis is the metadata graph. Every physical and logical asset is represented as a strictly typed Entity. Key entity types include: Tables (database structures), Pipelines (orchestration workflows), Dashboards (analytical consumption), and ML Models (predictive algorithms).</w:t>
      </w:r>
    </w:p>
    <w:p>
      <w:pPr>
        <w:spacing w:after="120" w:before="80"/>
      </w:pPr>
      <w:r>
        <w:rPr>
          <w:rFonts w:ascii="Arial" w:cs="Arial" w:eastAsia="Arial" w:hAnsi="Arial"/>
          <w:color w:val="4A4A4A"/>
          <w:sz w:val="20"/>
          <w:szCs w:val="20"/>
        </w:rPr>
        <w:t xml:space="preserve">Relationships between entities are defined as directional edges within the graph. Because OpenMetadata separates intrinsic entity attributes from relationship definitions, traversing the graph is a highly deterministic computational exercise. The system relies on Fully Qualified Names (FQNs) — concatenating the asset hierarchy (e.g., service.database.schema.table) — to uniquely identify entities, enable programmatic integration, and prevent namespace collisions.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02</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OpenMetadata REST API Reference</w:t>
            </w:r>
          </w:p>
        </w:tc>
      </w:tr>
    </w:tbl>
    <w:p>
      <w:pPr>
        <w:spacing w:after="80" w:before="160"/>
      </w:pPr>
    </w:p>
    <w:p>
      <w:pPr>
        <w:pStyle w:val="Heading2"/>
        <w:spacing w:after="120" w:before="280"/>
      </w:pPr>
      <w:r>
        <w:rPr>
          <w:rFonts w:ascii="Arial" w:cs="Arial" w:eastAsia="Arial" w:hAnsi="Arial"/>
          <w:b/>
          <w:bCs/>
          <w:color w:val="2E5F9E"/>
          <w:sz w:val="26"/>
          <w:szCs w:val="26"/>
        </w:rPr>
        <w:t xml:space="preserve">API Conventions &amp; Design Philosophy</w:t>
      </w:r>
    </w:p>
    <w:p>
      <w:pPr>
        <w:spacing w:after="120" w:before="80"/>
      </w:pPr>
      <w:r>
        <w:rPr>
          <w:rFonts w:ascii="Arial" w:cs="Arial" w:eastAsia="Arial" w:hAnsi="Arial"/>
          <w:color w:val="4A4A4A"/>
          <w:sz w:val="20"/>
          <w:szCs w:val="20"/>
        </w:rPr>
        <w:t xml:space="preserve">OpenMetadata adheres to stringent REST API best practices, utilising a schema-first design philosophy where APIs are generated directly from the underlying JSON definitions. Collection endpoints uniformly use plural nouns (e.g., /api/v1/tables, /api/v1/pipelines), strictly avoid trailing slashes, and individual resources are accessible via UUID or Fully Qualified Name. API responses are formatted as application/json with camelCase field naming. The server validates all incoming request payloads strictly — unknown fields are rejected to prevent silent state divergence.</w:t>
      </w:r>
    </w:p>
    <w:p>
      <w:pPr>
        <w:pStyle w:val="Heading2"/>
        <w:spacing w:after="120" w:before="280"/>
      </w:pPr>
      <w:r>
        <w:rPr>
          <w:rFonts w:ascii="Arial" w:cs="Arial" w:eastAsia="Arial" w:hAnsi="Arial"/>
          <w:b/>
          <w:bCs/>
          <w:color w:val="2E5F9E"/>
          <w:sz w:val="26"/>
          <w:szCs w:val="26"/>
        </w:rPr>
        <w:t xml:space="preserve">Authentication &amp; Python SDK Configuration</w:t>
      </w:r>
    </w:p>
    <w:p>
      <w:pPr>
        <w:spacing w:after="120" w:before="80"/>
      </w:pPr>
      <w:r>
        <w:rPr>
          <w:rFonts w:ascii="Arial" w:cs="Arial" w:eastAsia="Arial" w:hAnsi="Arial"/>
          <w:color w:val="4A4A4A"/>
          <w:sz w:val="20"/>
          <w:szCs w:val="20"/>
        </w:rPr>
        <w:t xml:space="preserve">Authentication requires a JSON Web Token (JWT) passed via the standard HTTP Authorization: Bearer header. The official OpenMetadata Python SDK (openmetadata-ingestion) is the recommended integration approach, abstracting HTTP complexity, payload validation, and pagination logic into native, type-hinted method calls.</w:t>
      </w:r>
    </w:p>
    <w:p>
      <w:pPr>
        <w:spacing w:after="60" w:before="80"/>
      </w:pPr>
    </w:p>
    <w:tbl>
      <w:tblPr>
        <w:tblW w:type="dxa" w:w="9200"/>
        <w:tblBorders>
          <w:top w:val="single" w:color="C0C8D8" w:sz="2"/>
          <w:left w:val="single" w:color="2E5F9E" w:sz="6"/>
          <w:bottom w:val="single" w:color="C0C8D8" w:sz="2"/>
          <w:right w:val="single" w:color="C0C8D8" w:sz="2"/>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from metadata.generated.schema.entity.services.connections.metadata.openMetadataConnection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import OpenMetadataConnection</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from metadata.generated.schema.security.client.openMetadataJWTClientConfig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import OpenMetadataJWTClientConfig</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from metadata.ingestion.ometa.ometa_api import OpenMetadata</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def initialize_metadata_client() -&gt; OpenMetadata:</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Initialises the OpenMetadata client using secure JWT authentication.</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The resulting client instance is used by Data Doctor for all API interactions.</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server_config = OpenMetadataConnection(</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hostPort="https://your-company.open-metadata.org/api",</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authProvider="openmetadata",</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securityConfig=OpenMetadataJWTClientConfig(</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jwtToken="&lt;YOUR_SECURE_JWT_TOKEN_HERE&gt;"</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return OpenMetadata(server_config)</w:t>
            </w:r>
          </w:p>
        </w:tc>
      </w:tr>
    </w:tbl>
    <w:p>
      <w:pPr>
        <w:spacing w:after="80" w:before="120"/>
      </w:pPr>
    </w:p>
    <w:p>
      <w:pPr>
        <w:pStyle w:val="Heading2"/>
        <w:spacing w:after="120" w:before="280"/>
      </w:pPr>
      <w:r>
        <w:rPr>
          <w:rFonts w:ascii="Arial" w:cs="Arial" w:eastAsia="Arial" w:hAnsi="Arial"/>
          <w:b/>
          <w:bCs/>
          <w:color w:val="2E5F9E"/>
          <w:sz w:val="26"/>
          <w:szCs w:val="26"/>
        </w:rPr>
        <w:t xml:space="preserve">Critical API Endpoints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Functional Domain</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Endpoint</w:t>
            </w:r>
          </w:p>
        </w:tc>
        <w:tc>
          <w:tcPr>
            <w:tcW w:type="dxa" w:w="5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Purpose &amp; Key Parameters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Tables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GET /v1/tables/{id}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Fetches table definitions, schemas, owners, and governance tags. Requires fields=columns,profile,testSuite,changeDescription to retrieve observability data for anomaly detection.</w:t>
            </w:r>
          </w:p>
        </w:tc>
      </w:tr>
      <w:tr>
        <w:tc>
          <w:tcPr>
            <w:tcW w:type="dxa" w:w="1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Pipelines</w:t>
            </w:r>
          </w:p>
        </w:tc>
        <w:tc>
          <w:tcPr>
            <w:tcW w:type="dxa" w:w="24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GET /v1/pipelines/name/{fqn}</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Returns pipeline metadata, execution history, status fields (Successful, Failed, Pending), and scheduling configuration. Used to detect upstream workflow anomalies.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Lineage Graph</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GET /v1/lineage/{entityType}/{id}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Retrieves the directional lineage graph. upstreamDepth and downstreamDepth query parameters control traversal radius.</w:t>
            </w:r>
          </w:p>
        </w:tc>
      </w:tr>
      <w:tr>
        <w:tc>
          <w:tcPr>
            <w:tcW w:type="dxa" w:w="1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Data Quality Tests</w:t>
            </w:r>
          </w:p>
        </w:tc>
        <w:tc>
          <w:tcPr>
            <w:tcW w:type="dxa" w:w="24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GET /v1/dataQuality/testCases</w:t>
            </w:r>
          </w:p>
        </w:tc>
        <w:tc>
          <w:tcPr>
            <w:tcW w:type="dxa" w:w="5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Retrieves test case configurations and the testCaseResult array containing historical pass/fail execution states.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Governance Tagging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PATCH /v1/{entityType}/{id}</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Modifies metadata tags to assign incident statuses. Requires an application/json-patch+json payload defining RFC 6902 patch operations.</w:t>
            </w:r>
          </w:p>
        </w:tc>
      </w:tr>
    </w:tbl>
    <w:p>
      <w:pPr>
        <w:spacing w:after="80" w:before="120"/>
      </w:pPr>
    </w:p>
    <w:p>
      <w:pPr>
        <w:pStyle w:val="Heading2"/>
        <w:spacing w:after="120" w:before="280"/>
      </w:pPr>
      <w:r>
        <w:rPr>
          <w:rFonts w:ascii="Arial" w:cs="Arial" w:eastAsia="Arial" w:hAnsi="Arial"/>
          <w:b/>
          <w:bCs/>
          <w:color w:val="2E5F9E"/>
          <w:sz w:val="26"/>
          <w:szCs w:val="26"/>
        </w:rPr>
        <w:t xml:space="preserve">JSON Payload: Change Description Object</w:t>
      </w:r>
    </w:p>
    <w:p>
      <w:pPr>
        <w:spacing w:after="120" w:before="80"/>
      </w:pPr>
      <w:r>
        <w:rPr>
          <w:rFonts w:ascii="Arial" w:cs="Arial" w:eastAsia="Arial" w:hAnsi="Arial"/>
          <w:color w:val="4A4A4A"/>
          <w:sz w:val="20"/>
          <w:szCs w:val="20"/>
        </w:rPr>
        <w:t xml:space="preserve">API responses embed a changeDescription JSON object cataloguing the evolutionary delta between entity versions. This object exposes fieldsAdded, fieldsUpdated, and fieldsDeleted arrays, enabling Data Doctor to definitively identify structural schema changes without requiring access to underlying data warehouse query logs.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03</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Lineage Graph System</w:t>
            </w:r>
          </w:p>
        </w:tc>
      </w:tr>
    </w:tbl>
    <w:p>
      <w:pPr>
        <w:spacing w:after="80" w:before="160"/>
      </w:pPr>
    </w:p>
    <w:p>
      <w:pPr>
        <w:pStyle w:val="Heading2"/>
        <w:spacing w:after="120" w:before="280"/>
      </w:pPr>
      <w:r>
        <w:rPr>
          <w:rFonts w:ascii="Arial" w:cs="Arial" w:eastAsia="Arial" w:hAnsi="Arial"/>
          <w:b/>
          <w:bCs/>
          <w:color w:val="2E5F9E"/>
          <w:sz w:val="26"/>
          <w:szCs w:val="26"/>
        </w:rPr>
        <w:t xml:space="preserve">Graph Representation in OpenMetadata</w:t>
      </w:r>
    </w:p>
    <w:p>
      <w:pPr>
        <w:spacing w:after="120" w:before="80"/>
      </w:pPr>
      <w:r>
        <w:rPr>
          <w:rFonts w:ascii="Arial" w:cs="Arial" w:eastAsia="Arial" w:hAnsi="Arial"/>
          <w:color w:val="4A4A4A"/>
          <w:sz w:val="20"/>
          <w:szCs w:val="20"/>
        </w:rPr>
        <w:t xml:space="preserve">Lineage in OpenMetadata maps the directional flow of data from upstream extraction sources to downstream consumption layers. The graph encompasses multiple node types representing the full breadth of assets within a modern data stack:</w:t>
      </w:r>
    </w:p>
    <w:p>
      <w:pPr>
        <w:pStyle w:val="ListParagraph"/>
        <w:numPr>
          <w:ilvl w:val="0"/>
          <w:numId w:val="2"/>
        </w:numPr>
        <w:spacing w:after="60" w:before="40"/>
      </w:pPr>
      <w:r>
        <w:rPr>
          <w:rFonts w:ascii="Arial" w:cs="Arial" w:eastAsia="Arial" w:hAnsi="Arial"/>
          <w:color w:val="4A4A4A"/>
          <w:sz w:val="20"/>
          <w:szCs w:val="20"/>
        </w:rPr>
        <w:t xml:space="preserve">Table Nodes — Structured data models residing in operational databases, data lakes, or warehouses.</w:t>
      </w:r>
    </w:p>
    <w:p>
      <w:pPr>
        <w:pStyle w:val="ListParagraph"/>
        <w:numPr>
          <w:ilvl w:val="0"/>
          <w:numId w:val="2"/>
        </w:numPr>
        <w:spacing w:after="60" w:before="40"/>
      </w:pPr>
      <w:r>
        <w:rPr>
          <w:rFonts w:ascii="Arial" w:cs="Arial" w:eastAsia="Arial" w:hAnsi="Arial"/>
          <w:color w:val="4A4A4A"/>
          <w:sz w:val="20"/>
          <w:szCs w:val="20"/>
        </w:rPr>
        <w:t xml:space="preserve">Pipeline Nodes — Automated orchestration jobs (Apache Airflow DAGs, dbt execution models) executing physical data transformations.</w:t>
      </w:r>
    </w:p>
    <w:p>
      <w:pPr>
        <w:pStyle w:val="ListParagraph"/>
        <w:numPr>
          <w:ilvl w:val="0"/>
          <w:numId w:val="2"/>
        </w:numPr>
        <w:spacing w:after="60" w:before="40"/>
      </w:pPr>
      <w:r>
        <w:rPr>
          <w:rFonts w:ascii="Arial" w:cs="Arial" w:eastAsia="Arial" w:hAnsi="Arial"/>
          <w:color w:val="4A4A4A"/>
          <w:sz w:val="20"/>
          <w:szCs w:val="20"/>
        </w:rPr>
        <w:t xml:space="preserve">Dashboard Nodes — Downstream analytical artefacts and business intelligence reports (Tableau, Superset, Looker).</w:t>
      </w:r>
    </w:p>
    <w:p>
      <w:pPr>
        <w:pStyle w:val="ListParagraph"/>
        <w:numPr>
          <w:ilvl w:val="0"/>
          <w:numId w:val="2"/>
        </w:numPr>
        <w:spacing w:after="60" w:before="40"/>
      </w:pPr>
      <w:r>
        <w:rPr>
          <w:rFonts w:ascii="Arial" w:cs="Arial" w:eastAsia="Arial" w:hAnsi="Arial"/>
          <w:color w:val="4A4A4A"/>
          <w:sz w:val="20"/>
          <w:szCs w:val="20"/>
        </w:rPr>
        <w:t xml:space="preserve">Topic Nodes — Streaming infrastructure payloads such as Apache Kafka clusters.</w:t>
      </w:r>
    </w:p>
    <w:p>
      <w:pPr>
        <w:spacing w:after="60" w:before="80"/>
      </w:pPr>
    </w:p>
    <w:p>
      <w:pPr>
        <w:spacing w:after="120" w:before="80"/>
      </w:pPr>
      <w:r>
        <w:rPr>
          <w:rFonts w:ascii="Arial" w:cs="Arial" w:eastAsia="Arial" w:hAnsi="Arial"/>
          <w:color w:val="4A4A4A"/>
          <w:sz w:val="20"/>
          <w:szCs w:val="20"/>
        </w:rPr>
        <w:t xml:space="preserve">Relationships between nodes are represented as directional edges, existing at both the macroscopic entity-to-entity level and the granular column-to-column level. Critically, edges can contain nested lineageDetails objects storing the exact SQL transformation query alongside a reference to the executing Pipeline. This tripartite mapping — source table, transformation pipeline, and target table — is the fundamental mechanism Data Doctor uses to locate root causes.</w:t>
      </w:r>
    </w:p>
    <w:p>
      <w:pPr>
        <w:pStyle w:val="Heading2"/>
        <w:spacing w:after="120" w:before="280"/>
      </w:pPr>
      <w:r>
        <w:rPr>
          <w:rFonts w:ascii="Arial" w:cs="Arial" w:eastAsia="Arial" w:hAnsi="Arial"/>
          <w:b/>
          <w:bCs/>
          <w:color w:val="2E5F9E"/>
          <w:sz w:val="26"/>
          <w:szCs w:val="26"/>
        </w:rPr>
        <w:t xml:space="preserve">Fetching Lineage Data</w:t>
      </w:r>
    </w:p>
    <w:p>
      <w:pPr>
        <w:spacing w:after="120" w:before="80"/>
      </w:pPr>
      <w:r>
        <w:rPr>
          <w:rFonts w:ascii="Arial" w:cs="Arial" w:eastAsia="Arial" w:hAnsi="Arial"/>
          <w:color w:val="4A4A4A"/>
          <w:sz w:val="20"/>
          <w:szCs w:val="20"/>
        </w:rPr>
        <w:t xml:space="preserve">Data Doctor accesses the lineage graph via GET /v1/lineage/{entityType}/{id}, specifying upstreamDepth and downstreamDepth parameters to control traversal scope. An optimised recommendation is to use a depth of 3–5 for upstream root-cause analysis and a depth of 5 for downstream impact analysis, balancing network latency with graph completeness.</w:t>
      </w:r>
    </w:p>
    <w:p>
      <w:pPr>
        <w:pStyle w:val="Heading2"/>
        <w:spacing w:after="120" w:before="280"/>
      </w:pPr>
      <w:r>
        <w:rPr>
          <w:rFonts w:ascii="Arial" w:cs="Arial" w:eastAsia="Arial" w:hAnsi="Arial"/>
          <w:b/>
          <w:bCs/>
          <w:color w:val="2E5F9E"/>
          <w:sz w:val="26"/>
          <w:szCs w:val="26"/>
        </w:rPr>
        <w:t xml:space="preserve">Lineage JSON Structure</w:t>
      </w:r>
    </w:p>
    <w:p>
      <w:pPr>
        <w:spacing w:after="120" w:before="80"/>
      </w:pPr>
      <w:r>
        <w:rPr>
          <w:rFonts w:ascii="Arial" w:cs="Arial" w:eastAsia="Arial" w:hAnsi="Arial"/>
          <w:color w:val="4A4A4A"/>
          <w:sz w:val="20"/>
          <w:szCs w:val="20"/>
        </w:rPr>
        <w:t xml:space="preserve">The Lineage API responds with a structured JSON object representing the localised subgraph. This predefined structure eliminates the need for client-side graph database reconstruction. The key fields are:</w:t>
      </w:r>
    </w:p>
    <w:p>
      <w:pPr>
        <w:pStyle w:val="ListParagraph"/>
        <w:numPr>
          <w:ilvl w:val="0"/>
          <w:numId w:val="2"/>
        </w:numPr>
        <w:spacing w:after="60" w:before="40"/>
      </w:pPr>
      <w:r>
        <w:rPr>
          <w:rFonts w:ascii="Arial" w:cs="Arial" w:eastAsia="Arial" w:hAnsi="Arial"/>
          <w:color w:val="4A4A4A"/>
          <w:sz w:val="20"/>
          <w:szCs w:val="20"/>
        </w:rPr>
        <w:t xml:space="preserve">entity — The primary queried entity with its id, type, name, and fullyQualifiedName.</w:t>
      </w:r>
    </w:p>
    <w:p>
      <w:pPr>
        <w:pStyle w:val="ListParagraph"/>
        <w:numPr>
          <w:ilvl w:val="0"/>
          <w:numId w:val="2"/>
        </w:numPr>
        <w:spacing w:after="60" w:before="40"/>
      </w:pPr>
      <w:r>
        <w:rPr>
          <w:rFonts w:ascii="Arial" w:cs="Arial" w:eastAsia="Arial" w:hAnsi="Arial"/>
          <w:color w:val="4A4A4A"/>
          <w:sz w:val="20"/>
          <w:szCs w:val="20"/>
        </w:rPr>
        <w:t xml:space="preserve">nodes — A master dictionary of all unique entities present anywhere in the subgraph.</w:t>
      </w:r>
    </w:p>
    <w:p>
      <w:pPr>
        <w:pStyle w:val="ListParagraph"/>
        <w:numPr>
          <w:ilvl w:val="0"/>
          <w:numId w:val="2"/>
        </w:numPr>
        <w:spacing w:after="60" w:before="40"/>
      </w:pPr>
      <w:r>
        <w:rPr>
          <w:rFonts w:ascii="Arial" w:cs="Arial" w:eastAsia="Arial" w:hAnsi="Arial"/>
          <w:color w:val="4A4A4A"/>
          <w:sz w:val="20"/>
          <w:szCs w:val="20"/>
        </w:rPr>
        <w:t xml:space="preserve">upstreamEdges — Adjacency list for upstream traversal (root cause analysis).</w:t>
      </w:r>
    </w:p>
    <w:p>
      <w:pPr>
        <w:pStyle w:val="ListParagraph"/>
        <w:numPr>
          <w:ilvl w:val="0"/>
          <w:numId w:val="2"/>
        </w:numPr>
        <w:spacing w:after="60" w:before="40"/>
      </w:pPr>
      <w:r>
        <w:rPr>
          <w:rFonts w:ascii="Arial" w:cs="Arial" w:eastAsia="Arial" w:hAnsi="Arial"/>
          <w:color w:val="4A4A4A"/>
          <w:sz w:val="20"/>
          <w:szCs w:val="20"/>
        </w:rPr>
        <w:t xml:space="preserve">downstreamEdges — Adjacency list for downstream traversal (impact analysis).</w:t>
      </w:r>
    </w:p>
    <w:p>
      <w:pPr>
        <w:spacing w:after="60" w:before="80"/>
      </w:pPr>
    </w:p>
    <w:tbl>
      <w:tblPr>
        <w:tblW w:type="dxa" w:w="9200"/>
        <w:tblBorders>
          <w:top w:val="single" w:color="C0C8D8" w:sz="2"/>
          <w:left w:val="single" w:color="2E5F9E" w:sz="6"/>
          <w:bottom w:val="single" w:color="C0C8D8" w:sz="2"/>
          <w:right w:val="single" w:color="C0C8D8" w:sz="2"/>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"entity":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"id": "455e3d9d-dbbf-455e-b3be-7191daa825f3",</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"type": "table",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"name": "dim_customer",</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"fullyQualifiedName": "sample_data.ecommerce_db.shopify.dim_customer"</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"nodes":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 "id": "800caa0f-...", "type": "table",    "name": "raw_customer"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 "id": "abc123df-...", "type": "pipeline", "name": "customer_etl_dag"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"upstreamEdges":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 "fromEntity": "800caa0f-...", "toEntity": "455e3d9d-..."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"downstreamEdges":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04</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Observability &amp; Anomaly Detection</w:t>
            </w:r>
          </w:p>
        </w:tc>
      </w:tr>
    </w:tbl>
    <w:p>
      <w:pPr>
        <w:spacing w:after="80" w:before="160"/>
      </w:pPr>
    </w:p>
    <w:p>
      <w:pPr>
        <w:pStyle w:val="Heading2"/>
        <w:spacing w:after="120" w:before="280"/>
      </w:pPr>
      <w:r>
        <w:rPr>
          <w:rFonts w:ascii="Arial" w:cs="Arial" w:eastAsia="Arial" w:hAnsi="Arial"/>
          <w:b/>
          <w:bCs/>
          <w:color w:val="2E5F9E"/>
          <w:sz w:val="26"/>
          <w:szCs w:val="26"/>
        </w:rPr>
        <w:t xml:space="preserve">Observability Signal Classes</w:t>
      </w:r>
    </w:p>
    <w:p>
      <w:pPr>
        <w:spacing w:after="120" w:before="80"/>
      </w:pPr>
      <w:r>
        <w:rPr>
          <w:rFonts w:ascii="Arial" w:cs="Arial" w:eastAsia="Arial" w:hAnsi="Arial"/>
          <w:color w:val="4A4A4A"/>
          <w:sz w:val="20"/>
          <w:szCs w:val="20"/>
        </w:rPr>
        <w:t xml:space="preserve">OpenMetadata acts as a centralised repository, consolidating observability signals from across the enterprise into a unified entity model. Data Doctor fetches these deterministic properties exclusively via the API rather than computing raw system logs. The platform provides four primary signal classes:</w:t>
      </w:r>
    </w:p>
    <w:p>
      <w:pPr>
        <w:pStyle w:val="ListParagraph"/>
        <w:numPr>
          <w:ilvl w:val="0"/>
          <w:numId w:val="2"/>
        </w:numPr>
        <w:spacing w:after="60" w:before="40"/>
      </w:pPr>
      <w:r>
        <w:rPr>
          <w:rFonts w:ascii="Arial" w:cs="Arial" w:eastAsia="Arial" w:hAnsi="Arial"/>
          <w:color w:val="4A4A4A"/>
          <w:sz w:val="20"/>
          <w:szCs w:val="20"/>
        </w:rPr>
        <w:t xml:space="preserve">Pipeline Execution Status — Timestamped success, failure, and pending states captured automatically from orchestrators such as Apache Airflow.</w:t>
      </w:r>
    </w:p>
    <w:p>
      <w:pPr>
        <w:pStyle w:val="ListParagraph"/>
        <w:numPr>
          <w:ilvl w:val="0"/>
          <w:numId w:val="2"/>
        </w:numPr>
        <w:spacing w:after="60" w:before="40"/>
      </w:pPr>
      <w:r>
        <w:rPr>
          <w:rFonts w:ascii="Arial" w:cs="Arial" w:eastAsia="Arial" w:hAnsi="Arial"/>
          <w:color w:val="4A4A4A"/>
          <w:sz w:val="20"/>
          <w:szCs w:val="20"/>
        </w:rPr>
        <w:t xml:space="preserve">Data Freshness — Quantitatively measured via automated table profiling tasks and native DML system metrics extracted directly from the data warehouses.</w:t>
      </w:r>
    </w:p>
    <w:p>
      <w:pPr>
        <w:pStyle w:val="ListParagraph"/>
        <w:numPr>
          <w:ilvl w:val="0"/>
          <w:numId w:val="2"/>
        </w:numPr>
        <w:spacing w:after="60" w:before="40"/>
      </w:pPr>
      <w:r>
        <w:rPr>
          <w:rFonts w:ascii="Arial" w:cs="Arial" w:eastAsia="Arial" w:hAnsi="Arial"/>
          <w:color w:val="4A4A4A"/>
          <w:sz w:val="20"/>
          <w:szCs w:val="20"/>
        </w:rPr>
        <w:t xml:space="preserve">Schema Evolution — Tracked via the changeDescription payload attached to historical entity versions, documenting every column addition, removal, or type change.</w:t>
      </w:r>
    </w:p>
    <w:p>
      <w:pPr>
        <w:pStyle w:val="ListParagraph"/>
        <w:numPr>
          <w:ilvl w:val="0"/>
          <w:numId w:val="2"/>
        </w:numPr>
        <w:spacing w:after="60" w:before="40"/>
      </w:pPr>
      <w:r>
        <w:rPr>
          <w:rFonts w:ascii="Arial" w:cs="Arial" w:eastAsia="Arial" w:hAnsi="Arial"/>
          <w:color w:val="4A4A4A"/>
          <w:sz w:val="20"/>
          <w:szCs w:val="20"/>
        </w:rPr>
        <w:t xml:space="preserve">Data Quality Test Results — Pass/fail assertions evaluated via OpenMetadata's native Data Quality framework or ingested from tools such as Great Expectations and dbt.</w:t>
      </w:r>
    </w:p>
    <w:p>
      <w:pPr>
        <w:pStyle w:val="Heading2"/>
        <w:spacing w:after="120" w:before="280"/>
      </w:pPr>
      <w:r>
        <w:rPr>
          <w:rFonts w:ascii="Arial" w:cs="Arial" w:eastAsia="Arial" w:hAnsi="Arial"/>
          <w:b/>
          <w:bCs/>
          <w:color w:val="2E5F9E"/>
          <w:sz w:val="26"/>
          <w:szCs w:val="26"/>
        </w:rPr>
        <w:t xml:space="preserve">Monitoring Strategy</w:t>
      </w:r>
    </w:p>
    <w:p>
      <w:pPr>
        <w:spacing w:after="120" w:before="80"/>
      </w:pPr>
      <w:r>
        <w:rPr>
          <w:rFonts w:ascii="Arial" w:cs="Arial" w:eastAsia="Arial" w:hAnsi="Arial"/>
          <w:color w:val="4A4A4A"/>
          <w:sz w:val="20"/>
          <w:szCs w:val="20"/>
        </w:rPr>
        <w:t xml:space="preserve">Data Doctor supports two monitoring approaches, selectable based on operational requirements:</w:t>
      </w:r>
    </w:p>
    <w:p>
      <w:pPr>
        <w:pStyle w:val="ListParagraph"/>
        <w:numPr>
          <w:ilvl w:val="0"/>
          <w:numId w:val="2"/>
        </w:numPr>
        <w:spacing w:after="60" w:before="40"/>
      </w:pPr>
      <w:r>
        <w:rPr>
          <w:rFonts w:ascii="Arial" w:cs="Arial" w:eastAsia="Arial" w:hAnsi="Arial"/>
          <w:b/>
          <w:bCs/>
          <w:color w:val="4A4A4A"/>
          <w:sz w:val="20"/>
          <w:szCs w:val="20"/>
        </w:rPr>
        <w:t xml:space="preserve">On-Demand Diagnosis (MVP): </w:t>
      </w:r>
      <w:r>
        <w:rPr>
          <w:rFonts w:ascii="Arial" w:cs="Arial" w:eastAsia="Arial" w:hAnsi="Arial"/>
          <w:color w:val="4A4A4A"/>
          <w:sz w:val="20"/>
          <w:szCs w:val="20"/>
        </w:rPr>
        <w:t xml:space="preserve">On-Demand Diagnosis (MVP): A user submits a target asset FQN to the Data Doctor API, which immediately pulls the current state from OpenMetadata and analyses it synchronously. This is the recommended approach for MVP and hackathon demonstrations.</w:t>
      </w:r>
    </w:p>
    <w:p>
      <w:pPr>
        <w:pStyle w:val="ListParagraph"/>
        <w:numPr>
          <w:ilvl w:val="0"/>
          <w:numId w:val="2"/>
        </w:numPr>
        <w:spacing w:after="60" w:before="40"/>
      </w:pPr>
      <w:r>
        <w:rPr>
          <w:rFonts w:ascii="Arial" w:cs="Arial" w:eastAsia="Arial" w:hAnsi="Arial"/>
          <w:b/>
          <w:bCs/>
          <w:color w:val="4A4A4A"/>
          <w:sz w:val="20"/>
          <w:szCs w:val="20"/>
        </w:rPr>
        <w:t xml:space="preserve">Scheduled Polling (Enhancement): </w:t>
      </w:r>
      <w:r>
        <w:rPr>
          <w:rFonts w:ascii="Arial" w:cs="Arial" w:eastAsia="Arial" w:hAnsi="Arial"/>
          <w:color w:val="4A4A4A"/>
          <w:sz w:val="20"/>
          <w:szCs w:val="20"/>
        </w:rPr>
        <w:t xml:space="preserve">Scheduled Polling (Production Enhancement): A lightweight cron job (e.g., every 15 minutes) queries GET /v1/search/query or polls recent testCaseResult states, acting autonomously upon detecting failures.</w:t>
      </w:r>
    </w:p>
    <w:p>
      <w:pPr>
        <w:spacing w:after="40" w:before="60"/>
      </w:pPr>
    </w:p>
    <w:p>
      <w:pPr>
        <w:spacing w:after="120" w:before="80"/>
      </w:pPr>
      <w:r>
        <w:rPr>
          <w:rFonts w:ascii="Arial" w:cs="Arial" w:eastAsia="Arial" w:hAnsi="Arial"/>
          <w:b/>
          <w:bCs/>
          <w:color w:val="1B2A4A"/>
          <w:sz w:val="20"/>
          <w:szCs w:val="20"/>
        </w:rPr>
        <w:t xml:space="preserve">Note: </w:t>
      </w:r>
      <w:r>
        <w:rPr>
          <w:rFonts w:ascii="Arial" w:cs="Arial" w:eastAsia="Arial" w:hAnsi="Arial"/>
          <w:color w:val="4A4A4A"/>
          <w:sz w:val="20"/>
          <w:szCs w:val="20"/>
        </w:rPr>
        <w:t xml:space="preserve">Real-time streaming via Kafka is not required for Data Doctor. The OpenMetadata backend already centralises and indexes the current state, making on-demand polling both sufficient and performant.</w:t>
      </w:r>
    </w:p>
    <w:p>
      <w:pPr>
        <w:pStyle w:val="Heading2"/>
        <w:spacing w:after="120" w:before="280"/>
      </w:pPr>
      <w:r>
        <w:rPr>
          <w:rFonts w:ascii="Arial" w:cs="Arial" w:eastAsia="Arial" w:hAnsi="Arial"/>
          <w:b/>
          <w:bCs/>
          <w:color w:val="2E5F9E"/>
          <w:sz w:val="26"/>
          <w:szCs w:val="26"/>
        </w:rPr>
        <w:t xml:space="preserve">Detection Rule Specifications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800"/>
        <w:gridCol w:w="2860"/>
      </w:tblGrid>
      <w:tr>
        <w:tc>
          <w:tcPr>
            <w:tcW w:type="dxa" w:w="19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Anomaly Type</w:t>
            </w:r>
          </w:p>
        </w:tc>
        <w:tc>
          <w:tcPr>
            <w:tcW w:type="dxa" w:w="1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Entity Monitored</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Detection Logic (JSON Path)</w:t>
            </w:r>
          </w:p>
        </w:tc>
        <w:tc>
          <w:tcPr>
            <w:tcW w:type="dxa" w:w="28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Diagnostic Meaning</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Pipeline Failure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pipeline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taskStatus.executionStatus == 'Failed' or pipelineStatus.pipelineState == 'failed'</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The orchestration job responsible for transforming and loading data encountered a fatal runtime error, halting downstream data flow.</w:t>
            </w:r>
          </w:p>
        </w:tc>
      </w:tr>
      <w:tr>
        <w:tc>
          <w:tcPr>
            <w:tcW w:type="dxa" w:w="19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Stale Data</w:t>
            </w:r>
          </w:p>
        </w:tc>
        <w:tc>
          <w:tcPr>
            <w:tcW w:type="dxa" w:w="1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table</w:t>
            </w:r>
          </w:p>
        </w:tc>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Compare profile.timestamp or DML activity timestamps against an administratively defined SLA duration.</w:t>
            </w:r>
          </w:p>
        </w:tc>
        <w:tc>
          <w:tcPr>
            <w:tcW w:type="dxa" w:w="28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Data has not been refreshed within the expected operational window, indicating a silent failure in the ingestion or transformation layer.</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Schema Change (Breaking)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table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changeDescription.fieldsDeleted contains values, or fieldsUpdated indicates a destructive datatype change.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An upstream system dropped or structurally altered critical columns, causing immediate downstream ETL and reporting failures.</w:t>
            </w:r>
          </w:p>
        </w:tc>
      </w:tr>
      <w:tr>
        <w:tc>
          <w:tcPr>
            <w:tcW w:type="dxa" w:w="19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Data Quality Failure</w:t>
            </w:r>
          </w:p>
        </w:tc>
        <w:tc>
          <w:tcPr>
            <w:tcW w:type="dxa" w:w="1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testCase</w:t>
            </w:r>
          </w:p>
        </w:tc>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testCaseResult.testCaseStatus evaluates to 'Failed' or 'Aborted'.</w:t>
            </w:r>
          </w:p>
        </w:tc>
        <w:tc>
          <w:tcPr>
            <w:tcW w:type="dxa" w:w="28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Logical anomalies (null violations, entropy shifts, regex mismatches) violated data contracts, rendering the asset untrustworthy.</w:t>
            </w:r>
          </w:p>
        </w:tc>
      </w:tr>
    </w:tbl>
    <w:p>
      <w:pPr>
        <w:spacing w:after="80" w:before="120"/>
      </w:pPr>
    </w:p>
    <w:p>
      <w:pPr>
        <w:pStyle w:val="Heading2"/>
        <w:spacing w:after="120" w:before="280"/>
      </w:pPr>
      <w:r>
        <w:rPr>
          <w:rFonts w:ascii="Arial" w:cs="Arial" w:eastAsia="Arial" w:hAnsi="Arial"/>
          <w:b/>
          <w:bCs/>
          <w:color w:val="2E5F9E"/>
          <w:sz w:val="26"/>
          <w:szCs w:val="26"/>
        </w:rPr>
        <w:t xml:space="preserve">Python: Schema Anomaly Detection</w:t>
      </w:r>
    </w:p>
    <w:tbl>
      <w:tblPr>
        <w:tblW w:type="dxa" w:w="9200"/>
        <w:tblBorders>
          <w:top w:val="single" w:color="C0C8D8" w:sz="2"/>
          <w:left w:val="single" w:color="2E5F9E" w:sz="6"/>
          <w:bottom w:val="single" w:color="C0C8D8" w:sz="2"/>
          <w:right w:val="single" w:color="C0C8D8" w:sz="2"/>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from metadata.generated.schema.entity.data.table import Table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def detect_schema_anomalies(table_entity: Table) -&gt; list[str]:</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Evaluates a Table entity's changeDescription payload to detect</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structural schema anomalies. Returns a list of human-readable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anomaly descriptions, or an empty list if the asset is healthy.</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anomalies =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if hasattr(table_entity, 'changeDescription') and table_entity.changeDescription:</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changes = table_entity.changeDescription</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if changes.fieldsDeleted: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for deleted_field in changes.fieldsDeleted: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anomalies.append(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f"Destructive change detected: Column '{deleted_field.name}' was removed."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return anomalies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05</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Root Cause Analysis Engine</w:t>
            </w:r>
          </w:p>
        </w:tc>
      </w:tr>
    </w:tbl>
    <w:p>
      <w:pPr>
        <w:spacing w:after="80" w:before="160"/>
      </w:pPr>
    </w:p>
    <w:p>
      <w:pPr>
        <w:pStyle w:val="Heading2"/>
        <w:spacing w:after="120" w:before="280"/>
      </w:pPr>
      <w:r>
        <w:rPr>
          <w:rFonts w:ascii="Arial" w:cs="Arial" w:eastAsia="Arial" w:hAnsi="Arial"/>
          <w:b/>
          <w:bCs/>
          <w:color w:val="2E5F9E"/>
          <w:sz w:val="26"/>
          <w:szCs w:val="26"/>
        </w:rPr>
        <w:t xml:space="preserve">Design Overview</w:t>
      </w:r>
    </w:p>
    <w:p>
      <w:pPr>
        <w:spacing w:after="120" w:before="80"/>
      </w:pPr>
      <w:r>
        <w:rPr>
          <w:rFonts w:ascii="Arial" w:cs="Arial" w:eastAsia="Arial" w:hAnsi="Arial"/>
          <w:color w:val="4A4A4A"/>
          <w:sz w:val="20"/>
          <w:szCs w:val="20"/>
        </w:rPr>
        <w:t xml:space="preserve">The Root Cause Engine employs a deterministic graph traversal methodology to trace a localised anomaly backward to its exact systemic origin. Rather than stopping at the first anomaly encountered, the engine catalogues all upstream anomalies to build a comprehensive, ranked diagnosis. Results are categorised as:</w:t>
      </w:r>
    </w:p>
    <w:p>
      <w:pPr>
        <w:pStyle w:val="ListParagraph"/>
        <w:numPr>
          <w:ilvl w:val="0"/>
          <w:numId w:val="2"/>
        </w:numPr>
        <w:spacing w:after="60" w:before="40"/>
      </w:pPr>
      <w:r>
        <w:rPr>
          <w:rFonts w:ascii="Arial" w:cs="Arial" w:eastAsia="Arial" w:hAnsi="Arial"/>
          <w:color w:val="4A4A4A"/>
          <w:sz w:val="20"/>
          <w:szCs w:val="20"/>
        </w:rPr>
        <w:t xml:space="preserve">Primary Root Cause — The nearest upstream anomaly (minimum traversal depth), representing the most computationally probable origin of the failure.</w:t>
      </w:r>
    </w:p>
    <w:p>
      <w:pPr>
        <w:pStyle w:val="ListParagraph"/>
        <w:numPr>
          <w:ilvl w:val="0"/>
          <w:numId w:val="2"/>
        </w:numPr>
        <w:spacing w:after="60" w:before="40"/>
      </w:pPr>
      <w:r>
        <w:rPr>
          <w:rFonts w:ascii="Arial" w:cs="Arial" w:eastAsia="Arial" w:hAnsi="Arial"/>
          <w:color w:val="4A4A4A"/>
          <w:sz w:val="20"/>
          <w:szCs w:val="20"/>
        </w:rPr>
        <w:t xml:space="preserve">Contributing Factors — Additional anomalies found deeper in the graph during traversal (e.g., a data quality issue at depth 2 that preceded a pipeline failure at depth 1).</w:t>
      </w:r>
    </w:p>
    <w:p>
      <w:pPr>
        <w:pStyle w:val="Heading2"/>
        <w:spacing w:after="120" w:before="280"/>
      </w:pPr>
      <w:r>
        <w:rPr>
          <w:rFonts w:ascii="Arial" w:cs="Arial" w:eastAsia="Arial" w:hAnsi="Arial"/>
          <w:b/>
          <w:bCs/>
          <w:color w:val="2E5F9E"/>
          <w:sz w:val="26"/>
          <w:szCs w:val="26"/>
        </w:rPr>
        <w:t xml:space="preserve">Upstream BFS Traversal Algorithm</w:t>
      </w:r>
    </w:p>
    <w:p>
      <w:pPr>
        <w:spacing w:after="120" w:before="80"/>
      </w:pPr>
      <w:r>
        <w:rPr>
          <w:rFonts w:ascii="Arial" w:cs="Arial" w:eastAsia="Arial" w:hAnsi="Arial"/>
          <w:color w:val="4A4A4A"/>
          <w:sz w:val="20"/>
          <w:szCs w:val="20"/>
        </w:rPr>
        <w:t xml:space="preserve">The algorithm executes a Breadth-First Search (BFS) over an in-memory adjacency list constructed from the lineage graph. Each anomaly is logged alongside its integer depth value. Upon completion, anomalies are sorted by distance — designating the closest as the primary root cause and all others as contributing factors.</w:t>
      </w:r>
    </w:p>
    <w:p>
      <w:pPr>
        <w:spacing w:after="60" w:before="80"/>
      </w:pPr>
    </w:p>
    <w:tbl>
      <w:tblPr>
        <w:tblW w:type="dxa" w:w="9200"/>
        <w:tblBorders>
          <w:top w:val="single" w:color="C0C8D8" w:sz="2"/>
          <w:left w:val="single" w:color="2E5F9E" w:sz="6"/>
          <w:bottom w:val="single" w:color="C0C8D8" w:sz="2"/>
          <w:right w:val="single" w:color="C0C8D8" w:sz="2"/>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from collections import deque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from typing import Dict, List, Any</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def find_root_cause(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metadata_client, target_entity_id: str, target_type: str</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-&gt; Dict[str, Any]:</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Executes a Breadth-First Search upstream to identify all anomalies.</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Categorises results into primary root cause and contributing factors.</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lineage_graph = metadata_client.get_lineage_by_id(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entity=target_type, entity_id=target_entity_id,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up_depth=5, down_depth=0</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nodes_map       = {node['id']: node for node in lineage_graph.get('nodes',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upstream_adj    = build_adjacency_list(lineage_graph.get('upstreamEdges',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queue        = deque([(target_entity_id, 0)])</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visited      = {target_entity_id}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all_anomalies =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while queue: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current_id, depth = queue.popleft()</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for edge in upstream_adj.get(current_id,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parent_id  = edge['fromEntity']</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next_depth = depth + 1</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 Check for pipeline failures on the edge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if 'lineageDetails' in edge and 'pipeline' in edge: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pipeline_id = edge['pipeline']['id']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if fetch_pipeline_status(metadata_client, pipeline_id) == 'Failed':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all_anomalies.append({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"type": "pipeline_failure",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"name": edge["pipeline"]["name"],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"depth": next_depth</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if parent_id not in visited: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visited.add(parent_id)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parent_node = nodes_map.get(parent_id)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if parent_node: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node_anomalies = evaluate_observability_rules(metadata_client, parent_node)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for anomaly_type in node_anomalies:</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all_anomalies.append({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"type":  anomaly_type,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"name":  parent_node.get("name"),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"depth": next_depth</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queue.append((parent_id, next_depth))</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all_anomalies.sort(key=lambda x: x['depth'])</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return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"primary_root_cause":   all_anomalies[0] if all_anomalies else None,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"contributing_factors": all_anomalies[1:] if len(all_anomalies) &gt; 1 else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bl>
    <w:p>
      <w:pPr>
        <w:spacing w:after="80" w:before="120"/>
      </w:pPr>
    </w:p>
    <w:p>
      <w:pPr>
        <w:pStyle w:val="Heading2"/>
        <w:spacing w:after="120" w:before="280"/>
      </w:pPr>
      <w:r>
        <w:rPr>
          <w:rFonts w:ascii="Arial" w:cs="Arial" w:eastAsia="Arial" w:hAnsi="Arial"/>
          <w:b/>
          <w:bCs/>
          <w:color w:val="2E5F9E"/>
          <w:sz w:val="26"/>
          <w:szCs w:val="26"/>
        </w:rPr>
        <w:t xml:space="preserve">Example Engine Output</w:t>
      </w:r>
    </w:p>
    <w:tbl>
      <w:tblPr>
        <w:tblW w:type="dxa" w:w="9200"/>
        <w:tblBorders>
          <w:top w:val="single" w:color="C0C8D8" w:sz="2"/>
          <w:left w:val="single" w:color="2E5F9E" w:sz="6"/>
          <w:bottom w:val="single" w:color="C0C8D8" w:sz="2"/>
          <w:right w:val="single" w:color="C0C8D8" w:sz="2"/>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"primary_root_cause":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"type":  "pipeline_failure",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"name":  "orders_etl",</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"depth": 1</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"contributing_factors":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"type":  "data_quality_failure",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"name":  "orders_raw",</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"depth": 2</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06</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Confidence Scoring System</w:t>
            </w:r>
          </w:p>
        </w:tc>
      </w:tr>
    </w:tbl>
    <w:p>
      <w:pPr>
        <w:spacing w:after="80" w:before="160"/>
      </w:pPr>
    </w:p>
    <w:p>
      <w:pPr>
        <w:pStyle w:val="Heading2"/>
        <w:spacing w:after="120" w:before="280"/>
      </w:pPr>
      <w:r>
        <w:rPr>
          <w:rFonts w:ascii="Arial" w:cs="Arial" w:eastAsia="Arial" w:hAnsi="Arial"/>
          <w:b/>
          <w:bCs/>
          <w:color w:val="2E5F9E"/>
          <w:sz w:val="26"/>
          <w:szCs w:val="26"/>
        </w:rPr>
        <w:t xml:space="preserve">Overview</w:t>
      </w:r>
    </w:p>
    <w:p>
      <w:pPr>
        <w:spacing w:after="120" w:before="80"/>
      </w:pPr>
      <w:r>
        <w:rPr>
          <w:rFonts w:ascii="Arial" w:cs="Arial" w:eastAsia="Arial" w:hAnsi="Arial"/>
          <w:color w:val="4A4A4A"/>
          <w:sz w:val="20"/>
          <w:szCs w:val="20"/>
        </w:rPr>
        <w:t xml:space="preserve">Data Doctor combines a deterministic, rule-based confidence scoring algorithm with an AI reasoning layer to produce reliable, explainable diagnostics. The mathematical score evaluates the geometric certainty of the root cause by measuring its traversal distance from the target asset and the level of competing anomaly noise within the graph — providing a structured, auditable foundation. The AI layer then reviews this scored output alongside full system context to refine confidence assessments and surface additional signals that pure rule evaluation may not capture. The final score is clamped to the range [0.0, 1.0].</w:t>
      </w:r>
    </w:p>
    <w:p>
      <w:pPr>
        <w:pStyle w:val="Heading2"/>
        <w:spacing w:after="120" w:before="280"/>
      </w:pPr>
      <w:r>
        <w:rPr>
          <w:rFonts w:ascii="Arial" w:cs="Arial" w:eastAsia="Arial" w:hAnsi="Arial"/>
          <w:b/>
          <w:bCs/>
          <w:color w:val="2E5F9E"/>
          <w:sz w:val="26"/>
          <w:szCs w:val="26"/>
        </w:rPr>
        <w:t xml:space="preserve">Scoring Rules &amp; Modifiers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9"/>
                <w:szCs w:val="19"/>
              </w:rPr>
              <w:t xml:space="preserve">Modifier</w:t>
            </w:r>
          </w:p>
        </w:tc>
        <w:tc>
          <w:tcPr>
            <w:tcW w:type="dxa" w:w="6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9"/>
                <w:szCs w:val="19"/>
              </w:rPr>
              <w:t xml:space="preserve">Rule &amp; Value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Base Score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All diagnoses commence with a base score of 0.50.</w:t>
            </w:r>
          </w:p>
        </w:tc>
      </w:tr>
      <w:tr>
        <w:tc>
          <w:tcPr>
            <w:tcW w:type="dxa" w:w="24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Type Modifier — Strong Signal</w:t>
            </w:r>
          </w:p>
        </w:tc>
        <w:tc>
          <w:tcPr>
            <w:tcW w:type="dxa" w:w="69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+0.30 applied when the primary anomaly is a hard operational failure (e.g., Pipeline Failure, Schema Column Deletion).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Type Modifier — Soft Signal</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+0.10 applied when the primary anomaly is a soft failure (e.g., Stale Data, Data Quality Warning).</w:t>
            </w:r>
          </w:p>
        </w:tc>
      </w:tr>
      <w:tr>
        <w:tc>
          <w:tcPr>
            <w:tcW w:type="dxa" w:w="24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Distance Modifier — Depth 1</w:t>
            </w:r>
          </w:p>
        </w:tc>
        <w:tc>
          <w:tcPr>
            <w:tcW w:type="dxa" w:w="69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+0.20 applied when the primary anomaly is immediately upstream (depth == 1). Confidence degrades with distance; no bonus is applied at depth ≥ 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Noise Penalty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−0.10 deducted for each additional anomaly found in contributing_factors. Multiple concurrent failures cloud the certainty of the specific root cause.</w:t>
            </w:r>
          </w:p>
        </w:tc>
      </w:tr>
    </w:tbl>
    <w:p>
      <w:pPr>
        <w:spacing w:after="80" w:before="120"/>
      </w:pPr>
    </w:p>
    <w:p>
      <w:pPr>
        <w:pStyle w:val="Heading2"/>
        <w:spacing w:after="120" w:before="280"/>
      </w:pPr>
      <w:r>
        <w:rPr>
          <w:rFonts w:ascii="Arial" w:cs="Arial" w:eastAsia="Arial" w:hAnsi="Arial"/>
          <w:b/>
          <w:bCs/>
          <w:color w:val="2E5F9E"/>
          <w:sz w:val="26"/>
          <w:szCs w:val="26"/>
        </w:rPr>
        <w:t xml:space="preserve">Implementation</w:t>
      </w:r>
    </w:p>
    <w:tbl>
      <w:tblPr>
        <w:tblW w:type="dxa" w:w="9200"/>
        <w:tblBorders>
          <w:top w:val="single" w:color="C0C8D8" w:sz="2"/>
          <w:left w:val="single" w:color="2E5F9E" w:sz="6"/>
          <w:bottom w:val="single" w:color="C0C8D8" w:sz="2"/>
          <w:right w:val="single" w:color="C0C8D8" w:sz="2"/>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def calculate_confidence_score(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primary_cause: dict,</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contributing_factors: list</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-&gt; float:</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Calculates a deterministic confidence score in the range [0.0, 1.0].</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Inputs are the structured outputs of the Root Cause Engine.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if not primary_cause: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return 0.0</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score = 0.5  # Base score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 Type signal modifier</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high_signal_types = ['pipeline_failure', 'schema_change']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score += 0.3 if primary_cause.get('type') in high_signal_types else 0.1</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 Distance modifier (confidence degrades with depth)</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if primary_cause.get('depth') == 1:</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score += 0.2</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 Noise penalty for competing anomalies</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score -= 0.1 * len(contributing_factors)</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return max(0.0, min(1.0, score))  # Clamp to [0.0, 1.0]</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07</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Downstream Impact Analysis</w:t>
            </w:r>
          </w:p>
        </w:tc>
      </w:tr>
    </w:tbl>
    <w:p>
      <w:pPr>
        <w:spacing w:after="80" w:before="160"/>
      </w:pPr>
    </w:p>
    <w:p>
      <w:pPr>
        <w:pStyle w:val="Heading2"/>
        <w:spacing w:after="120" w:before="280"/>
      </w:pPr>
      <w:r>
        <w:rPr>
          <w:rFonts w:ascii="Arial" w:cs="Arial" w:eastAsia="Arial" w:hAnsi="Arial"/>
          <w:b/>
          <w:bCs/>
          <w:color w:val="2E5F9E"/>
          <w:sz w:val="26"/>
          <w:szCs w:val="26"/>
        </w:rPr>
        <w:t xml:space="preserve">Overview</w:t>
      </w:r>
    </w:p>
    <w:p>
      <w:pPr>
        <w:spacing w:after="120" w:before="80"/>
      </w:pPr>
      <w:r>
        <w:rPr>
          <w:rFonts w:ascii="Arial" w:cs="Arial" w:eastAsia="Arial" w:hAnsi="Arial"/>
          <w:color w:val="4A4A4A"/>
          <w:sz w:val="20"/>
          <w:szCs w:val="20"/>
        </w:rPr>
        <w:t xml:space="preserve">When an anomaly is detected at a source, Data Doctor computes the downstream blast radius to determine the full systemic impact. Impact analysis ensures data stewards understand precisely which dashboards, machine learning models, and executive aggregates are tainted by an upstream failure before remediation actions are taken.</w:t>
      </w:r>
    </w:p>
    <w:p>
      <w:pPr>
        <w:pStyle w:val="Heading2"/>
        <w:spacing w:after="120" w:before="280"/>
      </w:pPr>
      <w:r>
        <w:rPr>
          <w:rFonts w:ascii="Arial" w:cs="Arial" w:eastAsia="Arial" w:hAnsi="Arial"/>
          <w:b/>
          <w:bCs/>
          <w:color w:val="2E5F9E"/>
          <w:sz w:val="26"/>
          <w:szCs w:val="26"/>
        </w:rPr>
        <w:t xml:space="preserve">Blast Radius Computation</w:t>
      </w:r>
    </w:p>
    <w:p>
      <w:pPr>
        <w:spacing w:after="120" w:before="80"/>
      </w:pPr>
      <w:r>
        <w:rPr>
          <w:rFonts w:ascii="Arial" w:cs="Arial" w:eastAsia="Arial" w:hAnsi="Arial"/>
          <w:color w:val="4A4A4A"/>
          <w:sz w:val="20"/>
          <w:szCs w:val="20"/>
        </w:rPr>
        <w:t xml:space="preserve">The impact engine employs a parallel BFS traversal over the downstreamEdges array. The objective is to compile an exhaustive, categorised list of all terminal nodes affected by the propagating anomaly.</w:t>
      </w:r>
    </w:p>
    <w:p>
      <w:pPr>
        <w:spacing w:after="60" w:before="80"/>
      </w:pPr>
    </w:p>
    <w:tbl>
      <w:tblPr>
        <w:tblW w:type="dxa" w:w="9200"/>
        <w:tblBorders>
          <w:top w:val="single" w:color="C0C8D8" w:sz="2"/>
          <w:left w:val="single" w:color="2E5F9E" w:sz="6"/>
          <w:bottom w:val="single" w:color="C0C8D8" w:sz="2"/>
          <w:right w:val="single" w:color="C0C8D8" w:sz="2"/>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def compute_blast_radius(</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metadata_client, root_entity_id: str, root_type: str</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-&gt; Dict[str, List]:</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Executes a downstream BFS to calculate the systemic blast radius.</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Returns categorised affected assets by entity type.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lineage_graph = metadata_client.get_lineage_by_id(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entity=root_type, entity_id=root_entity_id,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up_depth=0, down_depth=5</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nodes_map    = {node['id']: node for node in lineage_graph.get('nodes',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downstream_adj =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for edge in lineage_graph.get('downstreamEdges',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from_id = edge.get('fromEntity')</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downstream_adj.setdefault(from_id, []).append(edge.get('toEntity'))</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queue   = deque([root_entity_id])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visited = {root_entity_id}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affected = {"tables": [], "dashboards": [], "ml_models":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while queue: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current_id = queue.popleft()</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for child_id in downstream_adj.get(current_id,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if child_id not in visited: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visited.add(child_id)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child_node = nodes_map.get(child_id)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if child_node: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entity_type = child_node.get('type')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if entity_type == "table":     affected["tables"].append(child_node)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elif entity_type == "dashboard": affected["dashboards"].append(child_node)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elif entity_type == "mlmodel":  affected["ml_models"].append(child_node)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queue.append(child_id)</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return affected</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08</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Suggested Fixes &amp; Remediation Engine</w:t>
            </w:r>
          </w:p>
        </w:tc>
      </w:tr>
    </w:tbl>
    <w:p>
      <w:pPr>
        <w:spacing w:after="80" w:before="160"/>
      </w:pPr>
    </w:p>
    <w:p>
      <w:pPr>
        <w:pStyle w:val="Heading2"/>
        <w:spacing w:after="120" w:before="280"/>
      </w:pPr>
      <w:r>
        <w:rPr>
          <w:rFonts w:ascii="Arial" w:cs="Arial" w:eastAsia="Arial" w:hAnsi="Arial"/>
          <w:b/>
          <w:bCs/>
          <w:color w:val="2E5F9E"/>
          <w:sz w:val="26"/>
          <w:szCs w:val="26"/>
        </w:rPr>
        <w:t xml:space="preserve">Rule-Based Remediation Mapping</w:t>
      </w:r>
    </w:p>
    <w:p>
      <w:pPr>
        <w:spacing w:after="120" w:before="80"/>
      </w:pPr>
      <w:r>
        <w:rPr>
          <w:rFonts w:ascii="Arial" w:cs="Arial" w:eastAsia="Arial" w:hAnsi="Arial"/>
          <w:color w:val="4A4A4A"/>
          <w:sz w:val="20"/>
          <w:szCs w:val="20"/>
        </w:rPr>
        <w:t xml:space="preserve">Data Doctor ensures operational safety by relying exclusively on deterministic, rule-based mappings. The suggestion engine guarantees that the suggested_fixes array is always populated with at least one structured, actionable JSON object directly linked to a specific target entity.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Detected Issue</w:t>
            </w:r>
          </w:p>
        </w:tc>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Diagnostic Logic</w:t>
            </w:r>
          </w:p>
        </w:tc>
        <w:tc>
          <w:tcPr>
            <w:tcW w:type="dxa" w:w="4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Structured Action Format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Pipeline Status: Failed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Pipeline execution halted due to transient environmental faults.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 "action": "rerun_pipeline", "target": "&lt;pipeline_name&gt;", "description": "Rerun the failed Airflow DAG from last checkpoint." }</w:t>
            </w:r>
          </w:p>
        </w:tc>
      </w:tr>
      <w:tr>
        <w:tc>
          <w:tcPr>
            <w:tcW w:type="dxa" w:w="20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Schema Change: Column Deleted</w:t>
            </w:r>
          </w:p>
        </w:tc>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Upstream provider broke the structural contract by dropping a column.</w:t>
            </w:r>
          </w:p>
        </w:tc>
        <w:tc>
          <w:tcPr>
            <w:tcW w:type="dxa" w:w="45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 "action": "update_schema", "target": "&lt;downstream_view&gt;", "description": "Remove deleted column reference from downstream views/dbt models." }</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Stale Data (Freshness SLA Breach)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Table timestamp SLA violated, indicating a silent ingestion failure.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 "action": "force_backfill", "target": "&lt;table_name&gt;", "description": "Trigger a historical backfill DAG to restore missing partitions." }</w:t>
            </w:r>
          </w:p>
        </w:tc>
      </w:tr>
      <w:tr>
        <w:tc>
          <w:tcPr>
            <w:tcW w:type="dxa" w:w="20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Data Quality: Null / Range Failure</w:t>
            </w:r>
          </w:p>
        </w:tc>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testCaseResult shows primary key null violations or range breaches.</w:t>
            </w:r>
          </w:p>
        </w:tc>
        <w:tc>
          <w:tcPr>
            <w:tcW w:type="dxa" w:w="45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 "action": "quarantine_data", "target": "&lt;table_name&gt;", "description": "Implement data contract validation to isolate anomalous rows." }</w:t>
            </w:r>
          </w:p>
        </w:tc>
      </w:tr>
    </w:tbl>
    <w:p>
      <w:pPr>
        <w:spacing w:after="80" w:before="120"/>
      </w:pPr>
    </w:p>
    <w:p>
      <w:pPr>
        <w:pStyle w:val="Heading2"/>
        <w:spacing w:after="120" w:before="280"/>
      </w:pPr>
      <w:r>
        <w:rPr>
          <w:rFonts w:ascii="Arial" w:cs="Arial" w:eastAsia="Arial" w:hAnsi="Arial"/>
          <w:b/>
          <w:bCs/>
          <w:color w:val="2E5F9E"/>
          <w:sz w:val="26"/>
          <w:szCs w:val="26"/>
        </w:rPr>
        <w:t xml:space="preserve">AI-Augmented Suggestion Layer</w:t>
      </w:r>
    </w:p>
    <w:p>
      <w:pPr>
        <w:spacing w:after="120" w:before="80"/>
      </w:pPr>
      <w:r>
        <w:rPr>
          <w:rFonts w:ascii="Arial" w:cs="Arial" w:eastAsia="Arial" w:hAnsi="Arial"/>
          <w:color w:val="4A4A4A"/>
          <w:sz w:val="20"/>
          <w:szCs w:val="20"/>
        </w:rPr>
        <w:t xml:space="preserve">The deterministic mapping matrix provides the foundational set of actionable fix objects — a reliable, auditable baseline grounded in researched industry rules. The AI layer then operates with full context: it receives the complete diagnostic payload (anomaly type, affected assets, confidence score, blast radius, and the base fix set) alongside the researched rule library, and uses this context to refine existing suggestions and surface additional remediation options that the static rule matrix may not anticipate. This hybrid model ensures every diagnosis is both deterministically sound and intelligently enriched.</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09</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Governance &amp; Asset Tagging</w:t>
            </w:r>
          </w:p>
        </w:tc>
      </w:tr>
    </w:tbl>
    <w:p>
      <w:pPr>
        <w:spacing w:after="80" w:before="160"/>
      </w:pPr>
    </w:p>
    <w:p>
      <w:pPr>
        <w:pStyle w:val="Heading2"/>
        <w:spacing w:after="120" w:before="280"/>
      </w:pPr>
      <w:r>
        <w:rPr>
          <w:rFonts w:ascii="Arial" w:cs="Arial" w:eastAsia="Arial" w:hAnsi="Arial"/>
          <w:b/>
          <w:bCs/>
          <w:color w:val="2E5F9E"/>
          <w:sz w:val="26"/>
          <w:szCs w:val="26"/>
        </w:rPr>
        <w:t xml:space="preserve">Programmatic Asset Quarantine</w:t>
      </w:r>
    </w:p>
    <w:p>
      <w:pPr>
        <w:spacing w:after="120" w:before="80"/>
      </w:pPr>
      <w:r>
        <w:rPr>
          <w:rFonts w:ascii="Arial" w:cs="Arial" w:eastAsia="Arial" w:hAnsi="Arial"/>
          <w:color w:val="4A4A4A"/>
          <w:sz w:val="20"/>
          <w:szCs w:val="20"/>
        </w:rPr>
        <w:t xml:space="preserve">OpenMetadata's governance features allow Data Doctor to programmatically quarantine and flag tainted assets during an incident. This ensures that downstream data consumers and automated ML pipelines are systematically warned before utilising compromised tables or dashboards. Tags are dynamically modified by executing an HTTP PATCH request using the JSON Merge Patch standard (Content-Type: application/json-patch+json) against the specific entity endpoint.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9"/>
                <w:szCs w:val="19"/>
              </w:rPr>
              <w:t xml:space="preserve">Governance Action</w:t>
            </w:r>
          </w:p>
        </w:tc>
        <w:tc>
          <w:tcPr>
            <w:tcW w:type="dxa" w:w="7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9"/>
                <w:szCs w:val="19"/>
              </w:rPr>
              <w:t xml:space="preserve">JSON Patch Payload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Mark Asset as Unreliable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 "op": "add", "path": "/tags/-", "value": { "tagFQN": "Status.Unreliable", "source": "Classification", "labelType": "Automated", "state": "Confirmed" } }]</w:t>
            </w:r>
          </w:p>
        </w:tc>
      </w:tr>
      <w:tr>
        <w:tc>
          <w:tcPr>
            <w:tcW w:type="dxa" w:w="2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Remove Unreliable Flag</w:t>
            </w:r>
          </w:p>
        </w:tc>
        <w:tc>
          <w:tcPr>
            <w:tcW w:type="dxa" w:w="7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 "op": "remove", "path": "/tags/0" }]</w:t>
            </w:r>
          </w:p>
        </w:tc>
      </w:tr>
    </w:tbl>
    <w:p>
      <w:pPr>
        <w:spacing w:after="80" w:before="100"/>
      </w:pPr>
    </w:p>
    <w:p>
      <w:pPr>
        <w:spacing w:after="120" w:before="80"/>
      </w:pPr>
      <w:r>
        <w:rPr>
          <w:rFonts w:ascii="Arial" w:cs="Arial" w:eastAsia="Arial" w:hAnsi="Arial"/>
          <w:color w:val="4A4A4A"/>
          <w:sz w:val="20"/>
          <w:szCs w:val="20"/>
        </w:rPr>
        <w:t xml:space="preserve">By programmatically patching the tags array at the entity level, Data Doctor ensures that the native OpenMetadata user interface instantly reflects the current incident status, maintaining a single, consistent view of asset health across the organisation.</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10</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Backend Architecture</w:t>
            </w:r>
          </w:p>
        </w:tc>
      </w:tr>
    </w:tbl>
    <w:p>
      <w:pPr>
        <w:spacing w:after="80" w:before="160"/>
      </w:pPr>
    </w:p>
    <w:p>
      <w:pPr>
        <w:pStyle w:val="Heading2"/>
        <w:spacing w:after="120" w:before="280"/>
      </w:pPr>
      <w:r>
        <w:rPr>
          <w:rFonts w:ascii="Arial" w:cs="Arial" w:eastAsia="Arial" w:hAnsi="Arial"/>
          <w:b/>
          <w:bCs/>
          <w:color w:val="2E5F9E"/>
          <w:sz w:val="26"/>
          <w:szCs w:val="26"/>
        </w:rPr>
        <w:t xml:space="preserve">Technology Stack</w:t>
      </w:r>
    </w:p>
    <w:p>
      <w:pPr>
        <w:spacing w:after="120" w:before="80"/>
      </w:pPr>
      <w:r>
        <w:rPr>
          <w:rFonts w:ascii="Arial" w:cs="Arial" w:eastAsia="Arial" w:hAnsi="Arial"/>
          <w:color w:val="4A4A4A"/>
          <w:sz w:val="20"/>
          <w:szCs w:val="20"/>
        </w:rPr>
        <w:t xml:space="preserve">The Data Doctor backend is engineered as a lightweight, stateless microservice utilising Python and FastAPI. FastAPI's native integration with Pydantic aligns with OpenMetadata's schema-first JSON outputs, ensuring robust validation at every integration boundary.</w:t>
      </w:r>
    </w:p>
    <w:p>
      <w:pPr>
        <w:spacing w:after="40" w:before="60"/>
      </w:pPr>
    </w:p>
    <w:tbl>
      <w:tblPr>
        <w:tblW w:type="dxa" w:w="9200"/>
        <w:tblBorders>
          <w:top w:val="single" w:color="E8A020" w:sz="2"/>
          <w:left w:val="single" w:color="E8A020" w:sz="10"/>
          <w:bottom w:val="single" w:color="E8A020" w:sz="2"/>
          <w:right w:val="single" w:color="E8A020" w:sz="2"/>
          <w:insideH w:val="single" w:color="auto" w:sz="4"/>
          <w:insideV w:val="single" w:color="auto" w:sz="4"/>
        </w:tblBorders>
      </w:tblPr>
      <w:tblGrid>
        <w:gridCol w:w="200"/>
        <w:gridCol w:w="9000"/>
      </w:tblGrid>
      <w:tr>
        <w:tc>
          <w:tcPr>
            <w:tcBorders>
              <w:top w:val="none" w:color="FFFFFF" w:sz="0"/>
              <w:left w:val="none" w:color="FFFFFF" w:sz="0"/>
              <w:bottom w:val="none" w:color="FFFFFF" w:sz="0"/>
              <w:right w:val="none" w:color="FFFFFF" w:sz="0"/>
            </w:tcBorders>
            <w:shd w:fill="FFF8EC" w:val="clear"/>
            <w:tcMar>
              <w:top w:type="dxa" w:w="80"/>
              <w:left w:type="dxa" w:w="120"/>
              <w:bottom w:type="dxa" w:w="80"/>
              <w:right w:type="dxa" w:w="60"/>
            </w:tcMar>
          </w:tcPr>
          <w:p>
            <w:r>
              <w:rPr>
                <w:rFonts w:ascii="Arial" w:cs="Arial" w:eastAsia="Arial" w:hAnsi="Arial"/>
                <w:color w:val="E8A020"/>
                <w:sz w:val="22"/>
                <w:szCs w:val="22"/>
              </w:rPr>
              <w:t xml:space="preserve">⚠</w:t>
            </w:r>
          </w:p>
        </w:tc>
        <w:tc>
          <w:tcPr>
            <w:tcBorders>
              <w:top w:val="none" w:color="FFFFFF" w:sz="0"/>
              <w:left w:val="none" w:color="FFFFFF" w:sz="0"/>
              <w:bottom w:val="none" w:color="FFFFFF" w:sz="0"/>
              <w:right w:val="none" w:color="FFFFFF" w:sz="0"/>
            </w:tcBorders>
            <w:shd w:fill="FFF8EC" w:val="clear"/>
            <w:tcMar>
              <w:top w:type="dxa" w:w="80"/>
              <w:left w:type="dxa" w:w="60"/>
              <w:bottom w:type="dxa" w:w="80"/>
              <w:right w:type="dxa" w:w="120"/>
            </w:tcMar>
          </w:tcPr>
          <w:p>
            <w:r>
              <w:rPr>
                <w:rFonts w:ascii="Arial" w:cs="Arial" w:eastAsia="Arial" w:hAnsi="Arial"/>
                <w:color w:val="7A4800"/>
                <w:sz w:val="19"/>
                <w:szCs w:val="19"/>
              </w:rPr>
              <w:t xml:space="preserve">Critical Constraint: Data Doctor relies entirely on OpenMetadata as its exclusive state store. It must never spin up, manage, or persist data to a secondary relational or graph database. Every request for state, lineage, or metrics is dynamically fetched from the OpenMetadata API in real time.</w:t>
            </w:r>
          </w:p>
        </w:tc>
      </w:tr>
    </w:tbl>
    <w:p>
      <w:pPr>
        <w:spacing w:after="80" w:before="120"/>
      </w:pPr>
    </w:p>
    <w:p>
      <w:pPr>
        <w:pStyle w:val="Heading2"/>
        <w:spacing w:after="120" w:before="280"/>
      </w:pPr>
      <w:r>
        <w:rPr>
          <w:rFonts w:ascii="Arial" w:cs="Arial" w:eastAsia="Arial" w:hAnsi="Arial"/>
          <w:b/>
          <w:bCs/>
          <w:color w:val="2E5F9E"/>
          <w:sz w:val="26"/>
          <w:szCs w:val="26"/>
        </w:rPr>
        <w:t xml:space="preserve">Processing Pipeline</w:t>
      </w:r>
    </w:p>
    <w:p>
      <w:pPr>
        <w:spacing w:after="120" w:before="80"/>
      </w:pPr>
      <w:r>
        <w:rPr>
          <w:rFonts w:ascii="Arial" w:cs="Arial" w:eastAsia="Arial" w:hAnsi="Arial"/>
          <w:color w:val="4A4A4A"/>
          <w:sz w:val="20"/>
          <w:szCs w:val="20"/>
        </w:rPr>
        <w:t xml:space="preserve">Data Doctor processes each diagnostic request through a sequential, five-stage pipeline:</w:t>
      </w:r>
    </w:p>
    <w:p>
      <w:pPr>
        <w:pStyle w:val="ListParagraph"/>
        <w:numPr>
          <w:ilvl w:val="0"/>
          <w:numId w:val="2"/>
        </w:numPr>
        <w:spacing w:after="60" w:before="40"/>
      </w:pPr>
      <w:r>
        <w:rPr>
          <w:rFonts w:ascii="Arial" w:cs="Arial" w:eastAsia="Arial" w:hAnsi="Arial"/>
          <w:color w:val="4A4A4A"/>
          <w:sz w:val="20"/>
          <w:szCs w:val="20"/>
        </w:rPr>
        <w:t xml:space="preserve">Stage 1 — API Entrypoint: The FastAPI router accepts an asset FQN and initiates the diagnostic workflow.</w:t>
      </w:r>
    </w:p>
    <w:p>
      <w:pPr>
        <w:pStyle w:val="ListParagraph"/>
        <w:numPr>
          <w:ilvl w:val="0"/>
          <w:numId w:val="2"/>
        </w:numPr>
        <w:spacing w:after="60" w:before="40"/>
      </w:pPr>
      <w:r>
        <w:rPr>
          <w:rFonts w:ascii="Arial" w:cs="Arial" w:eastAsia="Arial" w:hAnsi="Arial"/>
          <w:color w:val="4A4A4A"/>
          <w:sz w:val="20"/>
          <w:szCs w:val="20"/>
        </w:rPr>
        <w:t xml:space="preserve">Stage 2 — Detection Engine: Evaluates the target asset against all configured detection rules.</w:t>
      </w:r>
    </w:p>
    <w:p>
      <w:pPr>
        <w:pStyle w:val="ListParagraph"/>
        <w:numPr>
          <w:ilvl w:val="0"/>
          <w:numId w:val="2"/>
        </w:numPr>
        <w:spacing w:after="60" w:before="40"/>
      </w:pPr>
      <w:r>
        <w:rPr>
          <w:rFonts w:ascii="Arial" w:cs="Arial" w:eastAsia="Arial" w:hAnsi="Arial"/>
          <w:color w:val="4A4A4A"/>
          <w:sz w:val="20"/>
          <w:szCs w:val="20"/>
        </w:rPr>
        <w:t xml:space="preserve">Stage 3 — Root Cause &amp; Impact Engine: Fetches the lineage subgraph and executes BFS in both directions to identify primary causes and downstream blast radius.</w:t>
      </w:r>
    </w:p>
    <w:p>
      <w:pPr>
        <w:pStyle w:val="ListParagraph"/>
        <w:numPr>
          <w:ilvl w:val="0"/>
          <w:numId w:val="2"/>
        </w:numPr>
        <w:spacing w:after="60" w:before="40"/>
      </w:pPr>
      <w:r>
        <w:rPr>
          <w:rFonts w:ascii="Arial" w:cs="Arial" w:eastAsia="Arial" w:hAnsi="Arial"/>
          <w:color w:val="4A4A4A"/>
          <w:sz w:val="20"/>
          <w:szCs w:val="20"/>
        </w:rPr>
        <w:t xml:space="preserve">Stage 4 — Confidence Scoring: Applies the deterministic mathematical model to score the diagnosis.</w:t>
      </w:r>
    </w:p>
    <w:p>
      <w:pPr>
        <w:pStyle w:val="ListParagraph"/>
        <w:numPr>
          <w:ilvl w:val="0"/>
          <w:numId w:val="2"/>
        </w:numPr>
        <w:spacing w:after="60" w:before="40"/>
      </w:pPr>
      <w:r>
        <w:rPr>
          <w:rFonts w:ascii="Arial" w:cs="Arial" w:eastAsia="Arial" w:hAnsi="Arial"/>
          <w:color w:val="4A4A4A"/>
          <w:sz w:val="20"/>
          <w:szCs w:val="20"/>
        </w:rPr>
        <w:t xml:space="preserve">Stage 5 — Suggestion Engine: Maps the incident profile to a structured array of actionable fix objects.</w:t>
      </w:r>
    </w:p>
    <w:p>
      <w:pPr>
        <w:pStyle w:val="ListParagraph"/>
        <w:numPr>
          <w:ilvl w:val="0"/>
          <w:numId w:val="2"/>
        </w:numPr>
        <w:spacing w:after="60" w:before="40"/>
      </w:pPr>
      <w:r>
        <w:rPr>
          <w:rFonts w:ascii="Arial" w:cs="Arial" w:eastAsia="Arial" w:hAnsi="Arial"/>
          <w:color w:val="4A4A4A"/>
          <w:sz w:val="20"/>
          <w:szCs w:val="20"/>
        </w:rPr>
        <w:t xml:space="preserve">Stage 6 — AI Augmentation Layer: Reviews the full diagnostic context alongside the researched rule library to refine suggestions, generate polished Slack notifications, and produce DDL SQL remediation scripts.</w:t>
      </w:r>
    </w:p>
    <w:p>
      <w:pPr>
        <w:spacing w:after="80" w:before="120"/>
      </w:pPr>
    </w:p>
    <w:p>
      <w:pPr>
        <w:pStyle w:val="Heading2"/>
        <w:spacing w:after="120" w:before="280"/>
      </w:pPr>
      <w:r>
        <w:rPr>
          <w:rFonts w:ascii="Arial" w:cs="Arial" w:eastAsia="Arial" w:hAnsi="Arial"/>
          <w:b/>
          <w:bCs/>
          <w:color w:val="2E5F9E"/>
          <w:sz w:val="26"/>
          <w:szCs w:val="26"/>
        </w:rPr>
        <w:t xml:space="preserve">Module Responsibilities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9"/>
                <w:szCs w:val="19"/>
              </w:rPr>
              <w:t xml:space="preserve">Module</w:t>
            </w:r>
          </w:p>
        </w:tc>
        <w:tc>
          <w:tcPr>
            <w:tcW w:type="dxa" w:w="65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9"/>
                <w:szCs w:val="19"/>
              </w:rPr>
              <w:t xml:space="preserve">Core 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api_client.py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Instantiates OpenMetadataConnection and safely wraps all API operations with error handling.</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detection_engine.py</w:t>
            </w:r>
          </w:p>
        </w:tc>
        <w:tc>
          <w:tcPr>
            <w:tcW w:type="dxa" w:w="65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Evaluates assets against all detection rules: Freshness, Pipeline Status, Schema Evolution, and Data Quality.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lineage_engine.py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Fetches and parses JSON lineage graphs, constructing upstreamEdges and downstreamEdges adjacency lists.</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root_cause_engine.py</w:t>
            </w:r>
          </w:p>
        </w:tc>
        <w:tc>
          <w:tcPr>
            <w:tcW w:type="dxa" w:w="65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Executes upstream BFS. Returns a structured dict containing primary_root_cause and contributing_factors arrays.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impact_engine.py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Executes downstream BFS to calculate the systemic blast radius, categorised by asset type.</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confidence_scoring.py</w:t>
            </w:r>
          </w:p>
        </w:tc>
        <w:tc>
          <w:tcPr>
            <w:tcW w:type="dxa" w:w="65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Ingests root cause engine output and computes a deterministic mathematical confidence score [0.0, 1.0].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suggestion_engine.py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Ingests the incident profile and outputs a non-empty array of structured fix objects (action, target, description).</w:t>
            </w:r>
          </w:p>
        </w:tc>
      </w:tr>
      <w:tr>
        <w:tc>
          <w:tcPr>
            <w:tcW w:type="dxa" w:w="28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ai_layer.py</w:t>
            </w:r>
          </w:p>
        </w:tc>
        <w:tc>
          <w:tcPr>
            <w:tcW w:type="dxa" w:w="65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Receives the full diagnostic payload and researched rule context. Refines base fix suggestions, surfaces additional remediation options, and generates Markdown reports and DDL SQL scripts.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11</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Implementation Plan &amp; Sprint Phases</w:t>
            </w:r>
          </w:p>
        </w:tc>
      </w:tr>
    </w:tbl>
    <w:p>
      <w:pPr>
        <w:spacing w:after="80" w:before="160"/>
      </w:pPr>
    </w:p>
    <w:p>
      <w:pPr>
        <w:spacing w:after="120" w:before="80"/>
      </w:pPr>
      <w:r>
        <w:rPr>
          <w:rFonts w:ascii="Arial" w:cs="Arial" w:eastAsia="Arial" w:hAnsi="Arial"/>
          <w:color w:val="4A4A4A"/>
          <w:sz w:val="20"/>
          <w:szCs w:val="20"/>
        </w:rPr>
        <w:t xml:space="preserve">The Data Doctor system is delivered across five discrete, incremental phases. Each phase builds upon the verified output of its predecessor, ensuring a stable and demonstrable system at every milestone.</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400"/>
        <w:gridCol w:w="3160"/>
      </w:tblGrid>
      <w:tr>
        <w:tc>
          <w:tcPr>
            <w:tcW w:type="dxa" w:w="1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Phase</w:t>
            </w:r>
          </w:p>
        </w:tc>
        <w:tc>
          <w:tcPr>
            <w:tcW w:type="dxa" w:w="22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Milestone</w:t>
            </w:r>
          </w:p>
        </w:tc>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Primary Modules</w:t>
            </w:r>
          </w:p>
        </w:tc>
        <w:tc>
          <w:tcPr>
            <w:tcW w:type="dxa" w:w="31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8"/>
                <w:szCs w:val="18"/>
              </w:rPr>
              <w:t xml:space="preserve">Deliverables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Phase 1: MVP</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Connectivity &amp; Detection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api_client.py, detection_engine.py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Establish JWT authentication. Implement Pydantic models for core detection rules. Verify the system accurately flags a broken table.</w:t>
            </w:r>
          </w:p>
        </w:tc>
      </w:tr>
      <w:tr>
        <w:tc>
          <w:tcPr>
            <w:tcW w:type="dxa" w:w="1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Phase 2: Traversal</w:t>
            </w:r>
          </w:p>
        </w:tc>
        <w:tc>
          <w:tcPr>
            <w:tcW w:type="dxa" w:w="2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Root Cause Engine</w:t>
            </w:r>
          </w:p>
        </w:tc>
        <w:tc>
          <w:tcPr>
            <w:tcW w:type="dxa" w:w="24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lineage_engine.py, root_cause_engine.py</w:t>
            </w:r>
          </w:p>
        </w:tc>
        <w:tc>
          <w:tcPr>
            <w:tcW w:type="dxa" w:w="3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Parse /api/v1/lineage response. Implement upstream BFS algorithm tracking primary and secondary anomaly factors.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Phase 3: Logic</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Confidence &amp; Impact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confidence_scoring.py, impact_engine.py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Build the deterministic confidence scoring model. Implement downstream BFS for blast radius calculation.</w:t>
            </w:r>
          </w:p>
        </w:tc>
      </w:tr>
      <w:tr>
        <w:tc>
          <w:tcPr>
            <w:tcW w:type="dxa" w:w="1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Phase 4: API</w:t>
            </w:r>
          </w:p>
        </w:tc>
        <w:tc>
          <w:tcPr>
            <w:tcW w:type="dxa" w:w="22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Orchestration &amp; Fixes</w:t>
            </w:r>
          </w:p>
        </w:tc>
        <w:tc>
          <w:tcPr>
            <w:tcW w:type="dxa" w:w="24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main.py, suggestion_engine.py</w:t>
            </w:r>
          </w:p>
        </w:tc>
        <w:tc>
          <w:tcPr>
            <w:tcW w:type="dxa" w:w="31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Build the rule-to-fix mapping matrix. Wrap all logic in FastAPI routes for on-demand analysis.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Phase 5: Polish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AI Enhancement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ai_layer.py</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8"/>
                <w:szCs w:val="18"/>
              </w:rPr>
              <w:t xml:space="preserve">Integrate LLM (Groq API) to format structured JSON output into Markdown reports and DDL SQL remediation scripts.</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12</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User Interaction Model</w:t>
            </w:r>
          </w:p>
        </w:tc>
      </w:tr>
    </w:tbl>
    <w:p>
      <w:pPr>
        <w:spacing w:after="80" w:before="160"/>
      </w:pPr>
    </w:p>
    <w:p>
      <w:pPr>
        <w:spacing w:after="120" w:before="80"/>
      </w:pPr>
      <w:r>
        <w:rPr>
          <w:rFonts w:ascii="Arial" w:cs="Arial" w:eastAsia="Arial" w:hAnsi="Arial"/>
          <w:color w:val="4A4A4A"/>
          <w:sz w:val="20"/>
          <w:szCs w:val="20"/>
        </w:rPr>
        <w:t xml:space="preserve">Data Doctor is designed to provide immediate, actionable value to data practitioners through a simple, robust interaction loop. The system supports both live production diagnostics and safe pre-staged demonstration scenarios.</w:t>
      </w:r>
    </w:p>
    <w:p>
      <w:pPr>
        <w:spacing w:after="60" w:before="80"/>
      </w:pPr>
    </w:p>
    <w:p>
      <w:pPr>
        <w:pStyle w:val="ListParagraph"/>
        <w:numPr>
          <w:ilvl w:val="0"/>
          <w:numId w:val="2"/>
        </w:numPr>
        <w:spacing w:after="60" w:before="40"/>
      </w:pPr>
      <w:r>
        <w:rPr>
          <w:rFonts w:ascii="Arial" w:cs="Arial" w:eastAsia="Arial" w:hAnsi="Arial"/>
          <w:b/>
          <w:bCs/>
          <w:color w:val="4A4A4A"/>
          <w:sz w:val="20"/>
          <w:szCs w:val="20"/>
        </w:rPr>
        <w:t xml:space="preserve">Step 1 — </w:t>
      </w:r>
      <w:r>
        <w:rPr>
          <w:rFonts w:ascii="Arial" w:cs="Arial" w:eastAsia="Arial" w:hAnsi="Arial"/>
          <w:color w:val="4A4A4A"/>
          <w:sz w:val="20"/>
          <w:szCs w:val="20"/>
        </w:rPr>
        <w:t xml:space="preserve">Selection &amp; Mode: The user opens the Data Doctor interface and either inputs an asset FQN for a live diagnosis, or activates the Run Demo Scenario option to load a pre-staged failure graph.</w:t>
      </w:r>
    </w:p>
    <w:p>
      <w:pPr>
        <w:pStyle w:val="ListParagraph"/>
        <w:numPr>
          <w:ilvl w:val="0"/>
          <w:numId w:val="2"/>
        </w:numPr>
        <w:spacing w:after="60" w:before="40"/>
      </w:pPr>
      <w:r>
        <w:rPr>
          <w:rFonts w:ascii="Arial" w:cs="Arial" w:eastAsia="Arial" w:hAnsi="Arial"/>
          <w:b/>
          <w:bCs/>
          <w:color w:val="4A4A4A"/>
          <w:sz w:val="20"/>
          <w:szCs w:val="20"/>
        </w:rPr>
        <w:t xml:space="preserve">Step 2 — </w:t>
      </w:r>
      <w:r>
        <w:rPr>
          <w:rFonts w:ascii="Arial" w:cs="Arial" w:eastAsia="Arial" w:hAnsi="Arial"/>
          <w:color w:val="4A4A4A"/>
          <w:sz w:val="20"/>
          <w:szCs w:val="20"/>
        </w:rPr>
        <w:t xml:space="preserve">Diagnosis Execution: The backend API is triggered, fetching the localised lineage graph and sweeping for anomalies across upstream pipelines, quality tests, and schema change records.</w:t>
      </w:r>
    </w:p>
    <w:p>
      <w:pPr>
        <w:pStyle w:val="ListParagraph"/>
        <w:numPr>
          <w:ilvl w:val="0"/>
          <w:numId w:val="2"/>
        </w:numPr>
        <w:spacing w:after="60" w:before="40"/>
      </w:pPr>
      <w:r>
        <w:rPr>
          <w:rFonts w:ascii="Arial" w:cs="Arial" w:eastAsia="Arial" w:hAnsi="Arial"/>
          <w:b/>
          <w:bCs/>
          <w:color w:val="4A4A4A"/>
          <w:sz w:val="20"/>
          <w:szCs w:val="20"/>
        </w:rPr>
        <w:t xml:space="preserve">Step 3 — </w:t>
      </w:r>
      <w:r>
        <w:rPr>
          <w:rFonts w:ascii="Arial" w:cs="Arial" w:eastAsia="Arial" w:hAnsi="Arial"/>
          <w:color w:val="4A4A4A"/>
          <w:sz w:val="20"/>
          <w:szCs w:val="20"/>
        </w:rPr>
        <w:t xml:space="preserve">Result Review: The UI presents a structured diagnostic dashboard detailing: Primary Root Cause, Confidence Score, Contributing Factors, and the full Impact Radius (affected asset count by type).</w:t>
      </w:r>
    </w:p>
    <w:p>
      <w:pPr>
        <w:pStyle w:val="ListParagraph"/>
        <w:numPr>
          <w:ilvl w:val="0"/>
          <w:numId w:val="2"/>
        </w:numPr>
        <w:spacing w:after="60" w:before="40"/>
      </w:pPr>
      <w:r>
        <w:rPr>
          <w:rFonts w:ascii="Arial" w:cs="Arial" w:eastAsia="Arial" w:hAnsi="Arial"/>
          <w:b/>
          <w:bCs/>
          <w:color w:val="4A4A4A"/>
          <w:sz w:val="20"/>
          <w:szCs w:val="20"/>
        </w:rPr>
        <w:t xml:space="preserve">Step 4 — </w:t>
      </w:r>
      <w:r>
        <w:rPr>
          <w:rFonts w:ascii="Arial" w:cs="Arial" w:eastAsia="Arial" w:hAnsi="Arial"/>
          <w:color w:val="4A4A4A"/>
          <w:sz w:val="20"/>
          <w:szCs w:val="20"/>
        </w:rPr>
        <w:t xml:space="preserve">Remediation Actions: The user reviews the pre-populated suggested_fixes array, presented as actionable controls (e.g., 'Generate ALTER VIEW Script'). Optionally, the user clicks 'Quarantine' to apply OpenMetadata Unreliable tags to the affected asset branch.</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13</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Demo Flow &amp; Hackathon Narrative</w:t>
            </w:r>
          </w:p>
        </w:tc>
      </w:tr>
    </w:tbl>
    <w:p>
      <w:pPr>
        <w:spacing w:after="80" w:before="160"/>
      </w:pPr>
    </w:p>
    <w:p>
      <w:pPr>
        <w:spacing w:after="120" w:before="80"/>
      </w:pPr>
      <w:r>
        <w:rPr>
          <w:rFonts w:ascii="Arial" w:cs="Arial" w:eastAsia="Arial" w:hAnsi="Arial"/>
          <w:color w:val="4A4A4A"/>
          <w:sz w:val="20"/>
          <w:szCs w:val="20"/>
        </w:rPr>
        <w:t xml:space="preserve">A compelling, narrative-driven demonstration is essential for communicating Data Doctor's value proposition. The following structured scenario showcases the system's speed, clarity, and deterministic precision.</w:t>
      </w:r>
    </w:p>
    <w:p>
      <w:pPr>
        <w:spacing w:after="60" w:before="80"/>
      </w:pPr>
    </w:p>
    <w:p>
      <w:pPr>
        <w:pStyle w:val="ListParagraph"/>
        <w:numPr>
          <w:ilvl w:val="0"/>
          <w:numId w:val="2"/>
        </w:numPr>
        <w:spacing w:after="60" w:before="40"/>
      </w:pPr>
      <w:r>
        <w:rPr>
          <w:rFonts w:ascii="Arial" w:cs="Arial" w:eastAsia="Arial" w:hAnsi="Arial"/>
          <w:b/>
          <w:bCs/>
          <w:color w:val="4A4A4A"/>
          <w:sz w:val="20"/>
          <w:szCs w:val="20"/>
        </w:rPr>
        <w:t xml:space="preserve">Step 1 — </w:t>
      </w:r>
      <w:r>
        <w:rPr>
          <w:rFonts w:ascii="Arial" w:cs="Arial" w:eastAsia="Arial" w:hAnsi="Arial"/>
          <w:color w:val="4A4A4A"/>
          <w:sz w:val="20"/>
          <w:szCs w:val="20"/>
        </w:rPr>
        <w:t xml:space="preserve">The Setup: Open with a tangible business scenario — the CEO's Executive Tableau Dashboard is completely broken. No data. No insight. The business is blind.</w:t>
      </w:r>
    </w:p>
    <w:p>
      <w:pPr>
        <w:pStyle w:val="ListParagraph"/>
        <w:numPr>
          <w:ilvl w:val="0"/>
          <w:numId w:val="2"/>
        </w:numPr>
        <w:spacing w:after="60" w:before="40"/>
      </w:pPr>
      <w:r>
        <w:rPr>
          <w:rFonts w:ascii="Arial" w:cs="Arial" w:eastAsia="Arial" w:hAnsi="Arial"/>
          <w:b/>
          <w:bCs/>
          <w:color w:val="4A4A4A"/>
          <w:sz w:val="20"/>
          <w:szCs w:val="20"/>
        </w:rPr>
        <w:t xml:space="preserve">Step 2 — </w:t>
      </w:r>
      <w:r>
        <w:rPr>
          <w:rFonts w:ascii="Arial" w:cs="Arial" w:eastAsia="Arial" w:hAnsi="Arial"/>
          <w:color w:val="4A4A4A"/>
          <w:sz w:val="20"/>
          <w:szCs w:val="20"/>
        </w:rPr>
        <w:t xml:space="preserve">The Run: Switch to the Data Doctor interface. Activate the Run Demo Scenario button, which queries the pre-staged tableau.executive_summary OpenMetadata FQN.</w:t>
      </w:r>
    </w:p>
    <w:p>
      <w:pPr>
        <w:pStyle w:val="ListParagraph"/>
        <w:numPr>
          <w:ilvl w:val="0"/>
          <w:numId w:val="2"/>
        </w:numPr>
        <w:spacing w:after="60" w:before="40"/>
      </w:pPr>
      <w:r>
        <w:rPr>
          <w:rFonts w:ascii="Arial" w:cs="Arial" w:eastAsia="Arial" w:hAnsi="Arial"/>
          <w:b/>
          <w:bCs/>
          <w:color w:val="4A4A4A"/>
          <w:sz w:val="20"/>
          <w:szCs w:val="20"/>
        </w:rPr>
        <w:t xml:space="preserve">Step 3 — </w:t>
      </w:r>
      <w:r>
        <w:rPr>
          <w:rFonts w:ascii="Arial" w:cs="Arial" w:eastAsia="Arial" w:hAnsi="Arial"/>
          <w:color w:val="4A4A4A"/>
          <w:sz w:val="20"/>
          <w:szCs w:val="20"/>
        </w:rPr>
        <w:t xml:space="preserve">The Reveal: Within three seconds, Data Doctor returns a precise, ranked diagnosis: Primary Root Cause ('Pipeline Failure: customer_etl failed at depth 1'), Contributing Factors ('Warning: Upstream table raw_customers had a 5% null failure at depth 2'), Confidence Score ('0.9 — Very High'), and Severity ('High: 1 executive dashboard and 2 downstream tables affected').</w:t>
      </w:r>
    </w:p>
    <w:p>
      <w:pPr>
        <w:pStyle w:val="ListParagraph"/>
        <w:numPr>
          <w:ilvl w:val="0"/>
          <w:numId w:val="2"/>
        </w:numPr>
        <w:spacing w:after="60" w:before="40"/>
      </w:pPr>
      <w:r>
        <w:rPr>
          <w:rFonts w:ascii="Arial" w:cs="Arial" w:eastAsia="Arial" w:hAnsi="Arial"/>
          <w:b/>
          <w:bCs/>
          <w:color w:val="4A4A4A"/>
          <w:sz w:val="20"/>
          <w:szCs w:val="20"/>
        </w:rPr>
        <w:t xml:space="preserve">Step 4 — </w:t>
      </w:r>
      <w:r>
        <w:rPr>
          <w:rFonts w:ascii="Arial" w:cs="Arial" w:eastAsia="Arial" w:hAnsi="Arial"/>
          <w:color w:val="4A4A4A"/>
          <w:sz w:val="20"/>
          <w:szCs w:val="20"/>
        </w:rPr>
        <w:t xml:space="preserve">The Fix: Display the automatically generated SQL remediation script and polished Slack notification, demonstrating that the system is fully actionable and provably reliable — with deterministic rules providing a trusted foundation and AI enrichment adding contextual depth to every diagnosis.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14</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Unified JSON Output Schema</w:t>
            </w:r>
          </w:p>
        </w:tc>
      </w:tr>
    </w:tbl>
    <w:p>
      <w:pPr>
        <w:spacing w:after="80" w:before="160"/>
      </w:pPr>
    </w:p>
    <w:p>
      <w:pPr>
        <w:spacing w:after="120" w:before="80"/>
      </w:pPr>
      <w:r>
        <w:rPr>
          <w:rFonts w:ascii="Arial" w:cs="Arial" w:eastAsia="Arial" w:hAnsi="Arial"/>
          <w:color w:val="4A4A4A"/>
          <w:sz w:val="20"/>
          <w:szCs w:val="20"/>
        </w:rPr>
        <w:t xml:space="preserve">To maintain a strict boundary between the core deterministic logic and the presentation layer, all Data Doctor modules output findings to a standardised JSON schema. This contract ensures consistent behaviour across the AI formatting layer, the REST API response, and any downstream notification systems.</w:t>
      </w:r>
    </w:p>
    <w:p>
      <w:pPr>
        <w:spacing w:after="60" w:before="80"/>
      </w:pPr>
    </w:p>
    <w:tbl>
      <w:tblPr>
        <w:tblW w:type="dxa" w:w="9200"/>
        <w:tblBorders>
          <w:top w:val="single" w:color="C0C8D8" w:sz="2"/>
          <w:left w:val="single" w:color="2E5F9E" w:sz="6"/>
          <w:bottom w:val="single" w:color="C0C8D8" w:sz="2"/>
          <w:right w:val="single" w:color="C0C8D8" w:sz="2"/>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"incident_id":      "req-987-abc",</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"target_asset":     "snowflake.analytics.dim_customer",</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"severity":         "HIGH",</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"confidence_score": 0.9,</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"primary_root_cause":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"type":  "pipeline_failure",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"name":  "airflow_service.orders_etl",</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"depth": 1</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"contributing_factors":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"type":  "data_quality_failure",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"name":  "postgres.raw.orders",</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"depth": 2</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"impacted_assets":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"tables":             ["snowflake.analytics.fct_sales"],</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"dashboards":         ["tableau.executive_summary", "tableau.marketing_roi"],</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"total_impact_count": 3</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"suggested_fixes":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"action":      "rerun_pipeline",</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"target":      "orders_etl",</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"description": "Rerun the failed pipeline from the last successful checkpoint."</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  ]</w:t>
            </w:r>
          </w:p>
        </w:tc>
      </w:tr>
      <w:tr>
        <w:tc>
          <w:tcPr>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rPr>
                <w:rFonts w:ascii="Courier New" w:cs="Courier New" w:eastAsia="Courier New" w:hAnsi="Courier New"/>
                <w:color w:val="1A3A6B"/>
                <w:sz w:val="17"/>
                <w:szCs w:val="17"/>
              </w:rPr>
              <w:t xml:space="preserv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15</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Severity Scoring Model</w:t>
            </w:r>
          </w:p>
        </w:tc>
      </w:tr>
    </w:tbl>
    <w:p>
      <w:pPr>
        <w:spacing w:after="80" w:before="160"/>
      </w:pPr>
    </w:p>
    <w:p>
      <w:pPr>
        <w:spacing w:after="120" w:before="80"/>
      </w:pPr>
      <w:r>
        <w:rPr>
          <w:rFonts w:ascii="Arial" w:cs="Arial" w:eastAsia="Arial" w:hAnsi="Arial"/>
          <w:color w:val="4A4A4A"/>
          <w:sz w:val="20"/>
          <w:szCs w:val="20"/>
        </w:rPr>
        <w:t xml:space="preserve">Severity is calculated deterministically based on the blast radius identified by the impact analysis engine. The following classification rules are applied in order of descending priority:</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9"/>
                <w:szCs w:val="19"/>
              </w:rPr>
              <w:t xml:space="preserve">Severity Level</w:t>
            </w:r>
          </w:p>
        </w:tc>
        <w:tc>
          <w:tcPr>
            <w:tcW w:type="dxa" w:w="69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9"/>
                <w:szCs w:val="19"/>
              </w:rPr>
              <w:t xml:space="preserve">Criteria &amp; Required Response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HIGH</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The root cause has propagated to consumption assets (dashboards or ml_models), OR more than three downstream tables are affected. Response: Immediate Slack alert to the Data Engineering team; auto-apply Status.Unreliable tags to the entire affected graph branch.</w:t>
            </w:r>
          </w:p>
        </w:tc>
      </w:tr>
      <w:tr>
        <w:tc>
          <w:tcPr>
            <w:tcW w:type="dxa" w:w="24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MEDIUM</w:t>
            </w:r>
          </w:p>
        </w:tc>
        <w:tc>
          <w:tcPr>
            <w:tcW w:type="dxa" w:w="69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The root cause impacts intermediate downstream table entities, but has not yet reached final consumption layers (dashboards or reports). Response: Create a support ticket; notify the affected asset owners directly.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LOW</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An isolated issue with no downstream propagation detected (e.g., a localised pipeline retry required, or a table freshness delay that remains within SLA buffers). Response: Log the anomaly; no immediate escalation required.</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16</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What-If Simulation Engine</w:t>
            </w:r>
          </w:p>
        </w:tc>
      </w:tr>
    </w:tbl>
    <w:p>
      <w:pPr>
        <w:spacing w:after="80" w:before="160"/>
      </w:pPr>
    </w:p>
    <w:p>
      <w:pPr>
        <w:spacing w:after="120" w:before="80"/>
      </w:pPr>
      <w:r>
        <w:rPr>
          <w:rFonts w:ascii="Arial" w:cs="Arial" w:eastAsia="Arial" w:hAnsi="Arial"/>
          <w:color w:val="4A4A4A"/>
          <w:sz w:val="20"/>
          <w:szCs w:val="20"/>
        </w:rPr>
        <w:t xml:space="preserve">The What-If Simulation is a forward-looking risk assessment feature. Rather than diagnosing a failure that has already occurred, a developer can simulate a hypothetical upstream failure to assess the potential downstream impact before deploying a change to production.</w:t>
      </w:r>
    </w:p>
    <w:p>
      <w:pPr>
        <w:spacing w:after="60" w:before="80"/>
      </w:pPr>
    </w:p>
    <w:p>
      <w:pPr>
        <w:pStyle w:val="ListParagraph"/>
        <w:numPr>
          <w:ilvl w:val="0"/>
          <w:numId w:val="2"/>
        </w:numPr>
        <w:spacing w:after="60" w:before="40"/>
      </w:pPr>
      <w:r>
        <w:rPr>
          <w:rFonts w:ascii="Arial" w:cs="Arial" w:eastAsia="Arial" w:hAnsi="Arial"/>
          <w:b/>
          <w:bCs/>
          <w:color w:val="4A4A4A"/>
          <w:sz w:val="20"/>
          <w:szCs w:val="20"/>
        </w:rPr>
        <w:t xml:space="preserve">Workflow Step 1 — </w:t>
      </w:r>
      <w:r>
        <w:rPr>
          <w:rFonts w:ascii="Arial" w:cs="Arial" w:eastAsia="Arial" w:hAnsi="Arial"/>
          <w:color w:val="4A4A4A"/>
          <w:sz w:val="20"/>
          <w:szCs w:val="20"/>
        </w:rPr>
        <w:t xml:space="preserve">Input: A user provides an upstream asset FQN (e.g., postgres.raw.customers) and initiates a Simulate Failure action.</w:t>
      </w:r>
    </w:p>
    <w:p>
      <w:pPr>
        <w:pStyle w:val="ListParagraph"/>
        <w:numPr>
          <w:ilvl w:val="0"/>
          <w:numId w:val="2"/>
        </w:numPr>
        <w:spacing w:after="60" w:before="40"/>
      </w:pPr>
      <w:r>
        <w:rPr>
          <w:rFonts w:ascii="Arial" w:cs="Arial" w:eastAsia="Arial" w:hAnsi="Arial"/>
          <w:b/>
          <w:bCs/>
          <w:color w:val="4A4A4A"/>
          <w:sz w:val="20"/>
          <w:szCs w:val="20"/>
        </w:rPr>
        <w:t xml:space="preserve">Workflow Step 2 — </w:t>
      </w:r>
      <w:r>
        <w:rPr>
          <w:rFonts w:ascii="Arial" w:cs="Arial" w:eastAsia="Arial" w:hAnsi="Arial"/>
          <w:color w:val="4A4A4A"/>
          <w:sz w:val="20"/>
          <w:szCs w:val="20"/>
        </w:rPr>
        <w:t xml:space="preserve">Execution: Data Doctor bypasses the standard anomaly detection rules and directly invokes the compute_blast_radius function using the OpenMetadata lineage API, treating the specified asset as the failure origin.</w:t>
      </w:r>
    </w:p>
    <w:p>
      <w:pPr>
        <w:pStyle w:val="ListParagraph"/>
        <w:numPr>
          <w:ilvl w:val="0"/>
          <w:numId w:val="2"/>
        </w:numPr>
        <w:spacing w:after="60" w:before="40"/>
      </w:pPr>
      <w:r>
        <w:rPr>
          <w:rFonts w:ascii="Arial" w:cs="Arial" w:eastAsia="Arial" w:hAnsi="Arial"/>
          <w:b/>
          <w:bCs/>
          <w:color w:val="4A4A4A"/>
          <w:sz w:val="20"/>
          <w:szCs w:val="20"/>
        </w:rPr>
        <w:t xml:space="preserve">Workflow Step 3 — </w:t>
      </w:r>
      <w:r>
        <w:rPr>
          <w:rFonts w:ascii="Arial" w:cs="Arial" w:eastAsia="Arial" w:hAnsi="Arial"/>
          <w:color w:val="4A4A4A"/>
          <w:sz w:val="20"/>
          <w:szCs w:val="20"/>
        </w:rPr>
        <w:t xml:space="preserve">Output: The system returns a structured list of every downstream dashboard, ML model, and table that would be impacted if the specified asset were dropped or structurally altered. This enables engineers to plan safe migrations, assess change risk, and proactively notify the appropriate stakeholders.</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17</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Preventive Monitoring</w:t>
            </w:r>
          </w:p>
        </w:tc>
      </w:tr>
    </w:tbl>
    <w:p>
      <w:pPr>
        <w:spacing w:after="80" w:before="160"/>
      </w:pPr>
    </w:p>
    <w:p>
      <w:pPr>
        <w:spacing w:after="120" w:before="80"/>
      </w:pPr>
      <w:r>
        <w:rPr>
          <w:rFonts w:ascii="Arial" w:cs="Arial" w:eastAsia="Arial" w:hAnsi="Arial"/>
          <w:color w:val="4A4A4A"/>
          <w:sz w:val="20"/>
          <w:szCs w:val="20"/>
        </w:rPr>
        <w:t xml:space="preserve">While the MVP relies on detecting hard failures (failed pipelines, dropped columns), a premium monitoring capability utilises OpenMetadata's Data Insights and Profile History APIs to identify slow-degradation anomalies before they manifest as outright failures.</w:t>
      </w:r>
    </w:p>
    <w:p>
      <w:pPr>
        <w:spacing w:after="120" w:before="80"/>
      </w:pPr>
      <w:r>
        <w:rPr>
          <w:rFonts w:ascii="Arial" w:cs="Arial" w:eastAsia="Arial" w:hAnsi="Arial"/>
          <w:color w:val="4A4A4A"/>
          <w:sz w:val="20"/>
          <w:szCs w:val="20"/>
        </w:rPr>
        <w:t xml:space="preserve">By querying GET /v1/tables/{id}/tableProfile or GET /v1/tables/{id}/columnProfile over a rolling time window, Data Doctor can detect the following leading indicators of impending data quality issues:</w:t>
      </w:r>
    </w:p>
    <w:p>
      <w:pPr>
        <w:spacing w:after="60" w:before="60"/>
      </w:pPr>
    </w:p>
    <w:p>
      <w:pPr>
        <w:pStyle w:val="ListParagraph"/>
        <w:numPr>
          <w:ilvl w:val="0"/>
          <w:numId w:val="2"/>
        </w:numPr>
        <w:spacing w:after="60" w:before="40"/>
      </w:pPr>
      <w:r>
        <w:rPr>
          <w:rFonts w:ascii="Arial" w:cs="Arial" w:eastAsia="Arial" w:hAnsi="Arial"/>
          <w:b/>
          <w:bCs/>
          <w:color w:val="4A4A4A"/>
          <w:sz w:val="20"/>
          <w:szCs w:val="20"/>
        </w:rPr>
        <w:t xml:space="preserve">Null Percentage Drift — </w:t>
      </w:r>
      <w:r>
        <w:rPr>
          <w:rFonts w:ascii="Arial" w:cs="Arial" w:eastAsia="Arial" w:hAnsi="Arial"/>
          <w:color w:val="4A4A4A"/>
          <w:sz w:val="20"/>
          <w:szCs w:val="20"/>
        </w:rPr>
        <w:t xml:space="preserve">Null Percentage Drift: If the nullCount for a critical column historically averages 2% but gradually increases to 15% over three days, the engine raises a Warning anomaly — signalling data quality decay before the hard 20% threshold test formally fails.</w:t>
      </w:r>
    </w:p>
    <w:p>
      <w:pPr>
        <w:pStyle w:val="ListParagraph"/>
        <w:numPr>
          <w:ilvl w:val="0"/>
          <w:numId w:val="2"/>
        </w:numPr>
        <w:spacing w:after="60" w:before="40"/>
      </w:pPr>
      <w:r>
        <w:rPr>
          <w:rFonts w:ascii="Arial" w:cs="Arial" w:eastAsia="Arial" w:hAnsi="Arial"/>
          <w:b/>
          <w:bCs/>
          <w:color w:val="4A4A4A"/>
          <w:sz w:val="20"/>
          <w:szCs w:val="20"/>
        </w:rPr>
        <w:t xml:space="preserve">Volume Anomalies — </w:t>
      </w:r>
      <w:r>
        <w:rPr>
          <w:rFonts w:ascii="Arial" w:cs="Arial" w:eastAsia="Arial" w:hAnsi="Arial"/>
          <w:color w:val="4A4A4A"/>
          <w:sz w:val="20"/>
          <w:szCs w:val="20"/>
        </w:rPr>
        <w:t xml:space="preserve">Volume Anomalies: By monitoring rowCount and native DML operation metrics (INSERT/UPDATE rates), the engine detects significant deviations from historical ingestion baselines. A drop from 10,000 rows/day to 2,000 rows/day triggers an alert for an undetected upstream source disruption.</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800"/>
        <w:gridCol w:w="8560"/>
      </w:tblGrid>
      <w:tr>
        <w:tc>
          <w:tcPr>
            <w:tcBorders>
              <w:top w:val="none" w:color="FFFFFF" w:sz="0"/>
              <w:left w:val="none" w:color="FFFFFF" w:sz="0"/>
              <w:bottom w:val="none" w:color="FFFFFF" w:sz="0"/>
              <w:right w:val="none" w:color="FFFFFF" w:sz="0"/>
            </w:tcBorders>
            <w:shd w:fill="1B2A4A" w:val="clear"/>
            <w:tcMar>
              <w:top w:type="dxa" w:w="120"/>
              <w:left w:type="dxa" w:w="120"/>
              <w:bottom w:type="dxa" w:w="120"/>
              <w:right w:type="dxa" w:w="120"/>
            </w:tcMar>
            <w:vAlign w:val="center"/>
          </w:tcPr>
          <w:p>
            <w:pPr>
              <w:jc w:val="center"/>
            </w:pPr>
            <w:r>
              <w:rPr>
                <w:rFonts w:ascii="Arial" w:cs="Arial" w:eastAsia="Arial" w:hAnsi="Arial"/>
                <w:b/>
                <w:bCs/>
                <w:color w:val="E8A020"/>
                <w:sz w:val="36"/>
                <w:szCs w:val="36"/>
              </w:rPr>
              <w:t xml:space="preserve">18</w:t>
            </w:r>
          </w:p>
        </w:tc>
        <w:tc>
          <w:tcPr>
            <w:tcBorders>
              <w:top w:val="none" w:color="FFFFFF" w:sz="0"/>
              <w:left w:val="none" w:color="FFFFFF" w:sz="0"/>
              <w:bottom w:val="none" w:color="FFFFFF" w:sz="0"/>
              <w:right w:val="none" w:color="FFFFFF" w:sz="0"/>
            </w:tcBorders>
            <w:shd w:fill="2E5F9E" w:val="clear"/>
            <w:tcMar>
              <w:top w:type="dxa" w:w="120"/>
              <w:left w:type="dxa" w:w="200"/>
              <w:bottom w:type="dxa" w:w="120"/>
              <w:right w:type="dxa" w:w="120"/>
            </w:tcMar>
            <w:vAlign w:val="center"/>
          </w:tcPr>
          <w:p>
            <w:r>
              <w:rPr>
                <w:rFonts w:ascii="Arial" w:cs="Arial" w:eastAsia="Arial" w:hAnsi="Arial"/>
                <w:b/>
                <w:bCs/>
                <w:color w:val="FFFFFF"/>
                <w:sz w:val="30"/>
                <w:szCs w:val="30"/>
              </w:rPr>
              <w:t xml:space="preserve">Design Constraints &amp; Anti-Goals</w:t>
            </w:r>
          </w:p>
        </w:tc>
      </w:tr>
    </w:tbl>
    <w:p>
      <w:pPr>
        <w:spacing w:after="80" w:before="160"/>
      </w:pPr>
    </w:p>
    <w:p>
      <w:pPr>
        <w:spacing w:after="120" w:before="80"/>
      </w:pPr>
      <w:r>
        <w:rPr>
          <w:rFonts w:ascii="Arial" w:cs="Arial" w:eastAsia="Arial" w:hAnsi="Arial"/>
          <w:color w:val="4A4A4A"/>
          <w:sz w:val="20"/>
          <w:szCs w:val="20"/>
        </w:rPr>
        <w:t xml:space="preserve">To preserve architectural integrity and ensure a focused, deliverable system, Data Doctor operates under the following explicit constraints. These boundaries define the division of responsibility between the deterministic core engine and the AI augmentation layer.</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9"/>
                <w:szCs w:val="19"/>
              </w:rPr>
              <w:t xml:space="preserve">Constraint</w:t>
            </w:r>
          </w:p>
        </w:tc>
        <w:tc>
          <w:tcPr>
            <w:tcW w:type="dxa" w:w="676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top"/>
          </w:tcPr>
          <w:p>
            <w:pPr>
              <w:spacing w:after="0" w:before="0"/>
            </w:pPr>
            <w:r>
              <w:rPr>
                <w:rFonts w:ascii="Arial" w:cs="Arial" w:eastAsia="Arial" w:hAnsi="Arial"/>
                <w:b/>
                <w:bCs/>
                <w:color w:val="FFFFFF"/>
                <w:sz w:val="19"/>
                <w:szCs w:val="19"/>
              </w:rPr>
              <w:t xml:space="preserve">Rationale &amp; Scope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No Custom Databases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Data Doctor will not instantiate a PostgreSQL or Neo4j database to store lineage or incident history. OpenMetadata is the sole persistence layer. Introducing secondary state introduces drift risk and operational overhead.</w:t>
            </w:r>
          </w:p>
        </w:tc>
      </w:tr>
      <w:tr>
        <w:tc>
          <w:tcPr>
            <w:tcW w:type="dxa" w:w="2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No Ingestion Pipeline Creation</w:t>
            </w:r>
          </w:p>
        </w:tc>
        <w:tc>
          <w:tcPr>
            <w:tcW w:type="dxa" w:w="67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Data Doctor will not write data connectors or orchestrate the ingestion of external data. The system assumes OpenMetadata's native ingestion framework is already populating the catalogue with fresh metadata.</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AI Role: Augmentation, Not Autonomy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The diagnostic core — graph traversal, anomaly detection, confidence scoring, and blast radius calculation — is implemented as 100% deterministic Python, ensuring every diagnosis is auditable and reproducible. The AI layer operates on top of this foundation: it receives the full diagnostic context alongside the researched rule library and uses both to refine base fix suggestions, surface additional remediation options, and generate polished output artefacts (Markdown reports, DDL SQL scripts, Slack notifications). AI enhances and enriches; it does not replace or override the deterministic core.</w:t>
            </w:r>
          </w:p>
        </w:tc>
      </w:tr>
      <w:tr>
        <w:tc>
          <w:tcPr>
            <w:tcW w:type="dxa" w:w="260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No Heavy Frontend</w:t>
            </w:r>
          </w:p>
        </w:tc>
        <w:tc>
          <w:tcPr>
            <w:tcW w:type="dxa" w:w="6760"/>
            <w:tcBorders>
              <w:top w:val="single" w:color="CCCCCC" w:sz="1"/>
              <w:left w:val="single" w:color="CCCCCC" w:sz="1"/>
              <w:bottom w:val="single" w:color="CCCCCC" w:sz="1"/>
              <w:right w:val="single" w:color="CCCCCC" w:sz="1"/>
            </w:tcBorders>
            <w:shd w:fill="F5F6F8" w:val="clear"/>
            <w:tcMar>
              <w:top w:type="dxa" w:w="100"/>
              <w:left w:type="dxa" w:w="140"/>
              <w:bottom w:type="dxa" w:w="100"/>
              <w:right w:type="dxa" w:w="140"/>
            </w:tcMar>
            <w:vAlign w:val="top"/>
          </w:tcPr>
          <w:p>
            <w:pPr>
              <w:spacing w:after="0" w:before="0"/>
            </w:pPr>
            <w:r>
              <w:rPr>
                <w:rFonts w:ascii="Arial" w:cs="Arial" w:eastAsia="Arial" w:hAnsi="Arial"/>
                <w:b w:val="false"/>
                <w:bCs w:val="false"/>
                <w:color w:val="4A4A4A"/>
                <w:sz w:val="19"/>
                <w:szCs w:val="19"/>
              </w:rPr>
              <w:t xml:space="preserve">The user interface remains a lightweight, purpose-built wrapper — implemented in Streamlit or a basic React form — optimised for displaying the structured JSON payload and Markdown diagnostic results. No complex frontend framework is required.</w:t>
            </w:r>
          </w:p>
        </w:tc>
      </w:tr>
    </w:tbl>
    <w:p>
      <w:pPr>
        <w:spacing w:after="0" w:before="200"/>
      </w:pPr>
    </w:p>
    <w:p>
      <w:pPr>
        <w:pBdr>
          <w:bottom w:val="single" w:color="E8A020" w:sz="6" w:space="1"/>
        </w:pBdr>
        <w:spacing w:after="200" w:before="60"/>
      </w:pPr>
    </w:p>
    <w:p>
      <w:pPr>
        <w:spacing w:after="40" w:before="80"/>
        <w:jc w:val="center"/>
      </w:pPr>
      <w:r>
        <w:rPr>
          <w:rFonts w:ascii="Arial" w:cs="Arial" w:eastAsia="Arial" w:hAnsi="Arial"/>
          <w:color w:val="CCCCCC"/>
          <w:sz w:val="18"/>
          <w:szCs w:val="18"/>
        </w:rPr>
        <w:t xml:space="preserve">Data Doctor — Implementation Reference Guide</w:t>
      </w:r>
    </w:p>
    <w:p>
      <w:pPr>
        <w:spacing w:after="0" w:before="0"/>
        <w:jc w:val="center"/>
      </w:pPr>
      <w:r>
        <w:rPr>
          <w:rFonts w:ascii="Arial" w:cs="Arial" w:eastAsia="Arial" w:hAnsi="Arial"/>
          <w:color w:val="CCCCCC"/>
          <w:sz w:val="18"/>
          <w:szCs w:val="18"/>
        </w:rPr>
        <w:t xml:space="preserve">Version 1.0  |  April 2026  |  Confidential</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2E5F9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2026-04-25T17:51:54.075Z</dcterms:created>
  <dcterms:modified xsi:type="dcterms:W3CDTF">2026-04-25T17:51:54.076Z</dcterms:modified>
</cp:coreProperties>
</file>

<file path=docProps/custom.xml><?xml version="1.0" encoding="utf-8"?>
<Properties xmlns="http://schemas.openxmlformats.org/officeDocument/2006/custom-properties" xmlns:vt="http://schemas.openxmlformats.org/officeDocument/2006/docPropsVTypes"/>
</file>