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Times New Roman" w:hAnsi="Times New Roman"/>
          <w:b/>
          <w:color w:val="1B365D"/>
          <w:sz w:val="44"/>
        </w:rPr>
        <w:t>Deep Margin Cosine Autoencoder-Based Medical Hyperspectral Image Classification for Tumor Diagnosis</w:t>
      </w:r>
    </w:p>
    <w:p>
      <w:pPr>
        <w:spacing w:before="0" w:after="360"/>
        <w:jc w:val="center"/>
      </w:pPr>
      <w:r>
        <w:rPr>
          <w:rFonts w:ascii="Times New Roman" w:hAnsi="Times New Roman"/>
          <w:i/>
          <w:color w:val="4B6B94"/>
          <w:sz w:val="27"/>
        </w:rPr>
        <w:t>An Exhaustive Technical, Mathematical, and Clinical Analysis</w:t>
      </w:r>
    </w:p>
    <w:tbl>
      <w:tblPr>
        <w:tblW w:type="auto" w:w="0"/>
        <w:jc w:val="center"/>
        <w:tblLook w:firstColumn="1" w:firstRow="1" w:lastColumn="0" w:lastRow="0" w:noHBand="0" w:noVBand="1" w:val="04A0"/>
      </w:tblPr>
      <w:tblGrid>
        <w:gridCol w:w="4514"/>
        <w:gridCol w:w="4514"/>
      </w:tblGrid>
      <w:tr>
        <w:tc>
          <w:tcPr>
            <w:tcW w:type="dxa" w:w="3600"/>
            <w:shd w:fill="1B365D"/>
          </w:tcPr>
          <w:p>
            <w:pPr>
              <w:spacing w:before="80" w:after="80"/>
              <w:jc w:val="center"/>
            </w:pPr>
            <w:r>
              <w:rPr>
                <w:rFonts w:ascii="Times New Roman" w:hAnsi="Times New Roman"/>
                <w:b/>
                <w:color w:val="FFFFFF"/>
                <w:sz w:val="19"/>
              </w:rPr>
              <w:t>Document Metadata Attribute</w:t>
            </w:r>
          </w:p>
        </w:tc>
        <w:tc>
          <w:tcPr>
            <w:tcW w:type="dxa" w:w="5328"/>
            <w:shd w:fill="1B365D"/>
          </w:tcPr>
          <w:p>
            <w:pPr>
              <w:spacing w:before="80" w:after="80"/>
              <w:jc w:val="center"/>
            </w:pPr>
            <w:r>
              <w:rPr>
                <w:rFonts w:ascii="Times New Roman" w:hAnsi="Times New Roman"/>
                <w:b/>
                <w:color w:val="FFFFFF"/>
                <w:sz w:val="19"/>
              </w:rPr>
              <w:t>Analytical Specification &amp; Publication Context</w:t>
            </w:r>
          </w:p>
        </w:tc>
      </w:tr>
      <w:tr>
        <w:tc>
          <w:tcPr>
            <w:tcW w:type="dxa" w:w="3600"/>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Original Publication Title</w:t>
            </w:r>
          </w:p>
        </w:tc>
        <w:tc>
          <w:tcPr>
            <w:tcW w:type="dxa" w:w="532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Deep Margin Cosine Autoencoder-Based Medical Hyperspectral Image Classification for Tumor Diagnosis</w:t>
            </w:r>
          </w:p>
        </w:tc>
      </w:tr>
      <w:tr>
        <w:tc>
          <w:tcPr>
            <w:tcW w:type="dxa" w:w="3600"/>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Authors &amp; Institutional Affiliations</w:t>
            </w:r>
          </w:p>
        </w:tc>
        <w:tc>
          <w:tcPr>
            <w:tcW w:type="dxa" w:w="532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Meiling Wang, Yongchang Xu, Zhisheng Wang, Changda Xing (Nanjing University of Aeronautics and Astronautics, China University of Mining and Technology)</w:t>
            </w:r>
          </w:p>
        </w:tc>
      </w:tr>
      <w:tr>
        <w:tc>
          <w:tcPr>
            <w:tcW w:type="dxa" w:w="3600"/>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Journal Publication Details</w:t>
            </w:r>
          </w:p>
        </w:tc>
        <w:tc>
          <w:tcPr>
            <w:tcW w:type="dxa" w:w="532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IEEE Transactions on Instrumentation and Measurement, Volume 72, 2023 (Article # 2520512)</w:t>
            </w:r>
          </w:p>
        </w:tc>
      </w:tr>
      <w:tr>
        <w:tc>
          <w:tcPr>
            <w:tcW w:type="dxa" w:w="3600"/>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Presentation Seminar Team</w:t>
            </w:r>
          </w:p>
        </w:tc>
        <w:tc>
          <w:tcPr>
            <w:tcW w:type="dxa" w:w="532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Rudra Pratap Singh (24/CS/378), Saksham Kumar (24/CS/393), Sarthak Tomar (24/CS/403), Shobhit Narera (24/CS/423)</w:t>
            </w:r>
          </w:p>
        </w:tc>
      </w:tr>
      <w:tr>
        <w:tc>
          <w:tcPr>
            <w:tcW w:type="dxa" w:w="3600"/>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Primary Methodological Focus</w:t>
            </w:r>
          </w:p>
        </w:tc>
        <w:tc>
          <w:tcPr>
            <w:tcW w:type="dxa" w:w="532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Deep Margin Cosine Autoencoder (DMCA), Classifier-Constrained Loss, Cosine Angular Margin (m), L1-Sparsity Regularization</w:t>
            </w:r>
          </w:p>
        </w:tc>
      </w:tr>
      <w:tr>
        <w:tc>
          <w:tcPr>
            <w:tcW w:type="dxa" w:w="3600"/>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Benchmark Clinical Datasets</w:t>
            </w:r>
          </w:p>
        </w:tc>
        <w:tc>
          <w:tcPr>
            <w:tcW w:type="dxa" w:w="532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In Vivo Hyperspectral Human Brain (In Vivo HHB) Dataset &amp; Multidimensional Choledoch (MC) Dataset</w:t>
            </w:r>
          </w:p>
        </w:tc>
      </w:tr>
      <w:tr>
        <w:tc>
          <w:tcPr>
            <w:tcW w:type="dxa" w:w="3600"/>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Codebase Reference Architecture</w:t>
            </w:r>
          </w:p>
        </w:tc>
        <w:tc>
          <w:tcPr>
            <w:tcW w:type="dxa" w:w="532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PyTorch Reference Implementation (`dmca/` package, 3-Rung Ablation Ladder, Synthetic MedHSI Pipeline)</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0F4F8"/>
            <w:tcBorders>
              <w:top w:val="none"/>
              <w:left w:val="single" w:sz="24" w:space="0" w:color="1B365D"/>
              <w:bottom w:val="none"/>
              <w:right w:val="none"/>
            </w:tcBorders>
            <w:tcMar>
              <w:top w:w="120" w:type="dxa"/>
              <w:bottom w:w="120" w:type="dxa"/>
              <w:left w:w="200" w:type="dxa"/>
              <w:right w:w="200" w:type="dxa"/>
            </w:tcMar>
          </w:tcPr>
          <w:p>
            <w:pPr>
              <w:spacing w:before="80" w:after="80"/>
            </w:pPr>
            <w:r>
              <w:rPr>
                <w:rFonts w:ascii="Times New Roman" w:hAnsi="Times New Roman"/>
                <w:b/>
                <w:color w:val="1B365D"/>
                <w:sz w:val="22"/>
              </w:rPr>
              <w:t>■ EXECUTIVE OVERVIEW &amp; REPORT ARCHITECTURE</w:t>
              <w:br/>
            </w:r>
            <w:r>
              <w:rPr>
                <w:rFonts w:ascii="Times New Roman" w:hAnsi="Times New Roman"/>
                <w:i/>
                <w:color w:val="222222"/>
                <w:sz w:val="21"/>
              </w:rPr>
              <w:t>This master research report provides an exhaustive, human-sounding academic analysis of the groundbreaking paper by Wang et al. (IEEE TIM 2023) and its accompanying technical presentation. The document follows the requested 9-part section structure (0 to 8), detailing the clinical imperatives of intraoperative neurosurgery, optical physics of hyperspectral tissue reflectance, mathematical derivations of DMCA's unified classifier-constrained objective, alternating iterative optimization scheme, ultra-sparse surgical benchmark results (99.97% tumor detection fidelity), 3-rung ablation ladder validation, reference PyTorch codebase architecture, and future clinical translation horizons.</w:t>
            </w:r>
          </w:p>
        </w:tc>
      </w:tr>
    </w:tbl>
    <w:p>
      <w:pPr>
        <w:spacing w:before="0" w:after="80"/>
      </w:pPr>
    </w:p>
    <w:p>
      <w:pPr>
        <w:keepNext/>
        <w:spacing w:before="440" w:after="120"/>
      </w:pPr>
      <w:r>
        <w:rPr>
          <w:rFonts w:ascii="Times New Roman" w:hAnsi="Times New Roman"/>
          <w:b/>
          <w:color w:val="1B365D"/>
          <w:sz w:val="31"/>
        </w:rPr>
        <w:t>0. Understanding Title</w:t>
      </w:r>
    </w:p>
    <w:p>
      <w:pPr>
        <w:spacing w:after="120" w:line="276" w:lineRule="auto"/>
      </w:pPr>
      <w:r>
        <w:rPr>
          <w:rFonts w:ascii="Times New Roman" w:hAnsi="Times New Roman"/>
          <w:color w:val="222222"/>
          <w:sz w:val="24"/>
        </w:rPr>
        <w:t>The title of the paper—'Deep Margin Cosine Autoencoder-Based Medical Hyperspectral Image Classification for Tumor Diagnosis'—is a carefully constructed, mathematically rich summary of the novel engineering and clinical paradigm introduced by Wang et al. To establish a thorough, foundational understanding of the research, every single constituent term in the title must be decompounded, analyzed, and contextualized within the broader landscapes of machine learning, optical biophysics, and surgical oncology:</w:t>
      </w:r>
    </w:p>
    <w:p>
      <w:pPr>
        <w:pStyle w:val="ListBullet"/>
        <w:spacing w:after="80" w:line="276" w:lineRule="auto"/>
      </w:pPr>
      <w:r>
        <w:rPr>
          <w:rFonts w:ascii="Times New Roman" w:hAnsi="Times New Roman"/>
          <w:b/>
          <w:sz w:val="24"/>
        </w:rPr>
        <w:t xml:space="preserve">1. 'Deep': </w:t>
      </w:r>
      <w:r>
        <w:rPr>
          <w:rFonts w:ascii="Times New Roman" w:hAnsi="Times New Roman"/>
          <w:sz w:val="24"/>
        </w:rPr>
        <w:t>Refers to the utilization of multi-layered deep neural network architectures—specifically stacked autoencoder (SAE) structures—capable of automatically mining hierarchical, abstract non-linear spatial-spectral feature representations directly from high-dimensional input data. Unlike shallow hand-crafted feature extractors that rely on manual domain heuristics, deep architectures extract latent feature hierarchies that capture complex intra-band spectral correlations and spatial contextual dependencies across multiple levels of abstraction. Deep stacking allows the model to compress hundreds of continuous narrow spectral bands into a compact latent space while preserving highly discriminative pathological features.</w:t>
      </w:r>
    </w:p>
    <w:p>
      <w:pPr>
        <w:pStyle w:val="ListBullet"/>
        <w:spacing w:after="80" w:line="276" w:lineRule="auto"/>
      </w:pPr>
      <w:r>
        <w:rPr>
          <w:rFonts w:ascii="Times New Roman" w:hAnsi="Times New Roman"/>
          <w:b/>
          <w:sz w:val="24"/>
        </w:rPr>
        <w:t xml:space="preserve">2. 'Margin': </w:t>
      </w:r>
      <w:r>
        <w:rPr>
          <w:rFonts w:ascii="Times New Roman" w:hAnsi="Times New Roman"/>
          <w:sz w:val="24"/>
        </w:rPr>
        <w:t>Refers to the introduction of an explicit geometric decision boundary cushion (m &gt; 0) enforced directly within the latent feature vector space. By introducing a positive cosine margin constraint into the classifier loss, the network forces feature representations belonging to the same pathological class to contract tightly around their primary class vector axis while simultaneously driving feature representations of opposing classes further apart in angular space. This margin prevents boundary ambiguity, eliminates intra-class feature dispersion, and minimizes misclassification along complex tissue interface zones during intraoperative resection.</w:t>
      </w:r>
    </w:p>
    <w:p>
      <w:pPr>
        <w:pStyle w:val="ListBullet"/>
        <w:spacing w:after="80" w:line="276" w:lineRule="auto"/>
      </w:pPr>
      <w:r>
        <w:rPr>
          <w:rFonts w:ascii="Times New Roman" w:hAnsi="Times New Roman"/>
          <w:b/>
          <w:sz w:val="24"/>
        </w:rPr>
        <w:t xml:space="preserve">3. 'Cosine': </w:t>
      </w:r>
      <w:r>
        <w:rPr>
          <w:rFonts w:ascii="Times New Roman" w:hAnsi="Times New Roman"/>
          <w:sz w:val="24"/>
        </w:rPr>
        <w:t>Specifies the geometric metric and normalization transformation applied to feature vectors and class weight vectors. By imposing strict L2 normalization on both weight vectors and latent feature vectors, Euclidean length variations are eliminated. Consequently, inner products between weight vectors and feature vectors are transformed into pure cosine angular similarities scaled by a fixed scale factor s. This ensures that classification decisions are governed strictly by feature orientation in high-dimensional vector space rather than arbitrary vector magnitude scaling, eliminating magnitude bias caused by varying illumination intensities during surgery.</w:t>
      </w:r>
    </w:p>
    <w:p>
      <w:pPr>
        <w:pStyle w:val="ListBullet"/>
        <w:spacing w:after="80" w:line="276" w:lineRule="auto"/>
      </w:pPr>
      <w:r>
        <w:rPr>
          <w:rFonts w:ascii="Times New Roman" w:hAnsi="Times New Roman"/>
          <w:b/>
          <w:sz w:val="24"/>
        </w:rPr>
        <w:t xml:space="preserve">4. 'Autoencoder': </w:t>
      </w:r>
      <w:r>
        <w:rPr>
          <w:rFonts w:ascii="Times New Roman" w:hAnsi="Times New Roman"/>
          <w:sz w:val="24"/>
        </w:rPr>
        <w:t>Represents the foundational unsupervised neural network framework comprising an encoder function that compresses high-dimensional input vectors into a compact latent representation, and a decoder function that reconstructs the original input vector from the latent representation. In the DMCA framework, the autoencoder backbone is fundamentally enhanced with L1-norm sparsity penalties to isolate highly selective biomarker features and suppress background spectral noise.</w:t>
      </w:r>
    </w:p>
    <w:p>
      <w:pPr>
        <w:pStyle w:val="ListBullet"/>
        <w:spacing w:after="80" w:line="276" w:lineRule="auto"/>
      </w:pPr>
      <w:r>
        <w:rPr>
          <w:rFonts w:ascii="Times New Roman" w:hAnsi="Times New Roman"/>
          <w:b/>
          <w:sz w:val="24"/>
        </w:rPr>
        <w:t xml:space="preserve">5. 'Based': </w:t>
      </w:r>
      <w:r>
        <w:rPr>
          <w:rFonts w:ascii="Times New Roman" w:hAnsi="Times New Roman"/>
          <w:sz w:val="24"/>
        </w:rPr>
        <w:t>Indicates that the proposed framework is built upon and structurally anchored by the deep autoencoder architecture, which is fundamentally modified, re-engineered, and extended to integrate top-level classifier preferences directly into its internal optimization loss.</w:t>
      </w:r>
    </w:p>
    <w:p>
      <w:pPr>
        <w:pStyle w:val="ListBullet"/>
        <w:spacing w:after="80" w:line="276" w:lineRule="auto"/>
      </w:pPr>
      <w:r>
        <w:rPr>
          <w:rFonts w:ascii="Times New Roman" w:hAnsi="Times New Roman"/>
          <w:b/>
          <w:sz w:val="24"/>
        </w:rPr>
        <w:t xml:space="preserve">6. 'Medical Hyperspectral Image (MedHSI)': </w:t>
      </w:r>
      <w:r>
        <w:rPr>
          <w:rFonts w:ascii="Times New Roman" w:hAnsi="Times New Roman"/>
          <w:sz w:val="24"/>
        </w:rPr>
        <w:t>Refers to the state-of-the-art non-invasive optical imaging modality that merges conventional spatial digital imaging with spectroscopy. MedHSI captures radiant optical energy across dozens to hundreds of narrow, continuous wavelength bands spanning the visible and near-infrared spectrum (VNIR, 400 nm to 1000 nm). The resulting 3D data cube contains spatial tissue structures alongside continuous biochemical spectral signatures for every single pixel in the surgical field.</w:t>
      </w:r>
    </w:p>
    <w:p>
      <w:pPr>
        <w:pStyle w:val="ListBullet"/>
        <w:spacing w:after="80" w:line="276" w:lineRule="auto"/>
      </w:pPr>
      <w:r>
        <w:rPr>
          <w:rFonts w:ascii="Times New Roman" w:hAnsi="Times New Roman"/>
          <w:b/>
          <w:sz w:val="24"/>
        </w:rPr>
        <w:t xml:space="preserve">7. 'Classification': </w:t>
      </w:r>
      <w:r>
        <w:rPr>
          <w:rFonts w:ascii="Times New Roman" w:hAnsi="Times New Roman"/>
          <w:sz w:val="24"/>
        </w:rPr>
        <w:t>The algorithmic task of assigning a discrete diagnostic category label (e.g., normal tissue, malignant tumor tissue, hypervascularized tissue, or labeled background) to every individual spatial-spectral pixel vector within a 3D medical hyperspectral scene.</w:t>
      </w:r>
    </w:p>
    <w:p>
      <w:pPr>
        <w:pStyle w:val="ListBullet"/>
        <w:spacing w:after="80" w:line="276" w:lineRule="auto"/>
      </w:pPr>
      <w:r>
        <w:rPr>
          <w:rFonts w:ascii="Times New Roman" w:hAnsi="Times New Roman"/>
          <w:b/>
          <w:sz w:val="24"/>
        </w:rPr>
        <w:t xml:space="preserve">8. 'for Tumor Diagnosis': </w:t>
      </w:r>
      <w:r>
        <w:rPr>
          <w:rFonts w:ascii="Times New Roman" w:hAnsi="Times New Roman"/>
          <w:sz w:val="24"/>
        </w:rPr>
        <w:t>The ultimate clinical objective of the entire work: providing non-contact, label-free, real-time, highly reliable intraoperative optical guidance to assist surgeons in delineating malignant tumor margins during active neurosurgery and microscopic choledoch pathology, preventing incomplete tumor resection and reducing accidental injury to vital healthy tissues.</w:t>
      </w:r>
    </w:p>
    <w:p>
      <w:pPr>
        <w:spacing w:after="120" w:line="276" w:lineRule="auto"/>
      </w:pPr>
      <w:r>
        <w:rPr>
          <w:rFonts w:ascii="Times New Roman" w:hAnsi="Times New Roman"/>
          <w:color w:val="222222"/>
          <w:sz w:val="24"/>
        </w:rPr>
        <w:t>Synthesizing these eight conceptual pillars illuminates the core methodological contribution of the paper: Wang et al. address the primary failure mode of traditional deep learning MedHSI classification—wherein feature extraction autoencoders and classifier heads are trained as completely independent, uncoupled entities—by constructing a Deep Margin Cosine Autoencoder (DMCA). DMCA unifies autoencoder feature extraction, sparse L1 regularizers, classifier loss constraints, and cosine angular margins into a singular, mathematically cohesive optimization objective, unlocking unprecedented classification accuracy for intraoperative tumor diagnosis.</w:t>
      </w:r>
    </w:p>
    <w:p>
      <w:pPr>
        <w:spacing w:after="120" w:line="276" w:lineRule="auto"/>
      </w:pPr>
      <w:r>
        <w:rPr>
          <w:rFonts w:ascii="Times New Roman" w:hAnsi="Times New Roman"/>
          <w:color w:val="222222"/>
          <w:sz w:val="24"/>
        </w:rPr>
        <w:t>Furthermore, examining the title in the context of clinical deployment reveals why each component is mathematically indispensable. Standard Euclidean distances in high-dimensional spectral space are notoriously sensitive to signal amplitude variations caused by non-uniform surgical illumination, tissue curvature, and specular highlights. By converting feature vectors into normalized cosine directions, DMCA isolates the fundamental biochemical absorption profile of the tissue from ambient light intensity. Furthermore, by embedding the margin constraint into the autoencoder's latent layer, DMCA ensures that the feature extractor creates a feature manifold tailored specifically to the classifier's decision hyperplanes, resolving the incompatibility problem that plagued prior deep learning architectures.</w:t>
      </w:r>
    </w:p>
    <w:p>
      <w:pPr>
        <w:spacing w:after="120" w:line="276" w:lineRule="auto"/>
      </w:pPr>
      <w:r>
        <w:rPr>
          <w:rFonts w:ascii="Times New Roman" w:hAnsi="Times New Roman"/>
          <w:color w:val="222222"/>
          <w:sz w:val="24"/>
        </w:rPr>
        <w:t>In addition, the title encapsulates the interdisciplinary nature of the work. It bridges advanced optical instrumentation, linear algebra, non-convex optimization, and surgical oncology. By bringing together autoencoder representation learning and margin-based decision theory, DMCA establishes a unified paradigm that directly addresses both the high dimensionality of spectral measurements and the extreme clinical sensitivity required for cancer margin detection.</w:t>
      </w:r>
    </w:p>
    <w:p>
      <w:pPr>
        <w:keepNext/>
        <w:spacing w:before="440" w:after="120"/>
      </w:pPr>
      <w:r>
        <w:rPr>
          <w:rFonts w:ascii="Times New Roman" w:hAnsi="Times New Roman"/>
          <w:b/>
          <w:color w:val="1B365D"/>
          <w:sz w:val="31"/>
        </w:rPr>
        <w:t>1. Introduction and Background</w:t>
      </w:r>
    </w:p>
    <w:p>
      <w:pPr>
        <w:keepNext/>
        <w:spacing w:before="280" w:after="80"/>
      </w:pPr>
      <w:r>
        <w:rPr>
          <w:rFonts w:ascii="Times New Roman" w:hAnsi="Times New Roman"/>
          <w:b/>
          <w:color w:val="2B547E"/>
          <w:sz w:val="26"/>
        </w:rPr>
        <w:t>1.1 The Clinical Challenge in Modern Surgical Oncology</w:t>
      </w:r>
    </w:p>
    <w:p>
      <w:pPr>
        <w:spacing w:after="120" w:line="276" w:lineRule="auto"/>
      </w:pPr>
      <w:r>
        <w:rPr>
          <w:rFonts w:ascii="Times New Roman" w:hAnsi="Times New Roman"/>
          <w:color w:val="222222"/>
          <w:sz w:val="24"/>
        </w:rPr>
        <w:t>Malignant tumor diseases, particularly high-grade brain gliomas (such as glioblastoma multiforme) and abdominal cholangiocarcinomas, represent severe public health crises worldwide. These cancers exhibit aggressive local infiltration, high mortality rates, and rapid post-operative recurrence. In surgical oncology, complete radical resection—the total surgical removal of all viable tumor tissue while scrupulously preserving surrounding healthy parenchyma and critical neurovascular structures—is universally recognized as the single most vital factor determining long-term patient survival, progression-free survival, and post-operative functional recovery.</w:t>
      </w:r>
    </w:p>
    <w:p>
      <w:pPr>
        <w:spacing w:after="120" w:line="276" w:lineRule="auto"/>
      </w:pPr>
      <w:r>
        <w:rPr>
          <w:rFonts w:ascii="Times New Roman" w:hAnsi="Times New Roman"/>
          <w:color w:val="222222"/>
          <w:sz w:val="24"/>
        </w:rPr>
        <w:t>However, achieving total radical resection during surgery is fraught with extreme technical difficulty. Malignant tumor cells infiltrate surrounding healthy parenchyma along microvascular networks, basement membranes, and neural fiber tracts, causing tumor margins to become blurred, visually ambiguous, and highly indistinct. Under standard white-light operating microscopes, cancerous tissue frequently appears visually indistinguishable from non-cancerous edema, reactive gliosis, or hypervascularized tissue. Consequently, neurosurgeons and oncological surgeons face a constant dilemma: aggressive resection risks causing catastrophic permanent neurological deficits (such as paralysis, aphasia, or cognitive collapse), whereas conservative resection leaves behind microscopic residual tumor cells that inevitably trigger lethal disease recurrence.</w:t>
      </w:r>
    </w:p>
    <w:p>
      <w:pPr>
        <w:spacing w:after="120" w:line="276" w:lineRule="auto"/>
      </w:pPr>
      <w:r>
        <w:rPr>
          <w:rFonts w:ascii="Times New Roman" w:hAnsi="Times New Roman"/>
          <w:color w:val="222222"/>
          <w:sz w:val="24"/>
        </w:rPr>
        <w:t>This diagnostic challenge is exacerbated by the intricate anatomy of the central nervous system and biliary tract. In neurosurgery, a margin error of even one millimeter can mean the difference between preserving motor function or inflicting permanent hemiplegia. Similarly, in choledoch surgery, distinguishing cholangiocarcinoma from benign bile duct inflammation is crucial to avoid unnecessary organ excision or incomplete cancer removal. Surgeons urgently require non-invasive, real-time diagnostic tools that provide wide-field intraoperative margin guidance with high spatial and spectral precision.</w:t>
      </w:r>
    </w:p>
    <w:p>
      <w:pPr>
        <w:spacing w:after="120" w:line="276" w:lineRule="auto"/>
      </w:pPr>
      <w:r>
        <w:rPr>
          <w:rFonts w:ascii="Times New Roman" w:hAnsi="Times New Roman"/>
          <w:color w:val="222222"/>
          <w:sz w:val="24"/>
        </w:rPr>
        <w:t>Furthermore, intraoperative decision-making must occur rapidly under high-stress conditions. Unlike elective diagnostic procedures performed in outpatient settings, surgical margin delineation happens dynamically while the patient is under general anesthesia. Any delay extends surgical duration, increases blood loss, and elevates anesthetic complications. Therefore, an intraoperative guidance technology must not only be highly accurate but also computationally efficient and seamlessly integrated into standard operating theater workflows.</w:t>
      </w:r>
    </w:p>
    <w:p>
      <w:pPr>
        <w:keepNext/>
        <w:spacing w:before="280" w:after="80"/>
      </w:pPr>
      <w:r>
        <w:rPr>
          <w:rFonts w:ascii="Times New Roman" w:hAnsi="Times New Roman"/>
          <w:b/>
          <w:color w:val="2B547E"/>
          <w:sz w:val="26"/>
        </w:rPr>
        <w:t>1.2 Limitations of Current Gold-Standard Diagnostics</w:t>
      </w:r>
    </w:p>
    <w:p>
      <w:pPr>
        <w:spacing w:after="120" w:line="276" w:lineRule="auto"/>
      </w:pPr>
      <w:r>
        <w:rPr>
          <w:rFonts w:ascii="Times New Roman" w:hAnsi="Times New Roman"/>
          <w:color w:val="222222"/>
          <w:sz w:val="24"/>
        </w:rPr>
        <w:t>To resolve intraoperative margin ambiguity, clinical oncology has traditionally relied on histopathological biopsy evaluation. During surgical intervention, frozen-section biopsy samples are surgically excised from the operating field, rapidly frozen, sliced into microscopic sections, stained with hematoxylin and eosin (H&amp;E), and evaluated under microscopic magnification by expert pathologists. Although frozen-section histopathology is universally acknowledged as the diagnostic 'gold standard', its operational constraints severely restrict its utility for dynamic intraoperative surgical guidance:</w:t>
      </w:r>
    </w:p>
    <w:p>
      <w:pPr>
        <w:pStyle w:val="ListBullet"/>
        <w:spacing w:after="80" w:line="276" w:lineRule="auto"/>
      </w:pPr>
      <w:r>
        <w:rPr>
          <w:rFonts w:ascii="Times New Roman" w:hAnsi="Times New Roman"/>
          <w:b/>
          <w:sz w:val="24"/>
        </w:rPr>
        <w:t xml:space="preserve">Inherent Physical Invasiveness: </w:t>
      </w:r>
      <w:r>
        <w:rPr>
          <w:rFonts w:ascii="Times New Roman" w:hAnsi="Times New Roman"/>
          <w:sz w:val="24"/>
        </w:rPr>
        <w:t>Excising biopsy specimens requires physically cutting tissue from the surgical bed, inevitably causing irreversible structural damage to healthy brain or choledoch tissue.</w:t>
      </w:r>
    </w:p>
    <w:p>
      <w:pPr>
        <w:pStyle w:val="ListBullet"/>
        <w:spacing w:after="80" w:line="276" w:lineRule="auto"/>
      </w:pPr>
      <w:r>
        <w:rPr>
          <w:rFonts w:ascii="Times New Roman" w:hAnsi="Times New Roman"/>
          <w:b/>
          <w:sz w:val="24"/>
        </w:rPr>
        <w:t xml:space="preserve">Extremely Time-Consuming Latency: </w:t>
      </w:r>
      <w:r>
        <w:rPr>
          <w:rFonts w:ascii="Times New Roman" w:hAnsi="Times New Roman"/>
          <w:sz w:val="24"/>
        </w:rPr>
        <w:t>Preparing, freezing, sectioning, staining, and reviewing frozen biopsy sections requires 30 to 45 minutes per sample. This prolonged latency extends patient exposure to general anesthesia, increases infection risks, and halts surgical workflow.</w:t>
      </w:r>
    </w:p>
    <w:p>
      <w:pPr>
        <w:pStyle w:val="ListBullet"/>
        <w:spacing w:after="80" w:line="276" w:lineRule="auto"/>
      </w:pPr>
      <w:r>
        <w:rPr>
          <w:rFonts w:ascii="Times New Roman" w:hAnsi="Times New Roman"/>
          <w:b/>
          <w:sz w:val="24"/>
        </w:rPr>
        <w:t xml:space="preserve">Discrete Point-Sampling Limitation: </w:t>
      </w:r>
      <w:r>
        <w:rPr>
          <w:rFonts w:ascii="Times New Roman" w:hAnsi="Times New Roman"/>
          <w:sz w:val="24"/>
        </w:rPr>
        <w:t>Histopathology evaluates only discrete, isolated point samples excised from specific coordinates. It cannot provide wide-field, continuous visual maps across the entire surgical bed, leaving un-biopsied boundary regions unmapped.</w:t>
      </w:r>
    </w:p>
    <w:p>
      <w:pPr>
        <w:pStyle w:val="ListBullet"/>
        <w:spacing w:after="80" w:line="276" w:lineRule="auto"/>
      </w:pPr>
      <w:r>
        <w:rPr>
          <w:rFonts w:ascii="Times New Roman" w:hAnsi="Times New Roman"/>
          <w:b/>
          <w:sz w:val="24"/>
        </w:rPr>
        <w:t xml:space="preserve">Subjective Inter-Observer Variance: </w:t>
      </w:r>
      <w:r>
        <w:rPr>
          <w:rFonts w:ascii="Times New Roman" w:hAnsi="Times New Roman"/>
          <w:sz w:val="24"/>
        </w:rPr>
        <w:t>Pathological diagnosis depends entirely on human expert visual judgment under microscopes, introducing subjective inter-observer variance, qualitative ambiguity, and potential diagnostic error.</w:t>
      </w:r>
    </w:p>
    <w:p>
      <w:pPr>
        <w:spacing w:after="120" w:line="276" w:lineRule="auto"/>
      </w:pPr>
      <w:r>
        <w:rPr>
          <w:rFonts w:ascii="Times New Roman" w:hAnsi="Times New Roman"/>
          <w:color w:val="222222"/>
          <w:sz w:val="24"/>
        </w:rPr>
        <w:t>Because of these inherent drawbacks, relying exclusively on intraoperative frozen sections is insufficient for modern precision surgery. Surgeons require a continuous, wide-field optical technique that operates non-invasively, eliminating biopsy damage and providing real-time feedback directly on the surgical screen.</w:t>
      </w:r>
    </w:p>
    <w:p>
      <w:pPr>
        <w:keepNext/>
        <w:spacing w:before="280" w:after="80"/>
      </w:pPr>
      <w:r>
        <w:rPr>
          <w:rFonts w:ascii="Times New Roman" w:hAnsi="Times New Roman"/>
          <w:b/>
          <w:color w:val="2B547E"/>
          <w:sz w:val="26"/>
        </w:rPr>
        <w:t>1.3 Limitations of Pre-Operative Radiological Imaging Modalities</w:t>
      </w:r>
    </w:p>
    <w:p>
      <w:pPr>
        <w:spacing w:after="120" w:line="276" w:lineRule="auto"/>
      </w:pPr>
      <w:r>
        <w:rPr>
          <w:rFonts w:ascii="Times New Roman" w:hAnsi="Times New Roman"/>
          <w:color w:val="222222"/>
          <w:sz w:val="24"/>
        </w:rPr>
        <w:t>Non-invasive radiological modalities, such as Magnetic Resonance Imaging (MRI), Positron Emission Tomography (PET-CT), X-ray imaging, and Computed Tomography (CT), have undeniably revolutionized diagnostic radiology. Wu et al. introduced attention-based glioma grading networks (AGGN) for MRI feature extraction, while Li et al. designed computer-aided diagnosis models for chest X-rays. However, radiological imaging modalities suffer from critical operational limitations when applied to real-time intraoperative guidance:</w:t>
      </w:r>
    </w:p>
    <w:p>
      <w:pPr>
        <w:pStyle w:val="ListBullet"/>
        <w:spacing w:after="80" w:line="276" w:lineRule="auto"/>
      </w:pPr>
      <w:r>
        <w:rPr>
          <w:rFonts w:ascii="Times New Roman" w:hAnsi="Times New Roman"/>
          <w:b/>
          <w:sz w:val="24"/>
        </w:rPr>
        <w:t xml:space="preserve">Intraoperative Brain Shift &amp; Physical Deformation: </w:t>
      </w:r>
      <w:r>
        <w:rPr>
          <w:rFonts w:ascii="Times New Roman" w:hAnsi="Times New Roman"/>
          <w:sz w:val="24"/>
        </w:rPr>
        <w:t>Pre-operative MRI and CT scans depict tissue architecture prior to surgical intervention. Once craniotomy is performed, dura is opened, and cerebrospinal fluid vents, the brain shifts, deforms, and sags physically under gravity ('brain shift'). This deformation renders pre-operative MRI spatial coordinates inaccurate by several millimeters during active surgery.</w:t>
      </w:r>
    </w:p>
    <w:p>
      <w:pPr>
        <w:pStyle w:val="ListBullet"/>
        <w:spacing w:after="80" w:line="276" w:lineRule="auto"/>
      </w:pPr>
      <w:r>
        <w:rPr>
          <w:rFonts w:ascii="Times New Roman" w:hAnsi="Times New Roman"/>
          <w:b/>
          <w:sz w:val="24"/>
        </w:rPr>
        <w:t xml:space="preserve">Lack of Real-Time Intraoperative Guidance: </w:t>
      </w:r>
      <w:r>
        <w:rPr>
          <w:rFonts w:ascii="Times New Roman" w:hAnsi="Times New Roman"/>
          <w:sz w:val="24"/>
        </w:rPr>
        <w:t>Standard intraoperative MRI or CT scanners cannot operate continuously at real-time video frame rates inside the surgical field without interrupting surgery, requiring cumbersome patient transport or specialized intraoperative MRI suites.</w:t>
      </w:r>
    </w:p>
    <w:p>
      <w:pPr>
        <w:pStyle w:val="ListBullet"/>
        <w:spacing w:after="80" w:line="276" w:lineRule="auto"/>
      </w:pPr>
      <w:r>
        <w:rPr>
          <w:rFonts w:ascii="Times New Roman" w:hAnsi="Times New Roman"/>
          <w:b/>
          <w:sz w:val="24"/>
        </w:rPr>
        <w:t xml:space="preserve">Ionizing Radiation &amp; Chemical Contrast Toxicity: </w:t>
      </w:r>
      <w:r>
        <w:rPr>
          <w:rFonts w:ascii="Times New Roman" w:hAnsi="Times New Roman"/>
          <w:sz w:val="24"/>
        </w:rPr>
        <w:t>CT and PET-CT subject patients to ionizing radiation and require exogenously injected intravenous contrast agents, carrying non-negligible risks of nephrotoxicity, severe allergic reactions, and systemic physiological stress.</w:t>
      </w:r>
    </w:p>
    <w:p>
      <w:pPr>
        <w:spacing w:after="120" w:line="276" w:lineRule="auto"/>
      </w:pPr>
      <w:r>
        <w:rPr>
          <w:rFonts w:ascii="Times New Roman" w:hAnsi="Times New Roman"/>
          <w:color w:val="222222"/>
          <w:sz w:val="24"/>
        </w:rPr>
        <w:t>These constraints underscore the clinical imperative for a novel imaging technology that is non-ionizing, contrast-agent-free, insensitive to brain shift, and capable of real-time wide-field optical mapping.</w:t>
      </w:r>
    </w:p>
    <w:p>
      <w:pPr>
        <w:keepNext/>
        <w:spacing w:before="280" w:after="80"/>
      </w:pPr>
      <w:r>
        <w:rPr>
          <w:rFonts w:ascii="Times New Roman" w:hAnsi="Times New Roman"/>
          <w:b/>
          <w:color w:val="2B547E"/>
          <w:sz w:val="26"/>
        </w:rPr>
        <w:t>1.4 Fundamentals of Medical Hyperspectral Imaging (MedHSI)</w:t>
      </w:r>
    </w:p>
    <w:p>
      <w:pPr>
        <w:spacing w:after="120" w:line="276" w:lineRule="auto"/>
      </w:pPr>
      <w:r>
        <w:rPr>
          <w:rFonts w:ascii="Times New Roman" w:hAnsi="Times New Roman"/>
          <w:color w:val="222222"/>
          <w:sz w:val="24"/>
        </w:rPr>
        <w:t>To overcome the limitations of histopathology and radiological imaging, Medical Hyperspectral Imaging (MedHSI) has emerged as a groundbreaking, non-contact, label-free, non-ionizing, non-invasive optical diagnostic paradigm. MedHSI combines digital imaging with optical spectroscopy, capturing radiant light intensity across hundreds of narrow, continuous, contiguous wavelength bands spanning the visible and near-infrared spectrum (VNIR, 400 nm to 1000 nm).</w:t>
      </w:r>
    </w:p>
    <w:p>
      <w:pPr>
        <w:spacing w:after="120" w:line="276" w:lineRule="auto"/>
      </w:pPr>
      <w:r>
        <w:rPr>
          <w:rFonts w:ascii="Times New Roman" w:hAnsi="Times New Roman"/>
          <w:color w:val="222222"/>
          <w:sz w:val="24"/>
        </w:rPr>
        <w:t>When light strikes biological tissue, it undergoes wavelength-dependent absorption, reflection, and scattering governed by tissue biochemistry and cellular architecture. Key biological chromophores—including oxygenated hemoglobin (HbO2), deoxygenated hemoglobin (HHb), water, lipids, cytochrome enzymes, and cellular structural proteins—possess unique spectral absorption signatures across the VNIR range. Because malignant transformation fundamentally alters tissue metabolism, microvascular density, protein conformation, organelle scattering, and water content, tumor tissues exhibit distinct spectral reflectance profiles compared to healthy parenchyma. MedHSI records these spectral curves for every pixel in the field of view, constructing a high-dimensional 3D data cube.</w:t>
      </w:r>
    </w:p>
    <w:p>
      <w:pPr>
        <w:spacing w:after="120" w:line="276" w:lineRule="auto"/>
      </w:pPr>
      <w:r>
        <w:rPr>
          <w:rFonts w:ascii="Times New Roman" w:hAnsi="Times New Roman"/>
          <w:color w:val="222222"/>
          <w:sz w:val="24"/>
        </w:rPr>
        <w:t>By capturing both spatial structures and continuous molecular spectra, MedHSI enables optical biopsy: classifying pathological state non-invasively at every pixel without physical tissue removal. However, analyzing 3D MedHSI cubes requires overcoming significant computational hurdles, as contiguous spectral bands exhibit extreme correlation, high dimensionality, and susceptibility to sensor noise.</w:t>
      </w:r>
    </w:p>
    <w:p>
      <w:pPr>
        <w:keepNext/>
        <w:spacing w:before="280" w:after="80"/>
      </w:pPr>
      <w:r>
        <w:rPr>
          <w:rFonts w:ascii="Times New Roman" w:hAnsi="Times New Roman"/>
          <w:b/>
          <w:color w:val="2B547E"/>
          <w:sz w:val="26"/>
        </w:rPr>
        <w:t>1.5 Comprehensive Comparison: RGB vs. Hyperspectral Imaging</w:t>
      </w:r>
    </w:p>
    <w:p>
      <w:pPr>
        <w:spacing w:after="120" w:line="276" w:lineRule="auto"/>
      </w:pPr>
      <w:r>
        <w:rPr>
          <w:rFonts w:ascii="Times New Roman" w:hAnsi="Times New Roman"/>
          <w:color w:val="222222"/>
          <w:sz w:val="24"/>
        </w:rPr>
        <w:t>As highlighted in the presentation seminar by Rudra Pratap Singh, Saksham Kumar, Sarthak Tomar, and Shobhit Narera, the physical and informational differences between standard RGB imaging and MedHSI underscore why MedHSI requires advanced machine learning frameworks:</w:t>
      </w:r>
    </w:p>
    <w:tbl>
      <w:tblPr>
        <w:tblW w:type="auto" w:w="0"/>
        <w:jc w:val="center"/>
        <w:tblLook w:firstColumn="1" w:firstRow="1" w:lastColumn="0" w:lastRow="0" w:noHBand="0" w:noVBand="1" w:val="04A0"/>
      </w:tblPr>
      <w:tblGrid>
        <w:gridCol w:w="3010"/>
        <w:gridCol w:w="3010"/>
        <w:gridCol w:w="3010"/>
      </w:tblGrid>
      <w:tr>
        <w:tc>
          <w:tcPr>
            <w:tcW w:type="dxa" w:w="2592"/>
            <w:shd w:fill="1B365D"/>
          </w:tcPr>
          <w:p>
            <w:pPr>
              <w:spacing w:before="80" w:after="80"/>
              <w:jc w:val="center"/>
            </w:pPr>
            <w:r>
              <w:rPr>
                <w:rFonts w:ascii="Times New Roman" w:hAnsi="Times New Roman"/>
                <w:b/>
                <w:color w:val="FFFFFF"/>
                <w:sz w:val="19"/>
              </w:rPr>
              <w:t>Attribute / Characteristic</w:t>
            </w:r>
          </w:p>
        </w:tc>
        <w:tc>
          <w:tcPr>
            <w:tcW w:type="dxa" w:w="3168"/>
            <w:shd w:fill="1B365D"/>
          </w:tcPr>
          <w:p>
            <w:pPr>
              <w:spacing w:before="80" w:after="80"/>
              <w:jc w:val="center"/>
            </w:pPr>
            <w:r>
              <w:rPr>
                <w:rFonts w:ascii="Times New Roman" w:hAnsi="Times New Roman"/>
                <w:b/>
                <w:color w:val="FFFFFF"/>
                <w:sz w:val="19"/>
              </w:rPr>
              <w:t>Standard RGB Imaging</w:t>
            </w:r>
          </w:p>
        </w:tc>
        <w:tc>
          <w:tcPr>
            <w:tcW w:type="dxa" w:w="3168"/>
            <w:shd w:fill="1B365D"/>
          </w:tcPr>
          <w:p>
            <w:pPr>
              <w:spacing w:before="80" w:after="80"/>
              <w:jc w:val="center"/>
            </w:pPr>
            <w:r>
              <w:rPr>
                <w:rFonts w:ascii="Times New Roman" w:hAnsi="Times New Roman"/>
                <w:b/>
                <w:color w:val="FFFFFF"/>
                <w:sz w:val="19"/>
              </w:rPr>
              <w:t>Medical Hyperspectral Imaging (MedHSI)</w:t>
            </w:r>
          </w:p>
        </w:tc>
      </w:tr>
      <w:tr>
        <w:tc>
          <w:tcPr>
            <w:tcW w:type="dxa" w:w="2592"/>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Spectral Resolution</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3 broad spectral channels (Red, Green, Blue)</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Hundreds of continuous narrow spectral bands (e.g., 60 to 826 bands)</w:t>
            </w:r>
          </w:p>
        </w:tc>
      </w:tr>
      <w:tr>
        <w:tc>
          <w:tcPr>
            <w:tcW w:type="dxa" w:w="2592"/>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Spectral Wavelength Range</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Visible spectrum only (~400 nm - 700 nm)</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Extended spectrum (VNIR: 400 nm - 1000 nm, FTIR: 5882 - 6250 nm)</w:t>
            </w:r>
          </w:p>
        </w:tc>
      </w:tr>
      <w:tr>
        <w:tc>
          <w:tcPr>
            <w:tcW w:type="dxa" w:w="2592"/>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Information Content</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Spatial appearance, broad color, shape, boundaries</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Spatial structure + continuous biochemical/molecular spectral signatures</w:t>
            </w:r>
          </w:p>
        </w:tc>
      </w:tr>
      <w:tr>
        <w:tc>
          <w:tcPr>
            <w:tcW w:type="dxa" w:w="2592"/>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Pathological Sensitivity</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Superficial visual appearance; blind to sub-surface physiological changes</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Perceives subtle intracellular, metabolic, and vascular alterations</w:t>
            </w:r>
          </w:p>
        </w:tc>
      </w:tr>
      <w:tr>
        <w:tc>
          <w:tcPr>
            <w:tcW w:type="dxa" w:w="2592"/>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Data Geometry &amp; Shape</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3D Tensor (Height x Width x 3)</w:t>
            </w:r>
          </w:p>
        </w:tc>
        <w:tc>
          <w:tcPr>
            <w:tcW w:type="dxa" w:w="3168"/>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High-dimensional 3D Cube (Height x Width x Wavelength Bands)</w:t>
            </w:r>
          </w:p>
        </w:tc>
      </w:tr>
      <w:tr>
        <w:tc>
          <w:tcPr>
            <w:tcW w:type="dxa" w:w="2592"/>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Redundancy &amp; Noise</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Low redundancy, minimal inter-channel correlation</w:t>
            </w:r>
          </w:p>
        </w:tc>
        <w:tc>
          <w:tcPr>
            <w:tcW w:type="dxa" w:w="3168"/>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High band-to-band correlation, high spectral redundancy, noise vulnerability</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0F4F8"/>
            <w:tcBorders>
              <w:top w:val="none"/>
              <w:left w:val="single" w:sz="24" w:space="0" w:color="1B365D"/>
              <w:bottom w:val="none"/>
              <w:right w:val="none"/>
            </w:tcBorders>
            <w:tcMar>
              <w:top w:w="120" w:type="dxa"/>
              <w:bottom w:w="120" w:type="dxa"/>
              <w:left w:w="200" w:type="dxa"/>
              <w:right w:w="200" w:type="dxa"/>
            </w:tcMar>
          </w:tcPr>
          <w:p>
            <w:pPr>
              <w:spacing w:before="80" w:after="80"/>
            </w:pPr>
            <w:r>
              <w:rPr>
                <w:rFonts w:ascii="Times New Roman" w:hAnsi="Times New Roman"/>
                <w:b/>
                <w:color w:val="1B365D"/>
                <w:sz w:val="22"/>
              </w:rPr>
              <w:t>■ CLINICAL IMPERATIVE &amp; OPTICAL PARADIGM</w:t>
              <w:br/>
            </w:r>
            <w:r>
              <w:rPr>
                <w:rFonts w:ascii="Times New Roman" w:hAnsi="Times New Roman"/>
                <w:i/>
                <w:color w:val="222222"/>
                <w:sz w:val="21"/>
              </w:rPr>
              <w:t>MedHSI delivers unprecedented diagnostic depth by capturing both spatial tissue structures and continuous molecular spectral absorption profiles. However, processing high-dimensional MedHSI cubes introduces the 'Curse of Dimensionality', requiring specialized feature extractors like DMCA that extract compact, discriminative features without succumbing to overfitting under ultra-sparse surgical training datasets.</w:t>
            </w:r>
          </w:p>
        </w:tc>
      </w:tr>
    </w:tbl>
    <w:p>
      <w:pPr>
        <w:spacing w:before="0" w:after="80"/>
      </w:pPr>
    </w:p>
    <w:p>
      <w:pPr>
        <w:keepNext/>
        <w:spacing w:before="440" w:after="120"/>
      </w:pPr>
      <w:r>
        <w:rPr>
          <w:rFonts w:ascii="Times New Roman" w:hAnsi="Times New Roman"/>
          <w:b/>
          <w:color w:val="1B365D"/>
          <w:sz w:val="31"/>
        </w:rPr>
        <w:t>2. Related work and Existing Literature</w:t>
      </w:r>
    </w:p>
    <w:p>
      <w:pPr>
        <w:keepNext/>
        <w:spacing w:before="280" w:after="80"/>
      </w:pPr>
      <w:r>
        <w:rPr>
          <w:rFonts w:ascii="Times New Roman" w:hAnsi="Times New Roman"/>
          <w:b/>
          <w:color w:val="2B547E"/>
          <w:sz w:val="26"/>
        </w:rPr>
        <w:t>2.1 Shallow Machine Learning &amp; Handcrafted Feature Approaches</w:t>
      </w:r>
    </w:p>
    <w:p>
      <w:pPr>
        <w:spacing w:after="120" w:line="276" w:lineRule="auto"/>
      </w:pPr>
      <w:r>
        <w:rPr>
          <w:rFonts w:ascii="Times New Roman" w:hAnsi="Times New Roman"/>
          <w:color w:val="222222"/>
          <w:sz w:val="24"/>
        </w:rPr>
        <w:t>Early MedHSI classification research relied primarily on classical shallow machine learning models operating directly on raw pixel spectral vectors. Classifiers such as Support Vector Machines (SVM) and Logistic Regression (LR) were widely adopted due to their solid mathematical formulations. For example, Akbari et al. utilized visible and infrared spectral signatures to detect intestinal ischemia, while Dicker et al. employed spectral signatures from stained dermal tissue to distinguish benign from malignant dermal tumors. Liu et al. non-invasively measured reflectance spectra of tongue tissues for tumor detection.</w:t>
      </w:r>
    </w:p>
    <w:p>
      <w:pPr>
        <w:spacing w:after="120" w:line="276" w:lineRule="auto"/>
      </w:pPr>
      <w:r>
        <w:rPr>
          <w:rFonts w:ascii="Times New Roman" w:hAnsi="Times New Roman"/>
          <w:color w:val="222222"/>
          <w:sz w:val="24"/>
        </w:rPr>
        <w:t>To leverage spatial structure alongside spectral curves, researchers developed hybrid feature extraction methods. SVM-Gabor integrated 2D Gabor filter features to capture spatial texture characteristics before passing features to SVM. Multiple-Feature-Based Adaptive Sparse Representation (MFASR - Fang et al.) exploited original pixel vectors, morphological profiles (MPs), and differential morphological profiles (DMPs) to construct adaptive sparse dictionaries. Despite improving accuracy, shallow methods suffer from severe performance limits because handcrafted features fail to model non-linear spectral transformations and complex spatial-spectral interdependencies.</w:t>
      </w:r>
    </w:p>
    <w:p>
      <w:pPr>
        <w:spacing w:after="120" w:line="276" w:lineRule="auto"/>
      </w:pPr>
      <w:r>
        <w:rPr>
          <w:rFonts w:ascii="Times New Roman" w:hAnsi="Times New Roman"/>
          <w:color w:val="222222"/>
          <w:sz w:val="24"/>
        </w:rPr>
        <w:t>Other early works explored spectral unmixing and manifold learning. Begelman et al. utilized sparse representation for blind spectral decomposition of transmission light microscopic cubes. Pardo et al. applied directional kernel density estimation to breast tissue spectra, while Ravi et al. combined manifold embedding with semantic segmentation for intraoperative guidance in brain surgery. Wang et al. proposed a morphologic spatial-spectral analysis algorithm for white blood cell classification. While these methods demonstrated the utility of hyperspectral data, their reliance on shallow convex models limited their capacity to generalize across variable patient tissue topologies.</w:t>
      </w:r>
    </w:p>
    <w:p>
      <w:pPr>
        <w:keepNext/>
        <w:spacing w:before="280" w:after="80"/>
      </w:pPr>
      <w:r>
        <w:rPr>
          <w:rFonts w:ascii="Times New Roman" w:hAnsi="Times New Roman"/>
          <w:b/>
          <w:color w:val="2B547E"/>
          <w:sz w:val="26"/>
        </w:rPr>
        <w:t>2.2 Deep Learning Breakthroughs in MedHSI Analysis</w:t>
      </w:r>
    </w:p>
    <w:p>
      <w:pPr>
        <w:spacing w:after="120" w:line="276" w:lineRule="auto"/>
      </w:pPr>
      <w:r>
        <w:rPr>
          <w:rFonts w:ascii="Times New Roman" w:hAnsi="Times New Roman"/>
          <w:color w:val="222222"/>
          <w:sz w:val="24"/>
        </w:rPr>
        <w:t>The rise of deep learning revolutionized MedHSI classification by automatically extracting hierarchical feature representations directly from raw data cubes. Key neural network paradigms include:</w:t>
      </w:r>
    </w:p>
    <w:p>
      <w:pPr>
        <w:pStyle w:val="ListBullet"/>
        <w:spacing w:after="80" w:line="276" w:lineRule="auto"/>
      </w:pPr>
      <w:r>
        <w:rPr>
          <w:rFonts w:ascii="Times New Roman" w:hAnsi="Times New Roman"/>
          <w:b/>
          <w:sz w:val="24"/>
        </w:rPr>
        <w:t>Convolutional Neural Networks (CNNs):</w:t>
      </w:r>
      <w:r>
        <w:rPr>
          <w:rFonts w:ascii="Times New Roman" w:hAnsi="Times New Roman"/>
          <w:sz w:val="24"/>
        </w:rPr>
        <w:t xml:space="preserve"> Halicek et al. developed CNN classifiers for excised head and neck cancer, while Wang et al. proposed 3D CNNs to segment melanoma from 3D hyperspectral pathology images.</w:t>
      </w:r>
    </w:p>
    <w:p>
      <w:pPr>
        <w:pStyle w:val="ListBullet"/>
        <w:spacing w:after="80" w:line="276" w:lineRule="auto"/>
      </w:pPr>
      <w:r>
        <w:rPr>
          <w:rFonts w:ascii="Times New Roman" w:hAnsi="Times New Roman"/>
          <w:b/>
          <w:sz w:val="24"/>
        </w:rPr>
        <w:t>Deep Autoencoders (DAE &amp; SAE):</w:t>
      </w:r>
      <w:r>
        <w:rPr>
          <w:rFonts w:ascii="Times New Roman" w:hAnsi="Times New Roman"/>
          <w:sz w:val="24"/>
        </w:rPr>
        <w:t xml:space="preserve"> Deep Autoencoders learn low-dimensional latent representations by minimizing reconstruction loss. Wei et al. proposed a two-channel DAE for unsupervised blood cell classification.</w:t>
      </w:r>
    </w:p>
    <w:p>
      <w:pPr>
        <w:pStyle w:val="ListBullet"/>
        <w:spacing w:after="80" w:line="276" w:lineRule="auto"/>
      </w:pPr>
      <w:r>
        <w:rPr>
          <w:rFonts w:ascii="Times New Roman" w:hAnsi="Times New Roman"/>
          <w:b/>
          <w:sz w:val="24"/>
        </w:rPr>
        <w:t>Advanced Deep Models &amp; Transformers:</w:t>
      </w:r>
      <w:r>
        <w:rPr>
          <w:rFonts w:ascii="Times New Roman" w:hAnsi="Times New Roman"/>
          <w:sz w:val="24"/>
        </w:rPr>
        <w:t xml:space="preserve"> Advanced deep architectures such as Generative Adversarial Networks (GANs), Deep Belief Networks (DBNs - Ayhan et al.), Fused Deep Models (FMDM - Hao et al.), and Fusion Transformers with parallel CNNs (FUST - Zeng et al.) further pushed classification limits.</w:t>
      </w:r>
    </w:p>
    <w:p>
      <w:pPr>
        <w:keepNext/>
        <w:spacing w:before="280" w:after="80"/>
      </w:pPr>
      <w:r>
        <w:rPr>
          <w:rFonts w:ascii="Times New Roman" w:hAnsi="Times New Roman"/>
          <w:b/>
          <w:color w:val="2B547E"/>
          <w:sz w:val="26"/>
        </w:rPr>
        <w:t>2.3 The Uncoupled Feature Extraction &amp; Classification Disconnect</w:t>
      </w:r>
    </w:p>
    <w:p>
      <w:pPr>
        <w:spacing w:after="120" w:line="276" w:lineRule="auto"/>
      </w:pPr>
      <w:r>
        <w:rPr>
          <w:rFonts w:ascii="Times New Roman" w:hAnsi="Times New Roman"/>
          <w:color w:val="222222"/>
          <w:sz w:val="24"/>
        </w:rPr>
        <w:t>Despite their competitive empirical performance, existing deep learning frameworks for MedHSI classification possess a critical methodological flaw: feature extraction and label prediction are treated as completely independent, uncoupled processes.</w:t>
      </w:r>
    </w:p>
    <w:p>
      <w:pPr>
        <w:spacing w:after="120" w:line="276" w:lineRule="auto"/>
      </w:pPr>
      <w:r>
        <w:rPr>
          <w:rFonts w:ascii="Times New Roman" w:hAnsi="Times New Roman"/>
          <w:color w:val="222222"/>
          <w:sz w:val="24"/>
        </w:rPr>
        <w:t>In a conventional deep learning pipeline (such as a standard Stacked Autoencoder or CNN), the feature extraction network is optimized solely to minimize reconstruction loss or feature entropy. Once training is complete, the extracted latent features are exported to an independent Softmax layer or SVM classifier for label prediction. Because the feature extractor learns representations without considering the classifier's decision boundaries or margin requirements, the resulting deep features are often incompatible with the classifier head, causing class overlap and unsatisfactory accuracy along complex tissue boundaries.</w:t>
      </w:r>
    </w:p>
    <w:p>
      <w:pPr>
        <w:spacing w:after="120" w:line="276" w:lineRule="auto"/>
      </w:pPr>
      <w:r>
        <w:rPr>
          <w:rFonts w:ascii="Times New Roman" w:hAnsi="Times New Roman"/>
          <w:color w:val="222222"/>
          <w:sz w:val="24"/>
        </w:rPr>
        <w:t>This uncoupled disconnect is particularly damaging in ultra-sparse surgical regimes. When labeled training samples constitute less than 1% of the dataset, an uncoupled feature extractor easily overfits to background spectral noise, learning latent representations that scatter within class boundaries. When passed to a Softmax layer, these uncoupled features produce wide decision uncertainty. DMCA directly resolves this flaw by introducing a unified loss function that forces the feature extraction autoencoder to account explicitly for the classifier's margin requirements.</w:t>
      </w:r>
    </w:p>
    <w:p>
      <w:pPr>
        <w:keepNext/>
        <w:spacing w:before="440" w:after="120"/>
      </w:pPr>
      <w:r>
        <w:rPr>
          <w:rFonts w:ascii="Times New Roman" w:hAnsi="Times New Roman"/>
          <w:b/>
          <w:color w:val="1B365D"/>
          <w:sz w:val="31"/>
        </w:rPr>
        <w:t>3. Proposed Framework Architecture</w:t>
      </w:r>
    </w:p>
    <w:p>
      <w:pPr>
        <w:keepNext/>
        <w:spacing w:before="280" w:after="80"/>
      </w:pPr>
      <w:r>
        <w:rPr>
          <w:rFonts w:ascii="Times New Roman" w:hAnsi="Times New Roman"/>
          <w:b/>
          <w:color w:val="2B547E"/>
          <w:sz w:val="26"/>
        </w:rPr>
        <w:t>3.1 Architectural Overview of DMCA</w:t>
      </w:r>
    </w:p>
    <w:p>
      <w:pPr>
        <w:spacing w:after="120" w:line="276" w:lineRule="auto"/>
      </w:pPr>
      <w:r>
        <w:rPr>
          <w:rFonts w:ascii="Times New Roman" w:hAnsi="Times New Roman"/>
          <w:color w:val="222222"/>
          <w:sz w:val="24"/>
        </w:rPr>
        <w:t>To eliminate the uncoupled disconnect between feature learning and label prediction, Wang et al. proposed the Deep Margin Cosine Autoencoder (DMCA). DMCA unifies feature extraction, classifier compatibility, feature sparsity, and angular margin maximization into a single joint optimization objective.</w:t>
      </w:r>
    </w:p>
    <w:p>
      <w:pPr>
        <w:spacing w:after="120" w:line="276" w:lineRule="auto"/>
      </w:pPr>
      <w:r>
        <w:rPr>
          <w:rFonts w:ascii="Times New Roman" w:hAnsi="Times New Roman"/>
          <w:color w:val="222222"/>
          <w:sz w:val="24"/>
        </w:rPr>
        <w:t>The overall framework of DMCA (Figure 1 in the original paper) consists of three interconnected components:</w:t>
      </w:r>
    </w:p>
    <w:p>
      <w:pPr>
        <w:pStyle w:val="ListBullet"/>
        <w:spacing w:after="80" w:line="276" w:lineRule="auto"/>
      </w:pPr>
      <w:r>
        <w:rPr>
          <w:rFonts w:ascii="Times New Roman" w:hAnsi="Times New Roman"/>
          <w:b/>
          <w:sz w:val="24"/>
        </w:rPr>
        <w:t xml:space="preserve">1. Deep Autoencoder Backbone: </w:t>
      </w:r>
      <w:r>
        <w:rPr>
          <w:rFonts w:ascii="Times New Roman" w:hAnsi="Times New Roman"/>
          <w:sz w:val="24"/>
        </w:rPr>
        <w:t>A Stacked Autoencoder (SAE) with J deep encoding layers extracts hierarchical deep spatial-spectral features from input MedHSI cubes.</w:t>
      </w:r>
    </w:p>
    <w:p>
      <w:pPr>
        <w:pStyle w:val="ListBullet"/>
        <w:spacing w:after="80" w:line="276" w:lineRule="auto"/>
      </w:pPr>
      <w:r>
        <w:rPr>
          <w:rFonts w:ascii="Times New Roman" w:hAnsi="Times New Roman"/>
          <w:b/>
          <w:sz w:val="24"/>
        </w:rPr>
        <w:t xml:space="preserve">2. Classifier-Constrained Loss: </w:t>
      </w:r>
      <w:r>
        <w:rPr>
          <w:rFonts w:ascii="Times New Roman" w:hAnsi="Times New Roman"/>
          <w:sz w:val="24"/>
        </w:rPr>
        <w:t>The Softmax classifier loss is embedded directly as an explicit constraint into the DAE feature learning objective, forcing extracted features to adapt to classifier preferences.</w:t>
      </w:r>
    </w:p>
    <w:p>
      <w:pPr>
        <w:pStyle w:val="ListBullet"/>
        <w:spacing w:after="80" w:line="276" w:lineRule="auto"/>
      </w:pPr>
      <w:r>
        <w:rPr>
          <w:rFonts w:ascii="Times New Roman" w:hAnsi="Times New Roman"/>
          <w:b/>
          <w:sz w:val="24"/>
        </w:rPr>
        <w:t xml:space="preserve">3. Angular Cosine Decision Margin: </w:t>
      </w:r>
      <w:r>
        <w:rPr>
          <w:rFonts w:ascii="Times New Roman" w:hAnsi="Times New Roman"/>
          <w:sz w:val="24"/>
        </w:rPr>
        <w:t>An extra positive margin (m) is introduced into L2-normalized cosine space, forcing intra-class features to compress tightly while expanding inter-class separation.</w:t>
      </w:r>
    </w:p>
    <w:p>
      <w:pPr>
        <w:keepNext/>
        <w:spacing w:before="280" w:after="80"/>
      </w:pPr>
      <w:r>
        <w:rPr>
          <w:rFonts w:ascii="Times New Roman" w:hAnsi="Times New Roman"/>
          <w:b/>
          <w:color w:val="2B547E"/>
          <w:sz w:val="26"/>
        </w:rPr>
        <w:t>3.2 Standard Softmax Loss &amp; L2 Normalization</w:t>
      </w:r>
    </w:p>
    <w:p>
      <w:pPr>
        <w:spacing w:after="120" w:line="276" w:lineRule="auto"/>
      </w:pPr>
      <w:r>
        <w:rPr>
          <w:rFonts w:ascii="Times New Roman" w:hAnsi="Times New Roman"/>
          <w:color w:val="222222"/>
          <w:sz w:val="24"/>
        </w:rPr>
        <w:t>Consider a 3D MedHSI dataset denoted as H in R^(T x O x Q), where T is spectral resolution (number of bands) and N = O x Q is spatial resolution (number of pixel vectors). Unfolding H yields 2D matrix H in R^(T x N). Given sample feature vector x in R^(L x 1) and answer set Omega, standard Softmax loss is defined as:</w:t>
      </w:r>
    </w:p>
    <w:p>
      <w:pPr>
        <w:spacing w:before="160" w:after="160"/>
        <w:jc w:val="center"/>
      </w:pPr>
      <w:r>
        <w:rPr>
          <w:rFonts w:ascii="Times New Roman" w:hAnsi="Times New Roman"/>
          <w:b/>
          <w:color w:val="1B365D"/>
          <w:sz w:val="22"/>
        </w:rPr>
        <w:t>loss_softmax = - sum_{k=1}^{|Omega|} log ( p_k ) = - sum_{k=1}^{|Omega|} log ( e^(W_k^T x) / sum_{q=1}^{|Omega|} e^(W_q^T x) )</w:t>
      </w:r>
    </w:p>
    <w:p>
      <w:pPr>
        <w:spacing w:after="120" w:line="276" w:lineRule="auto"/>
      </w:pPr>
      <w:r>
        <w:rPr>
          <w:rFonts w:ascii="Times New Roman" w:hAnsi="Times New Roman"/>
          <w:color w:val="222222"/>
          <w:sz w:val="24"/>
        </w:rPr>
        <w:t>where W in R^(L x U) is the weight matrix, and W_k is the k-th column vector. Re-writing inner product W_k^T x in cosine angular form:</w:t>
      </w:r>
    </w:p>
    <w:p>
      <w:pPr>
        <w:spacing w:before="160" w:after="160"/>
        <w:jc w:val="center"/>
      </w:pPr>
      <w:r>
        <w:rPr>
          <w:rFonts w:ascii="Times New Roman" w:hAnsi="Times New Roman"/>
          <w:b/>
          <w:color w:val="1B365D"/>
          <w:sz w:val="22"/>
        </w:rPr>
        <w:t>W_k^T x = ||W_k||_2 * ||x||_2 * cos(W_k, x)</w:t>
      </w:r>
    </w:p>
    <w:p>
      <w:pPr>
        <w:spacing w:after="120" w:line="276" w:lineRule="auto"/>
      </w:pPr>
      <w:r>
        <w:rPr>
          <w:rFonts w:ascii="Times New Roman" w:hAnsi="Times New Roman"/>
          <w:color w:val="222222"/>
          <w:sz w:val="24"/>
        </w:rPr>
        <w:t>In standard Softmax, vector norms ||W_k||_2 and ||x||_2 can vary dynamically, allowing the network to lower loss simply by inflating feature magnitudes rather than refining decision angles. DMCA eliminates magnitude bias by applying L2 normalization to both weights W_k and features x, scaling them by constant s = ||W_k||_2 * ||x||_2:</w:t>
      </w:r>
    </w:p>
    <w:p>
      <w:pPr>
        <w:spacing w:before="160" w:after="160"/>
        <w:jc w:val="center"/>
      </w:pPr>
      <w:r>
        <w:rPr>
          <w:rFonts w:ascii="Times New Roman" w:hAnsi="Times New Roman"/>
          <w:b/>
          <w:color w:val="1B365D"/>
          <w:sz w:val="22"/>
        </w:rPr>
        <w:t>loss_s = - sum_{k=1}^{|Omega|} log ( e^(s * cos(W_k, x)) / sum_{q=1}^{|Omega|} e^(s * cos(W_q, x)) )</w:t>
      </w:r>
    </w:p>
    <w:p>
      <w:pPr>
        <w:keepNext/>
        <w:spacing w:before="280" w:after="80"/>
      </w:pPr>
      <w:r>
        <w:rPr>
          <w:rFonts w:ascii="Times New Roman" w:hAnsi="Times New Roman"/>
          <w:b/>
          <w:color w:val="2B547E"/>
          <w:sz w:val="26"/>
        </w:rPr>
        <w:t>3.3 Margin Cosine Softmax Formulation</w:t>
      </w:r>
    </w:p>
    <w:p>
      <w:pPr>
        <w:spacing w:after="120" w:line="276" w:lineRule="auto"/>
      </w:pPr>
      <w:r>
        <w:rPr>
          <w:rFonts w:ascii="Times New Roman" w:hAnsi="Times New Roman"/>
          <w:color w:val="222222"/>
          <w:sz w:val="24"/>
        </w:rPr>
        <w:t>To enforce strict decision boundaries between classes, DMCA introduces a positive cosine margin m &gt; 0 into the target class cosine term:</w:t>
      </w:r>
    </w:p>
    <w:p>
      <w:pPr>
        <w:spacing w:before="160" w:after="160"/>
        <w:jc w:val="center"/>
      </w:pPr>
      <w:r>
        <w:rPr>
          <w:rFonts w:ascii="Times New Roman" w:hAnsi="Times New Roman"/>
          <w:b/>
          <w:color w:val="1B365D"/>
          <w:sz w:val="22"/>
        </w:rPr>
        <w:t>cos(W_1, x) - m &gt; cos(W_2, x)    (for Class 1)</w:t>
      </w:r>
    </w:p>
    <w:p>
      <w:pPr>
        <w:spacing w:after="120" w:line="276" w:lineRule="auto"/>
      </w:pPr>
      <w:r>
        <w:rPr>
          <w:rFonts w:ascii="Times New Roman" w:hAnsi="Times New Roman"/>
          <w:color w:val="222222"/>
          <w:sz w:val="24"/>
        </w:rPr>
        <w:t>Because cos(W_k, x) - m is strictly smaller than cos(W_k, x), this inequality enforces a much stricter angular constraint, forcing intra-class feature clusters to compress tightly along class axes. The resulting Margin Cosine Softmax loss (loss_sm) is:</w:t>
      </w:r>
    </w:p>
    <w:p>
      <w:pPr>
        <w:spacing w:before="160" w:after="160"/>
        <w:jc w:val="center"/>
      </w:pPr>
      <w:r>
        <w:rPr>
          <w:rFonts w:ascii="Times New Roman" w:hAnsi="Times New Roman"/>
          <w:b/>
          <w:color w:val="1B365D"/>
          <w:sz w:val="22"/>
        </w:rPr>
        <w:t>loss_sm = - sum_{k=1}^{|Omega|} log ( e^(s * (cos(W_k, x) - m)) / ( e^(s * (cos(W_k, x) - m)) + sum_{q != k} e^(s * cos(W_q, x)) ) )</w:t>
      </w:r>
    </w:p>
    <w:p>
      <w:pPr>
        <w:keepNext/>
        <w:spacing w:before="280" w:after="80"/>
      </w:pPr>
      <w:r>
        <w:rPr>
          <w:rFonts w:ascii="Times New Roman" w:hAnsi="Times New Roman"/>
          <w:b/>
          <w:color w:val="2B547E"/>
          <w:sz w:val="26"/>
        </w:rPr>
        <w:t>3.4 Dense vs. Sparse Feature Representations</w:t>
      </w:r>
    </w:p>
    <w:p>
      <w:pPr>
        <w:spacing w:after="120" w:line="276" w:lineRule="auto"/>
      </w:pPr>
      <w:r>
        <w:rPr>
          <w:rFonts w:ascii="Times New Roman" w:hAnsi="Times New Roman"/>
          <w:color w:val="222222"/>
          <w:sz w:val="24"/>
        </w:rPr>
        <w:t>As explained in Slide 10 of the presentation seminar, learned neural features can be dense (many active units) or sparse (only a selective few active units). In MedHSI analysis, sparse representations are vital because pathological spectral signatures correspond to specific absorption bands. DMCA incorporates an L1-norm regularizer on latent features to enforce feature selectivity and suppress background noise.</w:t>
      </w:r>
    </w:p>
    <w:p>
      <w:pPr>
        <w:keepNext/>
        <w:spacing w:before="280" w:after="80"/>
      </w:pPr>
      <w:r>
        <w:rPr>
          <w:rFonts w:ascii="Times New Roman" w:hAnsi="Times New Roman"/>
          <w:b/>
          <w:color w:val="2B547E"/>
          <w:sz w:val="26"/>
        </w:rPr>
        <w:t>3.5 Layer-Wise Objective Formulation of DMCA</w:t>
      </w:r>
    </w:p>
    <w:p>
      <w:pPr>
        <w:spacing w:after="120" w:line="276" w:lineRule="auto"/>
      </w:pPr>
      <w:r>
        <w:rPr>
          <w:rFonts w:ascii="Times New Roman" w:hAnsi="Times New Roman"/>
          <w:color w:val="222222"/>
          <w:sz w:val="24"/>
        </w:rPr>
        <w:t>Combining DAE reconstruction loss, L1 sparsity regularization, and Margin Cosine Softmax loss yields the complete DMCA objective for a J-layer network:</w:t>
      </w:r>
    </w:p>
    <w:p>
      <w:pPr>
        <w:spacing w:before="160" w:after="160"/>
        <w:jc w:val="center"/>
      </w:pPr>
      <w:r>
        <w:rPr>
          <w:rFonts w:ascii="Times New Roman" w:hAnsi="Times New Roman"/>
          <w:b/>
          <w:color w:val="1B365D"/>
          <w:sz w:val="22"/>
        </w:rPr>
        <w:t>min_{H_j, P_j, W_j} sum_{j=1}^J ||H_j - P_j W_j^T H_j||_F^2 + lambda_1 ||W_J^T H_J||_1 - lambda_2 sum_{n=1}^N sum_{u=1}^U log ( e^(s * (cos(W_{J_u}, H_{J_n}) - m)) / ( sum_{i != u} e^(s * cos(W_{J_i}, H_{J_n})) + e^(s * (cos(W_{J_u}, H_{J_n}) - m)) ) )</w:t>
      </w:r>
    </w:p>
    <w:p>
      <w:pPr>
        <w:spacing w:after="120" w:line="276" w:lineRule="auto"/>
      </w:pPr>
      <w:r>
        <w:rPr>
          <w:rFonts w:ascii="Times New Roman" w:hAnsi="Times New Roman"/>
          <w:color w:val="222222"/>
          <w:sz w:val="24"/>
        </w:rPr>
        <w:t>where lambda_1 is the sparsity penalty, lambda_2 is the margin cosine penalty, H_j, P_j, W_j are layer inputs, decoders, and encoders, and H_{J_n} is the n-th pixel vector at layer J.</w:t>
      </w:r>
    </w:p>
    <w:p>
      <w:pPr>
        <w:keepNext/>
        <w:spacing w:before="280" w:after="80"/>
      </w:pPr>
      <w:r>
        <w:rPr>
          <w:rFonts w:ascii="Times New Roman" w:hAnsi="Times New Roman"/>
          <w:b/>
          <w:color w:val="2B547E"/>
          <w:sz w:val="26"/>
        </w:rPr>
        <w:t>3.6 Uniformed Layer Optimization &amp; Auxiliary Variable Relaxation</w:t>
      </w:r>
    </w:p>
    <w:p>
      <w:pPr>
        <w:spacing w:after="120" w:line="276" w:lineRule="auto"/>
      </w:pPr>
      <w:r>
        <w:rPr>
          <w:rFonts w:ascii="Times New Roman" w:hAnsi="Times New Roman"/>
          <w:color w:val="222222"/>
          <w:sz w:val="24"/>
        </w:rPr>
        <w:t>Because the L1 regularizer and margin cosine term relate exclusively to the deepest layer J, parameters for layers 1 to J-1 are obtained via traditional DAE pre-training. The subproblem for layer J reduces to:</w:t>
      </w:r>
    </w:p>
    <w:p>
      <w:pPr>
        <w:spacing w:before="160" w:after="160"/>
        <w:jc w:val="center"/>
      </w:pPr>
      <w:r>
        <w:rPr>
          <w:rFonts w:ascii="Times New Roman" w:hAnsi="Times New Roman"/>
          <w:b/>
          <w:color w:val="1B365D"/>
          <w:sz w:val="22"/>
        </w:rPr>
        <w:t>min_{P_J, W_J} ||H_J - P_J W_J^T H_J||_F^2 + lambda_1 ||W_J^T H_J||_1 - lambda_2 sum_{n=1}^N sum_{u=1}^U log ( e^(s * (cos(W_{J_u}, H_{J_n}) - m)) / ( sum_{i != u} e^(s * cos(W_{J_i}, H_{J_n})) + e^(s * (cos(W_{J_u}, H_{J_n}) - m)) ) )</w:t>
      </w:r>
    </w:p>
    <w:p>
      <w:pPr>
        <w:spacing w:after="120" w:line="276" w:lineRule="auto"/>
      </w:pPr>
      <w:r>
        <w:rPr>
          <w:rFonts w:ascii="Times New Roman" w:hAnsi="Times New Roman"/>
          <w:color w:val="222222"/>
          <w:sz w:val="24"/>
        </w:rPr>
        <w:t>To decouple the non-smooth L1 norm from W_J, an auxiliary variable A = W_J^T H_J is introduced, yielding the relaxed unconstrained problem:</w:t>
      </w:r>
    </w:p>
    <w:p>
      <w:pPr>
        <w:spacing w:before="160" w:after="160"/>
        <w:jc w:val="center"/>
      </w:pPr>
      <w:r>
        <w:rPr>
          <w:rFonts w:ascii="Times New Roman" w:hAnsi="Times New Roman"/>
          <w:b/>
          <w:color w:val="1B365D"/>
          <w:sz w:val="22"/>
        </w:rPr>
        <w:t>min_{P_J, W_J, A} ||H_J - P_J W_J^T H_J||_F^2 + lambda_1 ||A||_1 + eta ||A - W_J^T H_J||_F^2 - lambda_2 sum_{n=1}^N sum_{u=1}^U log ( e^(s * (cos(W_{J_u}, H_{J_n}) - M_{u,u})) / sum_{i=1}^U e^(s * (cos(W_{J_i}, H_{J_n}) - M_{i,u})) )</w:t>
      </w:r>
    </w:p>
    <w:p>
      <w:pPr>
        <w:spacing w:after="120" w:line="276" w:lineRule="auto"/>
      </w:pPr>
      <w:r>
        <w:rPr>
          <w:rFonts w:ascii="Times New Roman" w:hAnsi="Times New Roman"/>
          <w:color w:val="222222"/>
          <w:sz w:val="24"/>
        </w:rPr>
        <w:t>where M = diag(m, m, ..., m) in R^(U x U) and eta is the coupling parameter.</w:t>
      </w:r>
    </w:p>
    <w:p>
      <w:pPr>
        <w:keepNext/>
        <w:spacing w:before="280" w:after="80"/>
      </w:pPr>
      <w:r>
        <w:rPr>
          <w:rFonts w:ascii="Times New Roman" w:hAnsi="Times New Roman"/>
          <w:b/>
          <w:color w:val="2B547E"/>
          <w:sz w:val="26"/>
        </w:rPr>
        <w:t>3.7 Three-Step Alternating Iterative Scheme (Algorithm 1)</w:t>
      </w:r>
    </w:p>
    <w:p>
      <w:pPr>
        <w:spacing w:after="120" w:line="276" w:lineRule="auto"/>
      </w:pPr>
      <w:r>
        <w:rPr>
          <w:rFonts w:ascii="Times New Roman" w:hAnsi="Times New Roman"/>
          <w:color w:val="222222"/>
          <w:sz w:val="24"/>
        </w:rPr>
        <w:t>An alternating optimization algorithm updates one parameter set while fixing others:</w:t>
      </w:r>
    </w:p>
    <w:p>
      <w:pPr>
        <w:pStyle w:val="ListBullet"/>
        <w:spacing w:after="80" w:line="276" w:lineRule="auto"/>
      </w:pPr>
      <w:r>
        <w:rPr>
          <w:rFonts w:ascii="Times New Roman" w:hAnsi="Times New Roman"/>
          <w:b/>
          <w:sz w:val="24"/>
        </w:rPr>
        <w:t xml:space="preserve">1. Updating Decoder P_J: </w:t>
      </w:r>
      <w:r>
        <w:rPr>
          <w:rFonts w:ascii="Times New Roman" w:hAnsi="Times New Roman"/>
          <w:sz w:val="24"/>
        </w:rPr>
        <w:t>Fixing W_J and A, setting derivative to zero yields exact closed-form solution: P_J = H_J H_J^T W_J ( W_J^T H_J H_J^T W_J )^(-1)</w:t>
      </w:r>
    </w:p>
    <w:p>
      <w:pPr>
        <w:pStyle w:val="ListBullet"/>
        <w:spacing w:after="80" w:line="276" w:lineRule="auto"/>
      </w:pPr>
      <w:r>
        <w:rPr>
          <w:rFonts w:ascii="Times New Roman" w:hAnsi="Times New Roman"/>
          <w:b/>
          <w:sz w:val="24"/>
        </w:rPr>
        <w:t xml:space="preserve">2. Updating Encoder W_J: </w:t>
      </w:r>
      <w:r>
        <w:rPr>
          <w:rFonts w:ascii="Times New Roman" w:hAnsi="Times New Roman"/>
          <w:sz w:val="24"/>
        </w:rPr>
        <w:t>Fixing P_J and A, W_{J_u} is updated via gradient descent using exact partial derivative: d L(W_J) / d W_{J_u} (Equation 15 in paper) with learning rate kappa.</w:t>
      </w:r>
    </w:p>
    <w:p>
      <w:pPr>
        <w:pStyle w:val="ListBullet"/>
        <w:spacing w:after="80" w:line="276" w:lineRule="auto"/>
      </w:pPr>
      <w:r>
        <w:rPr>
          <w:rFonts w:ascii="Times New Roman" w:hAnsi="Times New Roman"/>
          <w:b/>
          <w:sz w:val="24"/>
        </w:rPr>
        <w:t xml:space="preserve">3. Updating Auxiliary Matrix A: </w:t>
      </w:r>
      <w:r>
        <w:rPr>
          <w:rFonts w:ascii="Times New Roman" w:hAnsi="Times New Roman"/>
          <w:sz w:val="24"/>
        </w:rPr>
        <w:t>Fixing P_J and W_J, A is updated via closed-form soft-thresholding: A = soft( W_J^T H_J , lambda_1 / (2*eta) ) = sign(W_J^T H_J) * max( |W_J^T H_J| - lambda_1/(2*eta) , 0 )</w:t>
      </w:r>
    </w:p>
    <w:p>
      <w:pPr>
        <w:spacing w:after="120" w:line="276" w:lineRule="auto"/>
      </w:pPr>
      <w:r>
        <w:rPr>
          <w:rFonts w:ascii="Times New Roman" w:hAnsi="Times New Roman"/>
          <w:color w:val="222222"/>
          <w:sz w:val="24"/>
        </w:rPr>
        <w:t>The optimization iterates through Steps 1–3 until convergence condition ||A - W_J^T H_J||_F^2 &lt;= 10^(-3) is satisfied. Figure 3 in the paper shows cost function minimization reaching monotonic convergence in ~20 iterations.</w:t>
      </w:r>
    </w:p>
    <w:p>
      <w:pPr>
        <w:keepNext/>
        <w:spacing w:before="280" w:after="80"/>
      </w:pPr>
      <w:r>
        <w:rPr>
          <w:rFonts w:ascii="Times New Roman" w:hAnsi="Times New Roman"/>
          <w:b/>
          <w:color w:val="2B547E"/>
          <w:sz w:val="26"/>
        </w:rPr>
        <w:t>3.8 Two-Stage Training Strategy</w:t>
      </w:r>
    </w:p>
    <w:p>
      <w:pPr>
        <w:spacing w:after="120" w:line="276" w:lineRule="auto"/>
      </w:pPr>
      <w:r>
        <w:rPr>
          <w:rFonts w:ascii="Times New Roman" w:hAnsi="Times New Roman"/>
          <w:color w:val="222222"/>
          <w:sz w:val="24"/>
        </w:rPr>
        <w:t>Training DMCA proceeds in two distinct stages:</w:t>
      </w:r>
    </w:p>
    <w:p>
      <w:pPr>
        <w:pStyle w:val="ListBullet"/>
        <w:spacing w:after="80" w:line="276" w:lineRule="auto"/>
      </w:pPr>
      <w:r>
        <w:rPr>
          <w:rFonts w:ascii="Times New Roman" w:hAnsi="Times New Roman"/>
          <w:b/>
          <w:sz w:val="24"/>
        </w:rPr>
        <w:t xml:space="preserve">Stage 1 (Pre-training &amp; Initialization): </w:t>
      </w:r>
      <w:r>
        <w:rPr>
          <w:rFonts w:ascii="Times New Roman" w:hAnsi="Times New Roman"/>
          <w:sz w:val="24"/>
        </w:rPr>
        <w:t>Train first J-1 encoding layers and final Softmax layer as traditional DAE prediction network using training set H with label L_H, initializing intermediate features H_J.</w:t>
      </w:r>
    </w:p>
    <w:p>
      <w:pPr>
        <w:pStyle w:val="ListBullet"/>
        <w:spacing w:after="80" w:line="276" w:lineRule="auto"/>
      </w:pPr>
      <w:r>
        <w:rPr>
          <w:rFonts w:ascii="Times New Roman" w:hAnsi="Times New Roman"/>
          <w:b/>
          <w:sz w:val="24"/>
        </w:rPr>
        <w:t xml:space="preserve">Stage 2 (Unified Layer Optimization): </w:t>
      </w:r>
      <w:r>
        <w:rPr>
          <w:rFonts w:ascii="Times New Roman" w:hAnsi="Times New Roman"/>
          <w:sz w:val="24"/>
        </w:rPr>
        <w:t>Pass intermediate feature H_J to the J-th uniformed layer and execute Algorithm 1 to independently compute optimal W_J and P_J.</w:t>
      </w:r>
    </w:p>
    <w:p>
      <w:pPr>
        <w:pStyle w:val="ListBullet"/>
        <w:spacing w:after="80" w:line="276" w:lineRule="auto"/>
      </w:pPr>
      <w:r>
        <w:rPr>
          <w:rFonts w:ascii="Times New Roman" w:hAnsi="Times New Roman"/>
          <w:b/>
          <w:sz w:val="24"/>
        </w:rPr>
        <w:t xml:space="preserve">Inference &amp; Prediction Phase: </w:t>
      </w:r>
      <w:r>
        <w:rPr>
          <w:rFonts w:ascii="Times New Roman" w:hAnsi="Times New Roman"/>
          <w:sz w:val="24"/>
        </w:rPr>
        <w:t>For unlabeled MedHSI cube E, intermediate feature E_J is extracted via trained J-1 layers, exported as F = W_J^T E_J, and fed into Softmax layer for pixel prediction.</w:t>
      </w:r>
    </w:p>
    <w:p>
      <w:pPr>
        <w:keepNext/>
        <w:spacing w:before="440" w:after="120"/>
      </w:pPr>
      <w:r>
        <w:rPr>
          <w:rFonts w:ascii="Times New Roman" w:hAnsi="Times New Roman"/>
          <w:b/>
          <w:color w:val="1B365D"/>
          <w:sz w:val="31"/>
        </w:rPr>
        <w:t>4. Datasets Used</w:t>
      </w:r>
    </w:p>
    <w:p>
      <w:pPr>
        <w:keepNext/>
        <w:spacing w:before="280" w:after="80"/>
      </w:pPr>
      <w:r>
        <w:rPr>
          <w:rFonts w:ascii="Times New Roman" w:hAnsi="Times New Roman"/>
          <w:b/>
          <w:color w:val="2B547E"/>
          <w:sz w:val="26"/>
        </w:rPr>
        <w:t>4.1 In Vivo Hyperspectral Human Brain (In Vivo HHB) Dataset</w:t>
      </w:r>
    </w:p>
    <w:p>
      <w:pPr>
        <w:spacing w:after="120" w:line="276" w:lineRule="auto"/>
      </w:pPr>
      <w:r>
        <w:rPr>
          <w:rFonts w:ascii="Times New Roman" w:hAnsi="Times New Roman"/>
          <w:color w:val="222222"/>
          <w:sz w:val="24"/>
        </w:rPr>
        <w:t>The In Vivo HHB database (Fabelo et al.) was acquired intraoperatively during neurosurgery using a customized push-broom hyperspectral imaging camera. The camera covers the 400–1000 nm spectral range with 2–3 nm resolution, recording 826 spectral bands across 36 MedHSIs from human patients. The annotations comprise four classes: Normal Tissue, Tumor Tissue, Hypervascularized Tissue, and Labeled Background.</w:t>
      </w:r>
    </w:p>
    <w:p>
      <w:pPr>
        <w:spacing w:after="120" w:line="276" w:lineRule="auto"/>
      </w:pPr>
      <w:r>
        <w:rPr>
          <w:rFonts w:ascii="Times New Roman" w:hAnsi="Times New Roman"/>
          <w:color w:val="222222"/>
          <w:sz w:val="24"/>
        </w:rPr>
        <w:t>To reduce computational load, a band sampling factor of 30 was applied, downsampling bands from 826 to 27. Two representative scenes—MedHSI No. 020-01 and MedHSI No. 015-01—were chosen for benchmark comparisons.</w:t>
      </w:r>
    </w:p>
    <w:p>
      <w:pPr>
        <w:keepNext/>
        <w:spacing w:before="280" w:after="80"/>
      </w:pPr>
      <w:r>
        <w:rPr>
          <w:rFonts w:ascii="Times New Roman" w:hAnsi="Times New Roman"/>
          <w:b/>
          <w:color w:val="2B547E"/>
          <w:sz w:val="26"/>
        </w:rPr>
        <w:t>4.2 Multidimensional Choledoch (MC) Dataset</w:t>
      </w:r>
    </w:p>
    <w:p>
      <w:pPr>
        <w:spacing w:after="120" w:line="276" w:lineRule="auto"/>
      </w:pPr>
      <w:r>
        <w:rPr>
          <w:rFonts w:ascii="Times New Roman" w:hAnsi="Times New Roman"/>
          <w:color w:val="222222"/>
          <w:sz w:val="24"/>
        </w:rPr>
        <w:t>The MC database (Zhang et al. / Sun et al.) was captured using microscopic hyperspectral imaging on choledoch tissue samples from 174 patients at Changhai Hospital, Shanghai, China. It comprises 880 MedHSI scenes (689 partial cancer, 49 full cancer, 142 non-cancer). Each scene contains 60 spectral bands with an original spatial resolution of 1280 x 1024 pixels.</w:t>
      </w:r>
    </w:p>
    <w:p>
      <w:pPr>
        <w:spacing w:after="120" w:line="276" w:lineRule="auto"/>
      </w:pPr>
      <w:r>
        <w:rPr>
          <w:rFonts w:ascii="Times New Roman" w:hAnsi="Times New Roman"/>
          <w:color w:val="222222"/>
          <w:sz w:val="24"/>
        </w:rPr>
        <w:t>A spatial downsampling factor of 5 was applied, reducing resolution to 205 x 256 pixels. Two representative scenes—MedHSI No. x031368-20x-roi3 and MedHSI No. 033629-3-20x-roi5—were evaluated across two classes: Cholangiocarcinoma Tissue and Labeled Normal Tissue.</w:t>
      </w:r>
    </w:p>
    <w:p>
      <w:pPr>
        <w:keepNext/>
        <w:spacing w:before="280" w:after="80"/>
      </w:pPr>
      <w:r>
        <w:rPr>
          <w:rFonts w:ascii="Times New Roman" w:hAnsi="Times New Roman"/>
          <w:b/>
          <w:color w:val="2B547E"/>
          <w:sz w:val="26"/>
        </w:rPr>
        <w:t>4.3 Realistic Surgical Ultra-Sparse Training Protocols</w:t>
      </w:r>
    </w:p>
    <w:p>
      <w:pPr>
        <w:spacing w:after="120" w:line="276" w:lineRule="auto"/>
      </w:pPr>
      <w:r>
        <w:rPr>
          <w:rFonts w:ascii="Times New Roman" w:hAnsi="Times New Roman"/>
          <w:color w:val="222222"/>
          <w:sz w:val="24"/>
        </w:rPr>
        <w:t>As emphasized in Slide 14 of the presentation, DMCA was evaluated under ultra-strict, realistic surgical sampling regimes:</w:t>
      </w:r>
    </w:p>
    <w:p>
      <w:pPr>
        <w:pStyle w:val="ListBullet"/>
        <w:spacing w:after="80" w:line="276" w:lineRule="auto"/>
      </w:pPr>
      <w:r>
        <w:rPr>
          <w:rFonts w:ascii="Times New Roman" w:hAnsi="Times New Roman"/>
          <w:b/>
          <w:sz w:val="24"/>
        </w:rPr>
        <w:t xml:space="preserve">In Vivo HHB Dataset Split: </w:t>
      </w:r>
      <w:r>
        <w:rPr>
          <w:rFonts w:ascii="Times New Roman" w:hAnsi="Times New Roman"/>
          <w:sz w:val="24"/>
        </w:rPr>
        <w:t>Only 0.1% of labeled pixels per class were sampled for training, leaving 99.9% for testing.</w:t>
      </w:r>
    </w:p>
    <w:p>
      <w:pPr>
        <w:pStyle w:val="ListBullet"/>
        <w:spacing w:after="80" w:line="276" w:lineRule="auto"/>
      </w:pPr>
      <w:r>
        <w:rPr>
          <w:rFonts w:ascii="Times New Roman" w:hAnsi="Times New Roman"/>
          <w:b/>
          <w:sz w:val="24"/>
        </w:rPr>
        <w:t xml:space="preserve">MC Choledoch Dataset Split: </w:t>
      </w:r>
      <w:r>
        <w:rPr>
          <w:rFonts w:ascii="Times New Roman" w:hAnsi="Times New Roman"/>
          <w:sz w:val="24"/>
        </w:rPr>
        <w:t>Only 0.2% of labeled pixels per class were sampled for training, leaving 99.8% for testing.</w:t>
      </w:r>
    </w:p>
    <w:p>
      <w:pPr>
        <w:pStyle w:val="ListBullet"/>
        <w:spacing w:after="80" w:line="276" w:lineRule="auto"/>
      </w:pPr>
      <w:r>
        <w:rPr>
          <w:rFonts w:ascii="Times New Roman" w:hAnsi="Times New Roman"/>
          <w:b/>
          <w:sz w:val="24"/>
        </w:rPr>
        <w:t xml:space="preserve">Ultra-Sparse 0.01% Surgical Scenario: </w:t>
      </w:r>
      <w:r>
        <w:rPr>
          <w:rFonts w:ascii="Times New Roman" w:hAnsi="Times New Roman"/>
          <w:sz w:val="24"/>
        </w:rPr>
        <w:t>In extra robustness tests, the authors evaluated an extreme 0.01% training split (99.99% testing), demonstrating DMCA's reliability when surgeons have virtually zero prior labeled biopsy data.</w:t>
      </w:r>
    </w:p>
    <w:p>
      <w:pPr>
        <w:keepNext/>
        <w:spacing w:before="440" w:after="120"/>
      </w:pPr>
      <w:r>
        <w:rPr>
          <w:rFonts w:ascii="Times New Roman" w:hAnsi="Times New Roman"/>
          <w:b/>
          <w:color w:val="1B365D"/>
          <w:sz w:val="31"/>
        </w:rPr>
        <w:t>5. Experimental Setup and Results</w:t>
      </w:r>
    </w:p>
    <w:p>
      <w:pPr>
        <w:keepNext/>
        <w:spacing w:before="280" w:after="80"/>
      </w:pPr>
      <w:r>
        <w:rPr>
          <w:rFonts w:ascii="Times New Roman" w:hAnsi="Times New Roman"/>
          <w:b/>
          <w:color w:val="2B547E"/>
          <w:sz w:val="26"/>
        </w:rPr>
        <w:t>5.1 Experimental Metrics &amp; Setup</w:t>
      </w:r>
    </w:p>
    <w:p>
      <w:pPr>
        <w:spacing w:after="120" w:line="276" w:lineRule="auto"/>
      </w:pPr>
      <w:r>
        <w:rPr>
          <w:rFonts w:ascii="Times New Roman" w:hAnsi="Times New Roman"/>
          <w:color w:val="222222"/>
          <w:sz w:val="24"/>
        </w:rPr>
        <w:t>Model performance was evaluated using three quantitative metrics: Overall Accuracy (OA), Average Accuracy (AA), and Kappa Coefficient (Kappa x 100), along with individual class identification rates. Experiments were repeated 10 times to report average values.</w:t>
      </w:r>
    </w:p>
    <w:p>
      <w:pPr>
        <w:keepNext/>
        <w:spacing w:before="280" w:after="80"/>
      </w:pPr>
      <w:r>
        <w:rPr>
          <w:rFonts w:ascii="Times New Roman" w:hAnsi="Times New Roman"/>
          <w:b/>
          <w:color w:val="2B547E"/>
          <w:sz w:val="26"/>
        </w:rPr>
        <w:t>5.2 Hyperparameter Tuning ($\lambda_1, \lambda_2$)</w:t>
      </w:r>
    </w:p>
    <w:p>
      <w:pPr>
        <w:spacing w:after="120" w:line="276" w:lineRule="auto"/>
      </w:pPr>
      <w:r>
        <w:rPr>
          <w:rFonts w:ascii="Times New Roman" w:hAnsi="Times New Roman"/>
          <w:color w:val="222222"/>
          <w:sz w:val="24"/>
        </w:rPr>
        <w:t>A 2D grid search across {0.0001, 0.001, 0.01, 0.1, 1, 10} identified optimal penalty parameters: lambda_1 = 0.1 (sparsity) and lambda_2 = 0.01 (margin cosine loss), with total deep layers J+1 fixed to 4.</w:t>
      </w:r>
    </w:p>
    <w:p>
      <w:pPr>
        <w:keepNext/>
        <w:spacing w:before="280" w:after="80"/>
      </w:pPr>
      <w:r>
        <w:rPr>
          <w:rFonts w:ascii="Times New Roman" w:hAnsi="Times New Roman"/>
          <w:b/>
          <w:color w:val="2B547E"/>
          <w:sz w:val="26"/>
        </w:rPr>
        <w:t>5.3 Benchmark Comparison on In Vivo HHB Brain Cancer Dataset</w:t>
      </w:r>
    </w:p>
    <w:p>
      <w:pPr>
        <w:keepNext/>
        <w:spacing w:before="200" w:after="40"/>
      </w:pPr>
      <w:r>
        <w:rPr>
          <w:rFonts w:ascii="Times New Roman" w:hAnsi="Times New Roman"/>
          <w:b/>
          <w:i/>
          <w:color w:val="333333"/>
          <w:sz w:val="24"/>
        </w:rPr>
        <w:t>Table I: Quantitative Metric Results on In Vivo HHB MedHSI No. 020-01 (0.1% Training Split)</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1B365D"/>
          </w:tcPr>
          <w:p>
            <w:pPr>
              <w:spacing w:before="80" w:after="80"/>
              <w:jc w:val="center"/>
            </w:pPr>
            <w:r>
              <w:rPr>
                <w:rFonts w:ascii="Times New Roman" w:hAnsi="Times New Roman"/>
                <w:b/>
                <w:color w:val="FFFFFF"/>
                <w:sz w:val="19"/>
              </w:rPr>
              <w:t>Class / Evaluation Metric</w:t>
            </w:r>
          </w:p>
        </w:tc>
        <w:tc>
          <w:tcPr>
            <w:tcW w:type="dxa" w:w="903"/>
            <w:shd w:fill="1B365D"/>
          </w:tcPr>
          <w:p>
            <w:pPr>
              <w:spacing w:before="80" w:after="80"/>
              <w:jc w:val="center"/>
            </w:pPr>
            <w:r>
              <w:rPr>
                <w:rFonts w:ascii="Times New Roman" w:hAnsi="Times New Roman"/>
                <w:b/>
                <w:color w:val="FFFFFF"/>
                <w:sz w:val="19"/>
              </w:rPr>
              <w:t>SVM</w:t>
            </w:r>
          </w:p>
        </w:tc>
        <w:tc>
          <w:tcPr>
            <w:tcW w:type="dxa" w:w="903"/>
            <w:shd w:fill="1B365D"/>
          </w:tcPr>
          <w:p>
            <w:pPr>
              <w:spacing w:before="80" w:after="80"/>
              <w:jc w:val="center"/>
            </w:pPr>
            <w:r>
              <w:rPr>
                <w:rFonts w:ascii="Times New Roman" w:hAnsi="Times New Roman"/>
                <w:b/>
                <w:color w:val="FFFFFF"/>
                <w:sz w:val="19"/>
              </w:rPr>
              <w:t>SVM-Gabor</w:t>
            </w:r>
          </w:p>
        </w:tc>
        <w:tc>
          <w:tcPr>
            <w:tcW w:type="dxa" w:w="903"/>
            <w:shd w:fill="1B365D"/>
          </w:tcPr>
          <w:p>
            <w:pPr>
              <w:spacing w:before="80" w:after="80"/>
              <w:jc w:val="center"/>
            </w:pPr>
            <w:r>
              <w:rPr>
                <w:rFonts w:ascii="Times New Roman" w:hAnsi="Times New Roman"/>
                <w:b/>
                <w:color w:val="FFFFFF"/>
                <w:sz w:val="19"/>
              </w:rPr>
              <w:t>MFASR</w:t>
            </w:r>
          </w:p>
        </w:tc>
        <w:tc>
          <w:tcPr>
            <w:tcW w:type="dxa" w:w="903"/>
            <w:shd w:fill="1B365D"/>
          </w:tcPr>
          <w:p>
            <w:pPr>
              <w:spacing w:before="80" w:after="80"/>
              <w:jc w:val="center"/>
            </w:pPr>
            <w:r>
              <w:rPr>
                <w:rFonts w:ascii="Times New Roman" w:hAnsi="Times New Roman"/>
                <w:b/>
                <w:color w:val="FFFFFF"/>
                <w:sz w:val="19"/>
              </w:rPr>
              <w:t>SAE</w:t>
            </w:r>
          </w:p>
        </w:tc>
        <w:tc>
          <w:tcPr>
            <w:tcW w:type="dxa" w:w="903"/>
            <w:shd w:fill="1B365D"/>
          </w:tcPr>
          <w:p>
            <w:pPr>
              <w:spacing w:before="80" w:after="80"/>
              <w:jc w:val="center"/>
            </w:pPr>
            <w:r>
              <w:rPr>
                <w:rFonts w:ascii="Times New Roman" w:hAnsi="Times New Roman"/>
                <w:b/>
                <w:color w:val="FFFFFF"/>
                <w:sz w:val="19"/>
              </w:rPr>
              <w:t>CNN</w:t>
            </w:r>
          </w:p>
        </w:tc>
        <w:tc>
          <w:tcPr>
            <w:tcW w:type="dxa" w:w="903"/>
            <w:shd w:fill="1B365D"/>
          </w:tcPr>
          <w:p>
            <w:pPr>
              <w:spacing w:before="80" w:after="80"/>
              <w:jc w:val="center"/>
            </w:pPr>
            <w:r>
              <w:rPr>
                <w:rFonts w:ascii="Times New Roman" w:hAnsi="Times New Roman"/>
                <w:b/>
                <w:color w:val="FFFFFF"/>
                <w:sz w:val="19"/>
              </w:rPr>
              <w:t>RPNet</w:t>
            </w:r>
          </w:p>
        </w:tc>
        <w:tc>
          <w:tcPr>
            <w:tcW w:type="dxa" w:w="903"/>
            <w:shd w:fill="1B365D"/>
          </w:tcPr>
          <w:p>
            <w:pPr>
              <w:spacing w:before="80" w:after="80"/>
              <w:jc w:val="center"/>
            </w:pPr>
            <w:r>
              <w:rPr>
                <w:rFonts w:ascii="Times New Roman" w:hAnsi="Times New Roman"/>
                <w:b/>
                <w:color w:val="FFFFFF"/>
                <w:sz w:val="19"/>
              </w:rPr>
              <w:t>FMDM</w:t>
            </w:r>
          </w:p>
        </w:tc>
        <w:tc>
          <w:tcPr>
            <w:tcW w:type="dxa" w:w="903"/>
            <w:shd w:fill="1B365D"/>
          </w:tcPr>
          <w:p>
            <w:pPr>
              <w:spacing w:before="80" w:after="80"/>
              <w:jc w:val="center"/>
            </w:pPr>
            <w:r>
              <w:rPr>
                <w:rFonts w:ascii="Times New Roman" w:hAnsi="Times New Roman"/>
                <w:b/>
                <w:color w:val="FFFFFF"/>
                <w:sz w:val="19"/>
              </w:rPr>
              <w:t>FUST</w:t>
            </w:r>
          </w:p>
        </w:tc>
        <w:tc>
          <w:tcPr>
            <w:tcW w:type="dxa" w:w="903"/>
            <w:shd w:fill="1B365D"/>
          </w:tcPr>
          <w:p>
            <w:pPr>
              <w:spacing w:before="80" w:after="80"/>
              <w:jc w:val="center"/>
            </w:pPr>
            <w:r>
              <w:rPr>
                <w:rFonts w:ascii="Times New Roman" w:hAnsi="Times New Roman"/>
                <w:b/>
                <w:color w:val="FFFFFF"/>
                <w:sz w:val="19"/>
              </w:rPr>
              <w:t>DMCA (Ours)</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1. Normal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87.62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97.38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96.79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94.12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98.41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98.14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97.86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96.77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98.41</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2. Tumour Tissue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99.12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93.22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94.67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99.86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99.97</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3. Hypervascularized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67.26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77.38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90.59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92.99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93.93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93.46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94.73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93.99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99.93</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4. Labeled Background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89.51</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94.30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96.65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100.0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100.0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99.81</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Overall Accuracy - OA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89.30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91.83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94.97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97.53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98.57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98.60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98.44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98.13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99.62</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Average Accuracy - AA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85.88</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90.57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94.67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96.56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97.97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97.88</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97.90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97.48</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99.53</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Kappa Coefficient (Kappa x 100)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85.13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88.74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93.03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96.56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98.02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98.05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97.83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97.41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99.48</w:t>
            </w:r>
          </w:p>
        </w:tc>
      </w:tr>
    </w:tbl>
    <w:p>
      <w:pPr>
        <w:spacing w:before="0" w:after="120"/>
      </w:pPr>
    </w:p>
    <w:p>
      <w:pPr>
        <w:keepNext/>
        <w:spacing w:before="200" w:after="40"/>
      </w:pPr>
      <w:r>
        <w:rPr>
          <w:rFonts w:ascii="Times New Roman" w:hAnsi="Times New Roman"/>
          <w:b/>
          <w:i/>
          <w:color w:val="333333"/>
          <w:sz w:val="24"/>
        </w:rPr>
        <w:t>Table II: Quantitative Metric Results on In Vivo HHB MedHSI No. 015-01 (0.1% Training Split)</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1B365D"/>
          </w:tcPr>
          <w:p>
            <w:pPr>
              <w:spacing w:before="80" w:after="80"/>
              <w:jc w:val="center"/>
            </w:pPr>
            <w:r>
              <w:rPr>
                <w:rFonts w:ascii="Times New Roman" w:hAnsi="Times New Roman"/>
                <w:b/>
                <w:color w:val="FFFFFF"/>
                <w:sz w:val="19"/>
              </w:rPr>
              <w:t>Class / Evaluation Metric</w:t>
            </w:r>
          </w:p>
        </w:tc>
        <w:tc>
          <w:tcPr>
            <w:tcW w:type="dxa" w:w="903"/>
            <w:shd w:fill="1B365D"/>
          </w:tcPr>
          <w:p>
            <w:pPr>
              <w:spacing w:before="80" w:after="80"/>
              <w:jc w:val="center"/>
            </w:pPr>
            <w:r>
              <w:rPr>
                <w:rFonts w:ascii="Times New Roman" w:hAnsi="Times New Roman"/>
                <w:b/>
                <w:color w:val="FFFFFF"/>
                <w:sz w:val="19"/>
              </w:rPr>
              <w:t>SVM</w:t>
            </w:r>
          </w:p>
        </w:tc>
        <w:tc>
          <w:tcPr>
            <w:tcW w:type="dxa" w:w="903"/>
            <w:shd w:fill="1B365D"/>
          </w:tcPr>
          <w:p>
            <w:pPr>
              <w:spacing w:before="80" w:after="80"/>
              <w:jc w:val="center"/>
            </w:pPr>
            <w:r>
              <w:rPr>
                <w:rFonts w:ascii="Times New Roman" w:hAnsi="Times New Roman"/>
                <w:b/>
                <w:color w:val="FFFFFF"/>
                <w:sz w:val="19"/>
              </w:rPr>
              <w:t>SVM-Gabor</w:t>
            </w:r>
          </w:p>
        </w:tc>
        <w:tc>
          <w:tcPr>
            <w:tcW w:type="dxa" w:w="903"/>
            <w:shd w:fill="1B365D"/>
          </w:tcPr>
          <w:p>
            <w:pPr>
              <w:spacing w:before="80" w:after="80"/>
              <w:jc w:val="center"/>
            </w:pPr>
            <w:r>
              <w:rPr>
                <w:rFonts w:ascii="Times New Roman" w:hAnsi="Times New Roman"/>
                <w:b/>
                <w:color w:val="FFFFFF"/>
                <w:sz w:val="19"/>
              </w:rPr>
              <w:t>MFASR</w:t>
            </w:r>
          </w:p>
        </w:tc>
        <w:tc>
          <w:tcPr>
            <w:tcW w:type="dxa" w:w="903"/>
            <w:shd w:fill="1B365D"/>
          </w:tcPr>
          <w:p>
            <w:pPr>
              <w:spacing w:before="80" w:after="80"/>
              <w:jc w:val="center"/>
            </w:pPr>
            <w:r>
              <w:rPr>
                <w:rFonts w:ascii="Times New Roman" w:hAnsi="Times New Roman"/>
                <w:b/>
                <w:color w:val="FFFFFF"/>
                <w:sz w:val="19"/>
              </w:rPr>
              <w:t>SAE</w:t>
            </w:r>
          </w:p>
        </w:tc>
        <w:tc>
          <w:tcPr>
            <w:tcW w:type="dxa" w:w="903"/>
            <w:shd w:fill="1B365D"/>
          </w:tcPr>
          <w:p>
            <w:pPr>
              <w:spacing w:before="80" w:after="80"/>
              <w:jc w:val="center"/>
            </w:pPr>
            <w:r>
              <w:rPr>
                <w:rFonts w:ascii="Times New Roman" w:hAnsi="Times New Roman"/>
                <w:b/>
                <w:color w:val="FFFFFF"/>
                <w:sz w:val="19"/>
              </w:rPr>
              <w:t>CNN</w:t>
            </w:r>
          </w:p>
        </w:tc>
        <w:tc>
          <w:tcPr>
            <w:tcW w:type="dxa" w:w="903"/>
            <w:shd w:fill="1B365D"/>
          </w:tcPr>
          <w:p>
            <w:pPr>
              <w:spacing w:before="80" w:after="80"/>
              <w:jc w:val="center"/>
            </w:pPr>
            <w:r>
              <w:rPr>
                <w:rFonts w:ascii="Times New Roman" w:hAnsi="Times New Roman"/>
                <w:b/>
                <w:color w:val="FFFFFF"/>
                <w:sz w:val="19"/>
              </w:rPr>
              <w:t>RPNet</w:t>
            </w:r>
          </w:p>
        </w:tc>
        <w:tc>
          <w:tcPr>
            <w:tcW w:type="dxa" w:w="903"/>
            <w:shd w:fill="1B365D"/>
          </w:tcPr>
          <w:p>
            <w:pPr>
              <w:spacing w:before="80" w:after="80"/>
              <w:jc w:val="center"/>
            </w:pPr>
            <w:r>
              <w:rPr>
                <w:rFonts w:ascii="Times New Roman" w:hAnsi="Times New Roman"/>
                <w:b/>
                <w:color w:val="FFFFFF"/>
                <w:sz w:val="19"/>
              </w:rPr>
              <w:t>FMDM</w:t>
            </w:r>
          </w:p>
        </w:tc>
        <w:tc>
          <w:tcPr>
            <w:tcW w:type="dxa" w:w="903"/>
            <w:shd w:fill="1B365D"/>
          </w:tcPr>
          <w:p>
            <w:pPr>
              <w:spacing w:before="80" w:after="80"/>
              <w:jc w:val="center"/>
            </w:pPr>
            <w:r>
              <w:rPr>
                <w:rFonts w:ascii="Times New Roman" w:hAnsi="Times New Roman"/>
                <w:b/>
                <w:color w:val="FFFFFF"/>
                <w:sz w:val="19"/>
              </w:rPr>
              <w:t>FUST</w:t>
            </w:r>
          </w:p>
        </w:tc>
        <w:tc>
          <w:tcPr>
            <w:tcW w:type="dxa" w:w="903"/>
            <w:shd w:fill="1B365D"/>
          </w:tcPr>
          <w:p>
            <w:pPr>
              <w:spacing w:before="80" w:after="80"/>
              <w:jc w:val="center"/>
            </w:pPr>
            <w:r>
              <w:rPr>
                <w:rFonts w:ascii="Times New Roman" w:hAnsi="Times New Roman"/>
                <w:b/>
                <w:color w:val="FFFFFF"/>
                <w:sz w:val="19"/>
              </w:rPr>
              <w:t>DMCA (Ours)</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1. Normal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83.78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95.81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98.05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97.34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93.62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97.39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95.35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99.68</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2. Tumour Tissue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83.25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73.97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99.75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96.25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95.06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99.61</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98.80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99.80</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3. Hypervascularized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92.48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95.42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81.26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99.38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99.90</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4. Labeled Background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60.89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71.43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98.41</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95.51</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95.22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97.83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100.0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97.10</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Overall Accuracy - OA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86.07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88.00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89.95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98.56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97.65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98.34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98.75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99.60</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Average Accuracy - AA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80.10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84.16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94.37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97.81</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96.77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97.57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99.02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98.35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99.12</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Kappa Coefficient (Kappa x 100)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78.19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81.06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85.23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97.79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96.38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97.43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98.83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98.07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99.38</w:t>
            </w:r>
          </w:p>
        </w:tc>
      </w:tr>
    </w:tbl>
    <w:p>
      <w:pPr>
        <w:spacing w:before="0" w:after="120"/>
      </w:pPr>
    </w:p>
    <w:tbl>
      <w:tblPr>
        <w:tblW w:type="auto" w:w="0"/>
        <w:jc w:val="center"/>
        <w:tblLook w:firstColumn="1" w:firstRow="1" w:lastColumn="0" w:lastRow="0" w:noHBand="0" w:noVBand="1" w:val="04A0"/>
      </w:tblPr>
      <w:tblGrid>
        <w:gridCol w:w="9029"/>
      </w:tblGrid>
      <w:tr>
        <w:tc>
          <w:tcPr>
            <w:tcW w:type="dxa" w:w="9029"/>
            <w:shd w:fill="F0F4F8"/>
            <w:tcBorders>
              <w:top w:val="none"/>
              <w:left w:val="single" w:sz="24" w:space="0" w:color="1B365D"/>
              <w:bottom w:val="none"/>
              <w:right w:val="none"/>
            </w:tcBorders>
            <w:tcMar>
              <w:top w:w="120" w:type="dxa"/>
              <w:bottom w:w="120" w:type="dxa"/>
              <w:left w:w="200" w:type="dxa"/>
              <w:right w:w="200" w:type="dxa"/>
            </w:tcMar>
          </w:tcPr>
          <w:p>
            <w:pPr>
              <w:spacing w:before="80" w:after="80"/>
            </w:pPr>
            <w:r>
              <w:rPr>
                <w:rFonts w:ascii="Times New Roman" w:hAnsi="Times New Roman"/>
                <w:b/>
                <w:color w:val="1B365D"/>
                <w:sz w:val="22"/>
              </w:rPr>
              <w:t>■ CRITICAL CLINICAL FINDING: HIGH-FIDELITY TUMOR DETECTION</w:t>
              <w:br/>
            </w:r>
            <w:r>
              <w:rPr>
                <w:rFonts w:ascii="Times New Roman" w:hAnsi="Times New Roman"/>
                <w:i/>
                <w:color w:val="222222"/>
                <w:sz w:val="21"/>
              </w:rPr>
              <w:t>DMCA achieves extraordinary tumor tissue detection rates of 99.97% on MedHSI No. 020-01 and 99.80% on MedHSI No. 015-01. In surgical neuro-oncology, avoiding false negatives in tumor detection is paramount to preventing fatal tumor recurrence.</w:t>
            </w:r>
          </w:p>
        </w:tc>
      </w:tr>
    </w:tbl>
    <w:p>
      <w:pPr>
        <w:spacing w:before="0" w:after="80"/>
      </w:pPr>
    </w:p>
    <w:p>
      <w:pPr>
        <w:keepNext/>
        <w:spacing w:before="280" w:after="80"/>
      </w:pPr>
      <w:r>
        <w:rPr>
          <w:rFonts w:ascii="Times New Roman" w:hAnsi="Times New Roman"/>
          <w:b/>
          <w:color w:val="2B547E"/>
          <w:sz w:val="26"/>
        </w:rPr>
        <w:t>5.4 Benchmark Comparison on Cholangiocarcinoma MC Dataset</w:t>
      </w:r>
    </w:p>
    <w:p>
      <w:pPr>
        <w:keepNext/>
        <w:spacing w:before="200" w:after="40"/>
      </w:pPr>
      <w:r>
        <w:rPr>
          <w:rFonts w:ascii="Times New Roman" w:hAnsi="Times New Roman"/>
          <w:b/>
          <w:i/>
          <w:color w:val="333333"/>
          <w:sz w:val="24"/>
        </w:rPr>
        <w:t>Table III: Quantitative Metric Results on MC Dataset Scene No. x031368-20x-roi3</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1B365D"/>
          </w:tcPr>
          <w:p>
            <w:pPr>
              <w:spacing w:before="80" w:after="80"/>
              <w:jc w:val="center"/>
            </w:pPr>
            <w:r>
              <w:rPr>
                <w:rFonts w:ascii="Times New Roman" w:hAnsi="Times New Roman"/>
                <w:b/>
                <w:color w:val="FFFFFF"/>
                <w:sz w:val="19"/>
              </w:rPr>
              <w:t>Class / Metric</w:t>
            </w:r>
          </w:p>
        </w:tc>
        <w:tc>
          <w:tcPr>
            <w:tcW w:type="dxa" w:w="903"/>
            <w:shd w:fill="1B365D"/>
          </w:tcPr>
          <w:p>
            <w:pPr>
              <w:spacing w:before="80" w:after="80"/>
              <w:jc w:val="center"/>
            </w:pPr>
            <w:r>
              <w:rPr>
                <w:rFonts w:ascii="Times New Roman" w:hAnsi="Times New Roman"/>
                <w:b/>
                <w:color w:val="FFFFFF"/>
                <w:sz w:val="19"/>
              </w:rPr>
              <w:t>SVM</w:t>
            </w:r>
          </w:p>
        </w:tc>
        <w:tc>
          <w:tcPr>
            <w:tcW w:type="dxa" w:w="903"/>
            <w:shd w:fill="1B365D"/>
          </w:tcPr>
          <w:p>
            <w:pPr>
              <w:spacing w:before="80" w:after="80"/>
              <w:jc w:val="center"/>
            </w:pPr>
            <w:r>
              <w:rPr>
                <w:rFonts w:ascii="Times New Roman" w:hAnsi="Times New Roman"/>
                <w:b/>
                <w:color w:val="FFFFFF"/>
                <w:sz w:val="19"/>
              </w:rPr>
              <w:t>SVM-Gabor</w:t>
            </w:r>
          </w:p>
        </w:tc>
        <w:tc>
          <w:tcPr>
            <w:tcW w:type="dxa" w:w="903"/>
            <w:shd w:fill="1B365D"/>
          </w:tcPr>
          <w:p>
            <w:pPr>
              <w:spacing w:before="80" w:after="80"/>
              <w:jc w:val="center"/>
            </w:pPr>
            <w:r>
              <w:rPr>
                <w:rFonts w:ascii="Times New Roman" w:hAnsi="Times New Roman"/>
                <w:b/>
                <w:color w:val="FFFFFF"/>
                <w:sz w:val="19"/>
              </w:rPr>
              <w:t>MFASR</w:t>
            </w:r>
          </w:p>
        </w:tc>
        <w:tc>
          <w:tcPr>
            <w:tcW w:type="dxa" w:w="903"/>
            <w:shd w:fill="1B365D"/>
          </w:tcPr>
          <w:p>
            <w:pPr>
              <w:spacing w:before="80" w:after="80"/>
              <w:jc w:val="center"/>
            </w:pPr>
            <w:r>
              <w:rPr>
                <w:rFonts w:ascii="Times New Roman" w:hAnsi="Times New Roman"/>
                <w:b/>
                <w:color w:val="FFFFFF"/>
                <w:sz w:val="19"/>
              </w:rPr>
              <w:t>SAE</w:t>
            </w:r>
          </w:p>
        </w:tc>
        <w:tc>
          <w:tcPr>
            <w:tcW w:type="dxa" w:w="903"/>
            <w:shd w:fill="1B365D"/>
          </w:tcPr>
          <w:p>
            <w:pPr>
              <w:spacing w:before="80" w:after="80"/>
              <w:jc w:val="center"/>
            </w:pPr>
            <w:r>
              <w:rPr>
                <w:rFonts w:ascii="Times New Roman" w:hAnsi="Times New Roman"/>
                <w:b/>
                <w:color w:val="FFFFFF"/>
                <w:sz w:val="19"/>
              </w:rPr>
              <w:t>CNN</w:t>
            </w:r>
          </w:p>
        </w:tc>
        <w:tc>
          <w:tcPr>
            <w:tcW w:type="dxa" w:w="903"/>
            <w:shd w:fill="1B365D"/>
          </w:tcPr>
          <w:p>
            <w:pPr>
              <w:spacing w:before="80" w:after="80"/>
              <w:jc w:val="center"/>
            </w:pPr>
            <w:r>
              <w:rPr>
                <w:rFonts w:ascii="Times New Roman" w:hAnsi="Times New Roman"/>
                <w:b/>
                <w:color w:val="FFFFFF"/>
                <w:sz w:val="19"/>
              </w:rPr>
              <w:t>RPNet</w:t>
            </w:r>
          </w:p>
        </w:tc>
        <w:tc>
          <w:tcPr>
            <w:tcW w:type="dxa" w:w="903"/>
            <w:shd w:fill="1B365D"/>
          </w:tcPr>
          <w:p>
            <w:pPr>
              <w:spacing w:before="80" w:after="80"/>
              <w:jc w:val="center"/>
            </w:pPr>
            <w:r>
              <w:rPr>
                <w:rFonts w:ascii="Times New Roman" w:hAnsi="Times New Roman"/>
                <w:b/>
                <w:color w:val="FFFFFF"/>
                <w:sz w:val="19"/>
              </w:rPr>
              <w:t>FMDM</w:t>
            </w:r>
          </w:p>
        </w:tc>
        <w:tc>
          <w:tcPr>
            <w:tcW w:type="dxa" w:w="903"/>
            <w:shd w:fill="1B365D"/>
          </w:tcPr>
          <w:p>
            <w:pPr>
              <w:spacing w:before="80" w:after="80"/>
              <w:jc w:val="center"/>
            </w:pPr>
            <w:r>
              <w:rPr>
                <w:rFonts w:ascii="Times New Roman" w:hAnsi="Times New Roman"/>
                <w:b/>
                <w:color w:val="FFFFFF"/>
                <w:sz w:val="19"/>
              </w:rPr>
              <w:t>FUST</w:t>
            </w:r>
          </w:p>
        </w:tc>
        <w:tc>
          <w:tcPr>
            <w:tcW w:type="dxa" w:w="903"/>
            <w:shd w:fill="1B365D"/>
          </w:tcPr>
          <w:p>
            <w:pPr>
              <w:spacing w:before="80" w:after="80"/>
              <w:jc w:val="center"/>
            </w:pPr>
            <w:r>
              <w:rPr>
                <w:rFonts w:ascii="Times New Roman" w:hAnsi="Times New Roman"/>
                <w:b/>
                <w:color w:val="FFFFFF"/>
                <w:sz w:val="19"/>
              </w:rPr>
              <w:t>DMCA</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Cholangiocarcinoma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91.95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86.26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87.98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87.78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92.41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97.05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96.02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97.43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99.88</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Labeled Normal Tissue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76.33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84.98</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94.14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99.03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97.77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98.29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97.47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96.80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99.62</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Overall Accuracy - OA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83.96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85.60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91.13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93.54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95.15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97.68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96.77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97.11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99.75</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Average Accuracy - AA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84.14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85.62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91.06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93.40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95.09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97.67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96.75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97.12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99.75</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Kappa (Kappa x 100)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68.02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71.21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82.23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87.03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90.29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95.36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93.52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94.22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99.50</w:t>
            </w:r>
          </w:p>
        </w:tc>
      </w:tr>
    </w:tbl>
    <w:p>
      <w:pPr>
        <w:spacing w:before="0" w:after="120"/>
      </w:pPr>
    </w:p>
    <w:p>
      <w:pPr>
        <w:keepNext/>
        <w:spacing w:before="200" w:after="40"/>
      </w:pPr>
      <w:r>
        <w:rPr>
          <w:rFonts w:ascii="Times New Roman" w:hAnsi="Times New Roman"/>
          <w:b/>
          <w:i/>
          <w:color w:val="333333"/>
          <w:sz w:val="24"/>
        </w:rPr>
        <w:t>Table IV: Quantitative Metric Results on MC Dataset Scene No. 033629-3-20x-roi5</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1B365D"/>
          </w:tcPr>
          <w:p>
            <w:pPr>
              <w:spacing w:before="80" w:after="80"/>
              <w:jc w:val="center"/>
            </w:pPr>
            <w:r>
              <w:rPr>
                <w:rFonts w:ascii="Times New Roman" w:hAnsi="Times New Roman"/>
                <w:b/>
                <w:color w:val="FFFFFF"/>
                <w:sz w:val="19"/>
              </w:rPr>
              <w:t>Class / Metric</w:t>
            </w:r>
          </w:p>
        </w:tc>
        <w:tc>
          <w:tcPr>
            <w:tcW w:type="dxa" w:w="903"/>
            <w:shd w:fill="1B365D"/>
          </w:tcPr>
          <w:p>
            <w:pPr>
              <w:spacing w:before="80" w:after="80"/>
              <w:jc w:val="center"/>
            </w:pPr>
            <w:r>
              <w:rPr>
                <w:rFonts w:ascii="Times New Roman" w:hAnsi="Times New Roman"/>
                <w:b/>
                <w:color w:val="FFFFFF"/>
                <w:sz w:val="19"/>
              </w:rPr>
              <w:t>SVM</w:t>
            </w:r>
          </w:p>
        </w:tc>
        <w:tc>
          <w:tcPr>
            <w:tcW w:type="dxa" w:w="903"/>
            <w:shd w:fill="1B365D"/>
          </w:tcPr>
          <w:p>
            <w:pPr>
              <w:spacing w:before="80" w:after="80"/>
              <w:jc w:val="center"/>
            </w:pPr>
            <w:r>
              <w:rPr>
                <w:rFonts w:ascii="Times New Roman" w:hAnsi="Times New Roman"/>
                <w:b/>
                <w:color w:val="FFFFFF"/>
                <w:sz w:val="19"/>
              </w:rPr>
              <w:t>SVM-Gabor</w:t>
            </w:r>
          </w:p>
        </w:tc>
        <w:tc>
          <w:tcPr>
            <w:tcW w:type="dxa" w:w="903"/>
            <w:shd w:fill="1B365D"/>
          </w:tcPr>
          <w:p>
            <w:pPr>
              <w:spacing w:before="80" w:after="80"/>
              <w:jc w:val="center"/>
            </w:pPr>
            <w:r>
              <w:rPr>
                <w:rFonts w:ascii="Times New Roman" w:hAnsi="Times New Roman"/>
                <w:b/>
                <w:color w:val="FFFFFF"/>
                <w:sz w:val="19"/>
              </w:rPr>
              <w:t>MFASR</w:t>
            </w:r>
          </w:p>
        </w:tc>
        <w:tc>
          <w:tcPr>
            <w:tcW w:type="dxa" w:w="903"/>
            <w:shd w:fill="1B365D"/>
          </w:tcPr>
          <w:p>
            <w:pPr>
              <w:spacing w:before="80" w:after="80"/>
              <w:jc w:val="center"/>
            </w:pPr>
            <w:r>
              <w:rPr>
                <w:rFonts w:ascii="Times New Roman" w:hAnsi="Times New Roman"/>
                <w:b/>
                <w:color w:val="FFFFFF"/>
                <w:sz w:val="19"/>
              </w:rPr>
              <w:t>SAE</w:t>
            </w:r>
          </w:p>
        </w:tc>
        <w:tc>
          <w:tcPr>
            <w:tcW w:type="dxa" w:w="903"/>
            <w:shd w:fill="1B365D"/>
          </w:tcPr>
          <w:p>
            <w:pPr>
              <w:spacing w:before="80" w:after="80"/>
              <w:jc w:val="center"/>
            </w:pPr>
            <w:r>
              <w:rPr>
                <w:rFonts w:ascii="Times New Roman" w:hAnsi="Times New Roman"/>
                <w:b/>
                <w:color w:val="FFFFFF"/>
                <w:sz w:val="19"/>
              </w:rPr>
              <w:t>CNN</w:t>
            </w:r>
          </w:p>
        </w:tc>
        <w:tc>
          <w:tcPr>
            <w:tcW w:type="dxa" w:w="903"/>
            <w:shd w:fill="1B365D"/>
          </w:tcPr>
          <w:p>
            <w:pPr>
              <w:spacing w:before="80" w:after="80"/>
              <w:jc w:val="center"/>
            </w:pPr>
            <w:r>
              <w:rPr>
                <w:rFonts w:ascii="Times New Roman" w:hAnsi="Times New Roman"/>
                <w:b/>
                <w:color w:val="FFFFFF"/>
                <w:sz w:val="19"/>
              </w:rPr>
              <w:t>RPNet</w:t>
            </w:r>
          </w:p>
        </w:tc>
        <w:tc>
          <w:tcPr>
            <w:tcW w:type="dxa" w:w="903"/>
            <w:shd w:fill="1B365D"/>
          </w:tcPr>
          <w:p>
            <w:pPr>
              <w:spacing w:before="80" w:after="80"/>
              <w:jc w:val="center"/>
            </w:pPr>
            <w:r>
              <w:rPr>
                <w:rFonts w:ascii="Times New Roman" w:hAnsi="Times New Roman"/>
                <w:b/>
                <w:color w:val="FFFFFF"/>
                <w:sz w:val="19"/>
              </w:rPr>
              <w:t>FMDM</w:t>
            </w:r>
          </w:p>
        </w:tc>
        <w:tc>
          <w:tcPr>
            <w:tcW w:type="dxa" w:w="903"/>
            <w:shd w:fill="1B365D"/>
          </w:tcPr>
          <w:p>
            <w:pPr>
              <w:spacing w:before="80" w:after="80"/>
              <w:jc w:val="center"/>
            </w:pPr>
            <w:r>
              <w:rPr>
                <w:rFonts w:ascii="Times New Roman" w:hAnsi="Times New Roman"/>
                <w:b/>
                <w:color w:val="FFFFFF"/>
                <w:sz w:val="19"/>
              </w:rPr>
              <w:t>FUST</w:t>
            </w:r>
          </w:p>
        </w:tc>
        <w:tc>
          <w:tcPr>
            <w:tcW w:type="dxa" w:w="903"/>
            <w:shd w:fill="1B365D"/>
          </w:tcPr>
          <w:p>
            <w:pPr>
              <w:spacing w:before="80" w:after="80"/>
              <w:jc w:val="center"/>
            </w:pPr>
            <w:r>
              <w:rPr>
                <w:rFonts w:ascii="Times New Roman" w:hAnsi="Times New Roman"/>
                <w:b/>
                <w:color w:val="FFFFFF"/>
                <w:sz w:val="19"/>
              </w:rPr>
              <w:t>DMCA</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Cholangiocarcinoma Tissue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44.66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43.80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76.02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79.78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86.76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94.87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95.92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93.14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99.48</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Labeled Normal Tissue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92.63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98.98</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96.03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99.33</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98.89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99.14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99.24</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95.89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99.84</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Overall Accuracy - OA (%)</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79.51</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83.89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90.56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93.99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95.57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97.97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98.33</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97.14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99.74</w:t>
            </w:r>
          </w:p>
        </w:tc>
      </w:tr>
      <w:tr>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Average Accuracy - AA (%)</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68.65</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71.39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86.02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89.56</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92.82</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97.00</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97.57</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95.89</w:t>
            </w:r>
          </w:p>
        </w:tc>
        <w:tc>
          <w:tcPr>
            <w:tcW w:type="dxa" w:w="903"/>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99.66</w:t>
            </w:r>
          </w:p>
        </w:tc>
      </w:tr>
      <w:tr>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Kappa (Kappa x 100)</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41.97</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51.35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75.19</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83.95</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88.48</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94.84</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95.76</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92.72</w:t>
            </w:r>
          </w:p>
        </w:tc>
        <w:tc>
          <w:tcPr>
            <w:tcW w:type="dxa" w:w="903"/>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99.34</w:t>
            </w:r>
          </w:p>
        </w:tc>
      </w:tr>
    </w:tbl>
    <w:p>
      <w:pPr>
        <w:spacing w:before="0" w:after="120"/>
      </w:pPr>
    </w:p>
    <w:p>
      <w:pPr>
        <w:keepNext/>
        <w:spacing w:before="280" w:after="80"/>
      </w:pPr>
      <w:r>
        <w:rPr>
          <w:rFonts w:ascii="Times New Roman" w:hAnsi="Times New Roman"/>
          <w:b/>
          <w:color w:val="2B547E"/>
          <w:sz w:val="26"/>
        </w:rPr>
        <w:t>5.5 Qualitative Visual Inspection of Classification Maps</w:t>
      </w:r>
    </w:p>
    <w:p>
      <w:pPr>
        <w:spacing w:after="120" w:line="276" w:lineRule="auto"/>
      </w:pPr>
      <w:r>
        <w:rPr>
          <w:rFonts w:ascii="Times New Roman" w:hAnsi="Times New Roman"/>
          <w:color w:val="222222"/>
          <w:sz w:val="24"/>
        </w:rPr>
        <w:t>Visual evaluation of classification maps (Figures 5–8 in paper) reveals that traditional models (SVM, SVM-Gabor, MFASR) produce widespread salt-and-pepper noise artifacts. Deep models (SAE, CNN, RPNet, FMDM, FUST) improve spatial smoothness but suffer from boundary blurring. DMCA maps match ground-truth maps almost perfectly, delivering sharp boundary delineation and pristine spatial consistency.</w:t>
      </w:r>
    </w:p>
    <w:p>
      <w:pPr>
        <w:keepNext/>
        <w:spacing w:before="440" w:after="120"/>
      </w:pPr>
      <w:r>
        <w:rPr>
          <w:rFonts w:ascii="Times New Roman" w:hAnsi="Times New Roman"/>
          <w:b/>
          <w:color w:val="1B365D"/>
          <w:sz w:val="31"/>
        </w:rPr>
        <w:t>6. Ablation Study &amp; Comparitive Analysis</w:t>
      </w:r>
    </w:p>
    <w:p>
      <w:pPr>
        <w:keepNext/>
        <w:spacing w:before="280" w:after="80"/>
      </w:pPr>
      <w:r>
        <w:rPr>
          <w:rFonts w:ascii="Times New Roman" w:hAnsi="Times New Roman"/>
          <w:b/>
          <w:color w:val="2B547E"/>
          <w:sz w:val="26"/>
        </w:rPr>
        <w:t>6.1 Design of the 3-Rung Ablation Ladder</w:t>
      </w:r>
    </w:p>
    <w:p>
      <w:pPr>
        <w:spacing w:after="120" w:line="276" w:lineRule="auto"/>
      </w:pPr>
      <w:r>
        <w:rPr>
          <w:rFonts w:ascii="Times New Roman" w:hAnsi="Times New Roman"/>
          <w:color w:val="222222"/>
          <w:sz w:val="24"/>
        </w:rPr>
        <w:t>To isolate the contribution of each algorithmic innovation, the authors evaluated a 3-rung ablation ladder:</w:t>
      </w:r>
    </w:p>
    <w:p>
      <w:pPr>
        <w:pStyle w:val="ListBullet"/>
        <w:spacing w:after="80" w:line="276" w:lineRule="auto"/>
      </w:pPr>
      <w:r>
        <w:rPr>
          <w:rFonts w:ascii="Times New Roman" w:hAnsi="Times New Roman"/>
          <w:b/>
          <w:sz w:val="24"/>
        </w:rPr>
        <w:t xml:space="preserve">1. DMCA_NL (No Margin Cosine Loss): </w:t>
      </w:r>
      <w:r>
        <w:rPr>
          <w:rFonts w:ascii="Times New Roman" w:hAnsi="Times New Roman"/>
          <w:sz w:val="24"/>
        </w:rPr>
        <w:t>Removes cosine normalization and margin, using standard uncoupled Softmax loss.</w:t>
      </w:r>
    </w:p>
    <w:p>
      <w:pPr>
        <w:pStyle w:val="ListBullet"/>
        <w:spacing w:after="80" w:line="276" w:lineRule="auto"/>
      </w:pPr>
      <w:r>
        <w:rPr>
          <w:rFonts w:ascii="Times New Roman" w:hAnsi="Times New Roman"/>
          <w:b/>
          <w:sz w:val="24"/>
        </w:rPr>
        <w:t xml:space="preserve">2. DMCA_NC (No Cosine Margin): </w:t>
      </w:r>
      <w:r>
        <w:rPr>
          <w:rFonts w:ascii="Times New Roman" w:hAnsi="Times New Roman"/>
          <w:sz w:val="24"/>
        </w:rPr>
        <w:t>Applies L2 normalization and cosine loss but sets margin m = 0.</w:t>
      </w:r>
    </w:p>
    <w:p>
      <w:pPr>
        <w:pStyle w:val="ListBullet"/>
        <w:spacing w:after="80" w:line="276" w:lineRule="auto"/>
      </w:pPr>
      <w:r>
        <w:rPr>
          <w:rFonts w:ascii="Times New Roman" w:hAnsi="Times New Roman"/>
          <w:b/>
          <w:sz w:val="24"/>
        </w:rPr>
        <w:t xml:space="preserve">3. DMCA (Full Proposed Model): </w:t>
      </w:r>
      <w:r>
        <w:rPr>
          <w:rFonts w:ascii="Times New Roman" w:hAnsi="Times New Roman"/>
          <w:sz w:val="24"/>
        </w:rPr>
        <w:t>The full proposed framework with unified classifier constraint and positive cosine margin m.</w:t>
      </w:r>
    </w:p>
    <w:p>
      <w:pPr>
        <w:keepNext/>
        <w:spacing w:before="200" w:after="40"/>
      </w:pPr>
      <w:r>
        <w:rPr>
          <w:rFonts w:ascii="Times New Roman" w:hAnsi="Times New Roman"/>
          <w:b/>
          <w:i/>
          <w:color w:val="333333"/>
          <w:sz w:val="24"/>
        </w:rPr>
        <w:t>Table V: Quantitative Ablation Study Metric Results (Paper Section III-E)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65D"/>
          </w:tcPr>
          <w:p>
            <w:pPr>
              <w:spacing w:before="80" w:after="80"/>
              <w:jc w:val="center"/>
            </w:pPr>
            <w:r>
              <w:rPr>
                <w:rFonts w:ascii="Times New Roman" w:hAnsi="Times New Roman"/>
                <w:b/>
                <w:color w:val="FFFFFF"/>
                <w:sz w:val="19"/>
              </w:rPr>
              <w:t>Testing MedHSI Data</w:t>
            </w:r>
          </w:p>
        </w:tc>
        <w:tc>
          <w:tcPr>
            <w:tcW w:type="dxa" w:w="1806"/>
            <w:shd w:fill="1B365D"/>
          </w:tcPr>
          <w:p>
            <w:pPr>
              <w:spacing w:before="80" w:after="80"/>
              <w:jc w:val="center"/>
            </w:pPr>
            <w:r>
              <w:rPr>
                <w:rFonts w:ascii="Times New Roman" w:hAnsi="Times New Roman"/>
                <w:b/>
                <w:color w:val="FFFFFF"/>
                <w:sz w:val="19"/>
              </w:rPr>
              <w:t>Evaluation Metric</w:t>
            </w:r>
          </w:p>
        </w:tc>
        <w:tc>
          <w:tcPr>
            <w:tcW w:type="dxa" w:w="1806"/>
            <w:shd w:fill="1B365D"/>
          </w:tcPr>
          <w:p>
            <w:pPr>
              <w:spacing w:before="80" w:after="80"/>
              <w:jc w:val="center"/>
            </w:pPr>
            <w:r>
              <w:rPr>
                <w:rFonts w:ascii="Times New Roman" w:hAnsi="Times New Roman"/>
                <w:b/>
                <w:color w:val="FFFFFF"/>
                <w:sz w:val="19"/>
              </w:rPr>
              <w:t>DMCA (Full)</w:t>
            </w:r>
          </w:p>
        </w:tc>
        <w:tc>
          <w:tcPr>
            <w:tcW w:type="dxa" w:w="1806"/>
            <w:shd w:fill="1B365D"/>
          </w:tcPr>
          <w:p>
            <w:pPr>
              <w:spacing w:before="80" w:after="80"/>
              <w:jc w:val="center"/>
            </w:pPr>
            <w:r>
              <w:rPr>
                <w:rFonts w:ascii="Times New Roman" w:hAnsi="Times New Roman"/>
                <w:b/>
                <w:color w:val="FFFFFF"/>
                <w:sz w:val="19"/>
              </w:rPr>
              <w:t>DMCA_NL (No Loss Constraint)</w:t>
            </w:r>
          </w:p>
        </w:tc>
        <w:tc>
          <w:tcPr>
            <w:tcW w:type="dxa" w:w="1806"/>
            <w:shd w:fill="1B365D"/>
          </w:tcPr>
          <w:p>
            <w:pPr>
              <w:spacing w:before="80" w:after="80"/>
              <w:jc w:val="center"/>
            </w:pPr>
            <w:r>
              <w:rPr>
                <w:rFonts w:ascii="Times New Roman" w:hAnsi="Times New Roman"/>
                <w:b/>
                <w:color w:val="FFFFFF"/>
                <w:sz w:val="19"/>
              </w:rPr>
              <w:t>DMCA_NC (No Cosine Margin)</w:t>
            </w:r>
          </w:p>
        </w:tc>
      </w:tr>
      <w:tr>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MedHSI-020-01</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Overall Accuracy - OA (%)</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99.62</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96.53</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99.19</w:t>
            </w:r>
          </w:p>
        </w:tc>
      </w:tr>
      <w:tr>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MedHSI-020-01</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Average Accuracy - AA (%)</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99.53</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96.12</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98.95</w:t>
            </w:r>
          </w:p>
        </w:tc>
      </w:tr>
      <w:tr>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MedHSI-020-01</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Kappa Coefficient (x 100)</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99.48</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94.86</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98.88</w:t>
            </w:r>
          </w:p>
        </w:tc>
      </w:tr>
      <w:tr>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MedHSI-015-01</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Overall Accuracy - OA (%)</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99.60</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97.63</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98.84</w:t>
            </w:r>
          </w:p>
        </w:tc>
      </w:tr>
      <w:tr>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MedHSI-015-01</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Average Accuracy - AA (%)</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99.12</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95.88</w:t>
            </w:r>
          </w:p>
        </w:tc>
        <w:tc>
          <w:tcPr>
            <w:tcW w:type="dxa" w:w="1806"/>
            <w:shd w:fill="FFFFFF"/>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97.79</w:t>
            </w:r>
          </w:p>
        </w:tc>
      </w:tr>
      <w:tr>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left"/>
            </w:pPr>
            <w:r>
              <w:rPr>
                <w:rFonts w:ascii="Times New Roman" w:hAnsi="Times New Roman"/>
                <w:color w:val="222222"/>
                <w:sz w:val="18"/>
              </w:rPr>
              <w:t>MedHSI-015-01</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Kappa Coefficient (x 100)</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99.38</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96.34</w:t>
            </w:r>
          </w:p>
        </w:tc>
        <w:tc>
          <w:tcPr>
            <w:tcW w:type="dxa" w:w="1806"/>
            <w:shd w:fill="F9FAFC"/>
            <w:tcBorders>
              <w:top w:val="single" w:sz="4" w:space="0" w:color="D3D3D3"/>
              <w:left w:val="single" w:sz="4" w:space="0" w:color="D3D3D3"/>
              <w:bottom w:val="single" w:sz="4" w:space="0" w:color="D3D3D3"/>
              <w:right w:val="single" w:sz="4" w:space="0" w:color="D3D3D3"/>
            </w:tcBorders>
          </w:tcPr>
          <w:p>
            <w:pPr>
              <w:spacing w:before="60" w:after="60"/>
              <w:jc w:val="center"/>
            </w:pPr>
            <w:r>
              <w:rPr>
                <w:rFonts w:ascii="Times New Roman" w:hAnsi="Times New Roman"/>
                <w:color w:val="222222"/>
                <w:sz w:val="18"/>
              </w:rPr>
              <w:t>98.21</w:t>
            </w:r>
          </w:p>
        </w:tc>
      </w:tr>
    </w:tbl>
    <w:p>
      <w:pPr>
        <w:spacing w:before="0" w:after="120"/>
      </w:pPr>
    </w:p>
    <w:p>
      <w:pPr>
        <w:keepNext/>
        <w:spacing w:before="280" w:after="80"/>
      </w:pPr>
      <w:r>
        <w:rPr>
          <w:rFonts w:ascii="Times New Roman" w:hAnsi="Times New Roman"/>
          <w:b/>
          <w:color w:val="2B547E"/>
          <w:sz w:val="26"/>
        </w:rPr>
        <w:t>6.2 Quantitative Ablation Analysis</w:t>
      </w:r>
    </w:p>
    <w:p>
      <w:pPr>
        <w:spacing w:after="120" w:line="276" w:lineRule="auto"/>
      </w:pPr>
      <w:r>
        <w:rPr>
          <w:rFonts w:ascii="Times New Roman" w:hAnsi="Times New Roman"/>
          <w:color w:val="222222"/>
          <w:sz w:val="24"/>
        </w:rPr>
        <w:t>Comparing DMCA with DMCA_NL proves that embedding classifier constraints into feature extraction yields a massive 3.09% OA boost on MedHSI No. 020-01 (99.62% vs 96.53%). Comparing DMCA with DMCA_NC demonstrates that enforcing positive cosine margin m provides an additional 0.43% to 0.76% accuracy gain, proving that angular margins effectively compress intra-class clusters.</w:t>
      </w:r>
    </w:p>
    <w:p>
      <w:pPr>
        <w:keepNext/>
        <w:spacing w:before="280" w:after="80"/>
      </w:pPr>
      <w:r>
        <w:rPr>
          <w:rFonts w:ascii="Times New Roman" w:hAnsi="Times New Roman"/>
          <w:b/>
          <w:color w:val="2B547E"/>
          <w:sz w:val="26"/>
        </w:rPr>
        <w:t>6.3 Reference Repository Codebase Synthesis</w:t>
      </w:r>
    </w:p>
    <w:p>
      <w:pPr>
        <w:spacing w:after="120" w:line="276" w:lineRule="auto"/>
      </w:pPr>
      <w:r>
        <w:rPr>
          <w:rFonts w:ascii="Times New Roman" w:hAnsi="Times New Roman"/>
          <w:color w:val="222222"/>
          <w:sz w:val="24"/>
        </w:rPr>
        <w:t>The codebase structure in the repository (`dmca/` package: `model.py`, `losses.py`, `data.py`, `train.py`, `metrics.py`, `main.py`) mirrors the paper's exact architecture. Running `python main.py` executes the 3-rung ablation ladder on a synthetic MedHSI cube, validating the monotonic loss convergence of Algorithm 1 and saving visual diagnostic maps to `outputs/`.</w:t>
      </w:r>
    </w:p>
    <w:p>
      <w:pPr>
        <w:keepNext/>
        <w:spacing w:before="440" w:after="120"/>
      </w:pPr>
      <w:r>
        <w:rPr>
          <w:rFonts w:ascii="Times New Roman" w:hAnsi="Times New Roman"/>
          <w:b/>
          <w:color w:val="1B365D"/>
          <w:sz w:val="31"/>
        </w:rPr>
        <w:t>7. Conclusion and Future Scope</w:t>
      </w:r>
    </w:p>
    <w:p>
      <w:pPr>
        <w:keepNext/>
        <w:spacing w:before="280" w:after="80"/>
      </w:pPr>
      <w:r>
        <w:rPr>
          <w:rFonts w:ascii="Times New Roman" w:hAnsi="Times New Roman"/>
          <w:b/>
          <w:color w:val="2B547E"/>
          <w:sz w:val="26"/>
        </w:rPr>
        <w:t>7.1 Methodological Summary</w:t>
      </w:r>
    </w:p>
    <w:p>
      <w:pPr>
        <w:spacing w:after="120" w:line="276" w:lineRule="auto"/>
      </w:pPr>
      <w:r>
        <w:rPr>
          <w:rFonts w:ascii="Times New Roman" w:hAnsi="Times New Roman"/>
          <w:color w:val="222222"/>
          <w:sz w:val="24"/>
        </w:rPr>
        <w:t>The Deep Margin Cosine Autoencoder (DMCA) framework presented by Wang et al. represents a major milestone in medical hyperspectral image analysis. By unifying feature extraction with classifier preferences, incorporating angular cosine margins, and enforcing L1 feature sparsity, DMCA overcomes the limitations of uncoupled deep learning pipelines, setting a new benchmark in non-invasive tumor diagnosis (99.97% tumor detection fidelity under ultra-sparse 0.1% surgical training splits).</w:t>
      </w:r>
    </w:p>
    <w:p>
      <w:pPr>
        <w:keepNext/>
        <w:spacing w:before="280" w:after="80"/>
      </w:pPr>
      <w:r>
        <w:rPr>
          <w:rFonts w:ascii="Times New Roman" w:hAnsi="Times New Roman"/>
          <w:b/>
          <w:color w:val="2B547E"/>
          <w:sz w:val="26"/>
        </w:rPr>
        <w:t>7.2 Clinical Translation &amp; Real-Time Surgical Microscope Integration</w:t>
      </w:r>
    </w:p>
    <w:p>
      <w:pPr>
        <w:spacing w:after="120" w:line="276" w:lineRule="auto"/>
      </w:pPr>
      <w:r>
        <w:rPr>
          <w:rFonts w:ascii="Times New Roman" w:hAnsi="Times New Roman"/>
          <w:color w:val="222222"/>
          <w:sz w:val="24"/>
        </w:rPr>
        <w:t>Integrating DMCA into intraoperative surgical microscopes and endoscopic cameras offers huge clinical promise. By coupling high-speed hyperspectral sensors with real-time DMCA inference, neurosurgeons can project augmented-reality tumor overlays directly onto the operative field, enabling millimeter-accurate resection.</w:t>
      </w:r>
    </w:p>
    <w:p>
      <w:pPr>
        <w:keepNext/>
        <w:spacing w:before="280" w:after="80"/>
      </w:pPr>
      <w:r>
        <w:rPr>
          <w:rFonts w:ascii="Times New Roman" w:hAnsi="Times New Roman"/>
          <w:b/>
          <w:color w:val="2B547E"/>
          <w:sz w:val="26"/>
        </w:rPr>
        <w:t>7.3 Limitations &amp; Cross-Corpus Generalization Challenges</w:t>
      </w:r>
    </w:p>
    <w:p>
      <w:pPr>
        <w:spacing w:after="120" w:line="276" w:lineRule="auto"/>
      </w:pPr>
      <w:r>
        <w:rPr>
          <w:rFonts w:ascii="Times New Roman" w:hAnsi="Times New Roman"/>
          <w:color w:val="222222"/>
          <w:sz w:val="24"/>
        </w:rPr>
        <w:t>A key operational limitation identified by the authors is cross-corpus generalization. MedHSI data from different clinical centers vary in illumination geometry, sensor response, and spectral resolution. DMCA models trained on one dataset cannot currently be deployed on another without domain adaptation.</w:t>
      </w:r>
    </w:p>
    <w:p>
      <w:pPr>
        <w:keepNext/>
        <w:spacing w:before="280" w:after="80"/>
      </w:pPr>
      <w:r>
        <w:rPr>
          <w:rFonts w:ascii="Times New Roman" w:hAnsi="Times New Roman"/>
          <w:b/>
          <w:color w:val="2B547E"/>
          <w:sz w:val="26"/>
        </w:rPr>
        <w:t>7.4 Future Research Horizons</w:t>
      </w:r>
    </w:p>
    <w:p>
      <w:pPr>
        <w:pStyle w:val="ListBullet"/>
        <w:spacing w:after="80" w:line="276" w:lineRule="auto"/>
      </w:pPr>
      <w:r>
        <w:rPr>
          <w:rFonts w:ascii="Times New Roman" w:hAnsi="Times New Roman"/>
          <w:b/>
          <w:sz w:val="24"/>
        </w:rPr>
        <w:t xml:space="preserve">1. Cross-Corpus Domain Adaptation: </w:t>
      </w:r>
      <w:r>
        <w:rPr>
          <w:rFonts w:ascii="Times New Roman" w:hAnsi="Times New Roman"/>
          <w:sz w:val="24"/>
        </w:rPr>
        <w:t>Developing unsupervised domain adaptation (UDA) and physics-informed transfer learning to enable cross-center model deployment.</w:t>
      </w:r>
    </w:p>
    <w:p>
      <w:pPr>
        <w:pStyle w:val="ListBullet"/>
        <w:spacing w:after="80" w:line="276" w:lineRule="auto"/>
      </w:pPr>
      <w:r>
        <w:rPr>
          <w:rFonts w:ascii="Times New Roman" w:hAnsi="Times New Roman"/>
          <w:b/>
          <w:sz w:val="24"/>
        </w:rPr>
        <w:t xml:space="preserve">2. 3D Spatial-Spectral Fusion: </w:t>
      </w:r>
      <w:r>
        <w:rPr>
          <w:rFonts w:ascii="Times New Roman" w:hAnsi="Times New Roman"/>
          <w:sz w:val="24"/>
        </w:rPr>
        <w:t>Incorporating 3D spatial-spectral convolutions and vision transformers to capture long-range spatial context alongside spectral angles.</w:t>
      </w:r>
    </w:p>
    <w:p>
      <w:pPr>
        <w:pStyle w:val="ListBullet"/>
        <w:spacing w:after="80" w:line="276" w:lineRule="auto"/>
      </w:pPr>
      <w:r>
        <w:rPr>
          <w:rFonts w:ascii="Times New Roman" w:hAnsi="Times New Roman"/>
          <w:b/>
          <w:sz w:val="24"/>
        </w:rPr>
        <w:t xml:space="preserve">3. Edge GPU Hardware Acceleration: </w:t>
      </w:r>
      <w:r>
        <w:rPr>
          <w:rFonts w:ascii="Times New Roman" w:hAnsi="Times New Roman"/>
          <w:sz w:val="24"/>
        </w:rPr>
        <w:t>Deploying quantized DMCA models on edge GPUs (e.g., NVIDIA Jetson / TensorRT) to achieve 30+ FPS real-time surgical video processing.</w:t>
      </w:r>
    </w:p>
    <w:p>
      <w:pPr>
        <w:keepNext/>
        <w:spacing w:before="440" w:after="120"/>
      </w:pPr>
      <w:r>
        <w:rPr>
          <w:rFonts w:ascii="Times New Roman" w:hAnsi="Times New Roman"/>
          <w:b/>
          <w:color w:val="1B365D"/>
          <w:sz w:val="31"/>
        </w:rPr>
        <w:t>8. Glossary of Key Terms</w:t>
      </w:r>
    </w:p>
    <w:p>
      <w:pPr>
        <w:spacing w:after="120" w:line="276" w:lineRule="auto"/>
      </w:pPr>
      <w:r>
        <w:rPr>
          <w:rFonts w:ascii="Times New Roman" w:hAnsi="Times New Roman"/>
          <w:color w:val="222222"/>
          <w:sz w:val="24"/>
        </w:rPr>
        <w:t>This section provides formal definitions for key technical, mathematical, and medical terms utilized throughout this report:</w:t>
      </w:r>
    </w:p>
    <w:p>
      <w:pPr>
        <w:pStyle w:val="ListBullet"/>
        <w:spacing w:after="80" w:line="276" w:lineRule="auto"/>
      </w:pPr>
      <w:r>
        <w:rPr>
          <w:rFonts w:ascii="Times New Roman" w:hAnsi="Times New Roman"/>
          <w:b/>
          <w:sz w:val="24"/>
        </w:rPr>
        <w:t xml:space="preserve">Medical Hyperspectral Imaging (MedHSI): </w:t>
      </w:r>
      <w:r>
        <w:rPr>
          <w:rFonts w:ascii="Times New Roman" w:hAnsi="Times New Roman"/>
          <w:sz w:val="24"/>
        </w:rPr>
        <w:t>An optical diagnostic imaging modality that captures spatial structures alongside continuous spectral reflectance curves across hundreds of narrow contiguous wavelength bands (400 nm - 1000 nm).</w:t>
      </w:r>
    </w:p>
    <w:p>
      <w:pPr>
        <w:pStyle w:val="ListBullet"/>
        <w:spacing w:after="80" w:line="276" w:lineRule="auto"/>
      </w:pPr>
      <w:r>
        <w:rPr>
          <w:rFonts w:ascii="Times New Roman" w:hAnsi="Times New Roman"/>
          <w:b/>
          <w:sz w:val="24"/>
        </w:rPr>
        <w:t xml:space="preserve">Deep Autoencoder (DAE): </w:t>
      </w:r>
      <w:r>
        <w:rPr>
          <w:rFonts w:ascii="Times New Roman" w:hAnsi="Times New Roman"/>
          <w:sz w:val="24"/>
        </w:rPr>
        <w:t>A neural network architecture comprising multiple stacked encoding layers that compress input vectors into lower-dimensional latent representations, and decoding layers that reconstruct inputs.</w:t>
      </w:r>
    </w:p>
    <w:p>
      <w:pPr>
        <w:pStyle w:val="ListBullet"/>
        <w:spacing w:after="80" w:line="276" w:lineRule="auto"/>
      </w:pPr>
      <w:r>
        <w:rPr>
          <w:rFonts w:ascii="Times New Roman" w:hAnsi="Times New Roman"/>
          <w:b/>
          <w:sz w:val="24"/>
        </w:rPr>
        <w:t xml:space="preserve">Stacked Autoencoder (SAE): </w:t>
      </w:r>
      <w:r>
        <w:rPr>
          <w:rFonts w:ascii="Times New Roman" w:hAnsi="Times New Roman"/>
          <w:sz w:val="24"/>
        </w:rPr>
        <w:t>A specific deep autoencoder architecture formed by stacking multiple single-layer autoencoders sequentially to learn hierarchical representations.</w:t>
      </w:r>
    </w:p>
    <w:p>
      <w:pPr>
        <w:pStyle w:val="ListBullet"/>
        <w:spacing w:after="80" w:line="276" w:lineRule="auto"/>
      </w:pPr>
      <w:r>
        <w:rPr>
          <w:rFonts w:ascii="Times New Roman" w:hAnsi="Times New Roman"/>
          <w:b/>
          <w:sz w:val="24"/>
        </w:rPr>
        <w:t xml:space="preserve">Margin Cosine Softmax Loss: </w:t>
      </w:r>
      <w:r>
        <w:rPr>
          <w:rFonts w:ascii="Times New Roman" w:hAnsi="Times New Roman"/>
          <w:sz w:val="24"/>
        </w:rPr>
        <w:t>A loss formulation that applies L2 normalization to weights and features and introduces a positive cosine margin (m) to maximize angular separation between classes.</w:t>
      </w:r>
    </w:p>
    <w:p>
      <w:pPr>
        <w:pStyle w:val="ListBullet"/>
        <w:spacing w:after="80" w:line="276" w:lineRule="auto"/>
      </w:pPr>
      <w:r>
        <w:rPr>
          <w:rFonts w:ascii="Times New Roman" w:hAnsi="Times New Roman"/>
          <w:b/>
          <w:sz w:val="24"/>
        </w:rPr>
        <w:t xml:space="preserve">Classifier-Constrained Feature Learning: </w:t>
      </w:r>
      <w:r>
        <w:rPr>
          <w:rFonts w:ascii="Times New Roman" w:hAnsi="Times New Roman"/>
          <w:sz w:val="24"/>
        </w:rPr>
        <w:t>An optimization strategy where classifier decision loss is embedded directly as a constraint into autoencoder feature extraction layers.</w:t>
      </w:r>
    </w:p>
    <w:p>
      <w:pPr>
        <w:pStyle w:val="ListBullet"/>
        <w:spacing w:after="80" w:line="276" w:lineRule="auto"/>
      </w:pPr>
      <w:r>
        <w:rPr>
          <w:rFonts w:ascii="Times New Roman" w:hAnsi="Times New Roman"/>
          <w:b/>
          <w:sz w:val="24"/>
        </w:rPr>
        <w:t xml:space="preserve">L1-Norm Sparsity Regularization: </w:t>
      </w:r>
      <w:r>
        <w:rPr>
          <w:rFonts w:ascii="Times New Roman" w:hAnsi="Times New Roman"/>
          <w:sz w:val="24"/>
        </w:rPr>
        <w:t>A mathematical penalty added to the loss function that forces most feature activations to zero, yielding selective and noise-robust latent representations.</w:t>
      </w:r>
    </w:p>
    <w:p>
      <w:pPr>
        <w:pStyle w:val="ListBullet"/>
        <w:spacing w:after="80" w:line="276" w:lineRule="auto"/>
      </w:pPr>
      <w:r>
        <w:rPr>
          <w:rFonts w:ascii="Times New Roman" w:hAnsi="Times New Roman"/>
          <w:b/>
          <w:sz w:val="24"/>
        </w:rPr>
        <w:t xml:space="preserve">L2 Normalization: </w:t>
      </w:r>
      <w:r>
        <w:rPr>
          <w:rFonts w:ascii="Times New Roman" w:hAnsi="Times New Roman"/>
          <w:sz w:val="24"/>
        </w:rPr>
        <w:t>Scaling vector components so their Euclidean norm equals 1, converting inner products into pure cosine angular similarities.</w:t>
      </w:r>
    </w:p>
    <w:p>
      <w:pPr>
        <w:pStyle w:val="ListBullet"/>
        <w:spacing w:after="80" w:line="276" w:lineRule="auto"/>
      </w:pPr>
      <w:r>
        <w:rPr>
          <w:rFonts w:ascii="Times New Roman" w:hAnsi="Times New Roman"/>
          <w:b/>
          <w:sz w:val="24"/>
        </w:rPr>
        <w:t xml:space="preserve">Glioblastoma: </w:t>
      </w:r>
      <w:r>
        <w:rPr>
          <w:rFonts w:ascii="Times New Roman" w:hAnsi="Times New Roman"/>
          <w:sz w:val="24"/>
        </w:rPr>
        <w:t>An aggressive, highly malignant Grade IV brain tumor characterized by rapid microvascular proliferation and parenchyma infiltration.</w:t>
      </w:r>
    </w:p>
    <w:p>
      <w:pPr>
        <w:pStyle w:val="ListBullet"/>
        <w:spacing w:after="80" w:line="276" w:lineRule="auto"/>
      </w:pPr>
      <w:r>
        <w:rPr>
          <w:rFonts w:ascii="Times New Roman" w:hAnsi="Times New Roman"/>
          <w:b/>
          <w:sz w:val="24"/>
        </w:rPr>
        <w:t xml:space="preserve">Cholangiocarcinoma: </w:t>
      </w:r>
      <w:r>
        <w:rPr>
          <w:rFonts w:ascii="Times New Roman" w:hAnsi="Times New Roman"/>
          <w:sz w:val="24"/>
        </w:rPr>
        <w:t>A malignant adenocarcinoma originating from epithelial cells of the choledoch / bile duct system.</w:t>
      </w:r>
    </w:p>
    <w:p>
      <w:pPr>
        <w:pStyle w:val="ListBullet"/>
        <w:spacing w:after="80" w:line="276" w:lineRule="auto"/>
      </w:pPr>
      <w:r>
        <w:rPr>
          <w:rFonts w:ascii="Times New Roman" w:hAnsi="Times New Roman"/>
          <w:b/>
          <w:sz w:val="24"/>
        </w:rPr>
        <w:t xml:space="preserve">Brain Shift: </w:t>
      </w:r>
      <w:r>
        <w:rPr>
          <w:rFonts w:ascii="Times New Roman" w:hAnsi="Times New Roman"/>
          <w:sz w:val="24"/>
        </w:rPr>
        <w:t>The physical deformation and spatial displacement of brain tissue following craniotomy, invalidating pre-operative radiological MRI scans.</w:t>
      </w:r>
    </w:p>
    <w:p>
      <w:pPr>
        <w:pStyle w:val="ListBullet"/>
        <w:spacing w:after="80" w:line="276" w:lineRule="auto"/>
      </w:pPr>
      <w:r>
        <w:rPr>
          <w:rFonts w:ascii="Times New Roman" w:hAnsi="Times New Roman"/>
          <w:b/>
          <w:sz w:val="24"/>
        </w:rPr>
        <w:t xml:space="preserve">Frozen-Section Histopathology: </w:t>
      </w:r>
      <w:r>
        <w:rPr>
          <w:rFonts w:ascii="Times New Roman" w:hAnsi="Times New Roman"/>
          <w:sz w:val="24"/>
        </w:rPr>
        <w:t>The traditional gold-standard intraoperative diagnostic procedure involving tissue excision, freezing, slicing, H&amp;E staining, and microscopic review by pathologists.</w:t>
      </w:r>
    </w:p>
    <w:p>
      <w:pPr>
        <w:pStyle w:val="ListBullet"/>
        <w:spacing w:after="80" w:line="276" w:lineRule="auto"/>
      </w:pPr>
      <w:r>
        <w:rPr>
          <w:rFonts w:ascii="Times New Roman" w:hAnsi="Times New Roman"/>
          <w:b/>
          <w:sz w:val="24"/>
        </w:rPr>
        <w:t xml:space="preserve">Push-Broom Hyperspectral Sensor: </w:t>
      </w:r>
      <w:r>
        <w:rPr>
          <w:rFonts w:ascii="Times New Roman" w:hAnsi="Times New Roman"/>
          <w:sz w:val="24"/>
        </w:rPr>
        <w:t>A line-scanning optical sensor that captures full spectral vectors for a 1D spatial line, building a 3D hyperspectral cube by scanning across the scene.</w:t>
      </w:r>
    </w:p>
    <w:p>
      <w:pPr>
        <w:pStyle w:val="ListBullet"/>
        <w:spacing w:after="80" w:line="276" w:lineRule="auto"/>
      </w:pPr>
      <w:r>
        <w:rPr>
          <w:rFonts w:ascii="Times New Roman" w:hAnsi="Times New Roman"/>
          <w:b/>
          <w:sz w:val="24"/>
        </w:rPr>
        <w:t xml:space="preserve">Overall Accuracy (OA): </w:t>
      </w:r>
      <w:r>
        <w:rPr>
          <w:rFonts w:ascii="Times New Roman" w:hAnsi="Times New Roman"/>
          <w:sz w:val="24"/>
        </w:rPr>
        <w:t>The ratio of correctly classified pixels to the total number of test pixels across all classes in a scene.</w:t>
      </w:r>
    </w:p>
    <w:p>
      <w:pPr>
        <w:pStyle w:val="ListBullet"/>
        <w:spacing w:after="80" w:line="276" w:lineRule="auto"/>
      </w:pPr>
      <w:r>
        <w:rPr>
          <w:rFonts w:ascii="Times New Roman" w:hAnsi="Times New Roman"/>
          <w:b/>
          <w:sz w:val="24"/>
        </w:rPr>
        <w:t xml:space="preserve">Average Accuracy (AA): </w:t>
      </w:r>
      <w:r>
        <w:rPr>
          <w:rFonts w:ascii="Times New Roman" w:hAnsi="Times New Roman"/>
          <w:sz w:val="24"/>
        </w:rPr>
        <w:t>The unweighted arithmetic mean of individual class classification accuracies.</w:t>
      </w:r>
    </w:p>
    <w:p>
      <w:pPr>
        <w:pStyle w:val="ListBullet"/>
        <w:spacing w:after="80" w:line="276" w:lineRule="auto"/>
      </w:pPr>
      <w:r>
        <w:rPr>
          <w:rFonts w:ascii="Times New Roman" w:hAnsi="Times New Roman"/>
          <w:b/>
          <w:sz w:val="24"/>
        </w:rPr>
        <w:t xml:space="preserve">Kappa Coefficient (Kappa x 100): </w:t>
      </w:r>
      <w:r>
        <w:rPr>
          <w:rFonts w:ascii="Times New Roman" w:hAnsi="Times New Roman"/>
          <w:sz w:val="24"/>
        </w:rPr>
        <w:t>A statistical measure assessing inter-rater agreement for categorical classification, adjusted for agreement occurring by chance.</w:t>
      </w:r>
    </w:p>
    <w:p>
      <w:pPr>
        <w:pStyle w:val="ListBullet"/>
        <w:spacing w:after="80" w:line="276" w:lineRule="auto"/>
      </w:pPr>
      <w:r>
        <w:rPr>
          <w:rFonts w:ascii="Times New Roman" w:hAnsi="Times New Roman"/>
          <w:b/>
          <w:sz w:val="24"/>
        </w:rPr>
        <w:t xml:space="preserve">Alternating Iterative Optimization: </w:t>
      </w:r>
      <w:r>
        <w:rPr>
          <w:rFonts w:ascii="Times New Roman" w:hAnsi="Times New Roman"/>
          <w:sz w:val="24"/>
        </w:rPr>
        <w:t>An optimization technique that solves complex multi-variable loss functions by iteratively updating one set of parameters while holding others fixed.</w:t>
      </w:r>
    </w:p>
    <w:p>
      <w:pPr>
        <w:pStyle w:val="ListBullet"/>
        <w:spacing w:after="80" w:line="276" w:lineRule="auto"/>
      </w:pPr>
      <w:r>
        <w:rPr>
          <w:rFonts w:ascii="Times New Roman" w:hAnsi="Times New Roman"/>
          <w:b/>
          <w:sz w:val="24"/>
        </w:rPr>
        <w:t xml:space="preserve">Soft-Thresholding Operator: </w:t>
      </w:r>
      <w:r>
        <w:rPr>
          <w:rFonts w:ascii="Times New Roman" w:hAnsi="Times New Roman"/>
          <w:sz w:val="24"/>
        </w:rPr>
        <w:t>The exact closed-form proximal operator used to solve L1-norm regularized subproblems, setting small values below threshold to zero.</w:t>
      </w:r>
    </w:p>
    <w:p>
      <w:pPr>
        <w:pStyle w:val="ListBullet"/>
        <w:spacing w:after="80" w:line="276" w:lineRule="auto"/>
      </w:pPr>
      <w:r>
        <w:rPr>
          <w:rFonts w:ascii="Times New Roman" w:hAnsi="Times New Roman"/>
          <w:b/>
          <w:sz w:val="24"/>
        </w:rPr>
        <w:t xml:space="preserve">Frobenius Norm: </w:t>
      </w:r>
      <w:r>
        <w:rPr>
          <w:rFonts w:ascii="Times New Roman" w:hAnsi="Times New Roman"/>
          <w:sz w:val="24"/>
        </w:rPr>
        <w:t>The square root of the sum of absolute squares of matrix elements, used to measure reconstruction error matrix magnitude.</w:t>
      </w:r>
    </w:p>
    <w:p>
      <w:pPr>
        <w:pStyle w:val="ListBullet"/>
        <w:spacing w:after="80" w:line="276" w:lineRule="auto"/>
      </w:pPr>
      <w:r>
        <w:rPr>
          <w:rFonts w:ascii="Times New Roman" w:hAnsi="Times New Roman"/>
          <w:b/>
          <w:sz w:val="24"/>
        </w:rPr>
        <w:t xml:space="preserve">Auxiliary Variable Relaxation: </w:t>
      </w:r>
      <w:r>
        <w:rPr>
          <w:rFonts w:ascii="Times New Roman" w:hAnsi="Times New Roman"/>
          <w:sz w:val="24"/>
        </w:rPr>
        <w:t>Introducing an intermediate variable (A = W^T H) to decouple non-smooth L1 regularizers from matrix multiplications.</w:t>
      </w:r>
    </w:p>
    <w:p>
      <w:pPr>
        <w:pStyle w:val="ListBullet"/>
        <w:spacing w:after="80" w:line="276" w:lineRule="auto"/>
      </w:pPr>
      <w:r>
        <w:rPr>
          <w:rFonts w:ascii="Times New Roman" w:hAnsi="Times New Roman"/>
          <w:b/>
          <w:sz w:val="24"/>
        </w:rPr>
        <w:t xml:space="preserve">Uncoupled Pipeline Disconnect: </w:t>
      </w:r>
      <w:r>
        <w:rPr>
          <w:rFonts w:ascii="Times New Roman" w:hAnsi="Times New Roman"/>
          <w:sz w:val="24"/>
        </w:rPr>
        <w:t>The fundamental structural flaw in traditional deep learning where feature extractors are trained independently of classifier head decision boundaries.</w:t>
      </w:r>
    </w:p>
    <w:p>
      <w:pPr>
        <w:keepNext/>
        <w:spacing w:before="440" w:after="120"/>
      </w:pPr>
      <w:r>
        <w:rPr>
          <w:rFonts w:ascii="Times New Roman" w:hAnsi="Times New Roman"/>
          <w:b/>
          <w:color w:val="1B365D"/>
          <w:sz w:val="31"/>
        </w:rPr>
        <w:t>References &amp; Bibliography</w:t>
      </w:r>
    </w:p>
    <w:p>
      <w:pPr>
        <w:spacing w:after="120" w:line="276" w:lineRule="auto"/>
      </w:pPr>
      <w:r>
        <w:rPr>
          <w:rFonts w:ascii="Times New Roman" w:hAnsi="Times New Roman"/>
          <w:color w:val="222222"/>
          <w:sz w:val="24"/>
        </w:rPr>
        <w:t>Formal IEEE-style reference citations compiled from the original publication and domain literature:</w:t>
      </w:r>
    </w:p>
    <w:p>
      <w:pPr>
        <w:pStyle w:val="ListBullet"/>
        <w:spacing w:after="80" w:line="276" w:lineRule="auto"/>
      </w:pPr>
      <w:r>
        <w:rPr>
          <w:rFonts w:ascii="Times New Roman" w:hAnsi="Times New Roman"/>
          <w:sz w:val="24"/>
        </w:rPr>
        <w:t>[1] H. Li, P. Wu, Z. Wang, J. Mao, F. E. Alsaadi, and N. Zeng, 'A generalized framework of feature learning enhanced convolutional neural network for pathology-image-oriented cancer diagnosis,' Comput. Biol. Med., vol. 151, Art. no. 106265, Dec. 2022.</w:t>
      </w:r>
    </w:p>
    <w:p>
      <w:pPr>
        <w:pStyle w:val="ListBullet"/>
        <w:spacing w:after="80" w:line="276" w:lineRule="auto"/>
      </w:pPr>
      <w:r>
        <w:rPr>
          <w:rFonts w:ascii="Times New Roman" w:hAnsi="Times New Roman"/>
          <w:sz w:val="24"/>
        </w:rPr>
        <w:t>[2] P. Wu, Z. Wang, B. Zheng, H. Li, F. E. Alsaadi, and N. Zeng, 'AGGN: Attention-based glioma grading network with multi-scale feature extraction and multi-modal information fusion,' Comput. Biol. Med., vol. 152, Art. no. 106457, Jan. 2023.</w:t>
      </w:r>
    </w:p>
    <w:p>
      <w:pPr>
        <w:pStyle w:val="ListBullet"/>
        <w:spacing w:after="80" w:line="276" w:lineRule="auto"/>
      </w:pPr>
      <w:r>
        <w:rPr>
          <w:rFonts w:ascii="Times New Roman" w:hAnsi="Times New Roman"/>
          <w:sz w:val="24"/>
        </w:rPr>
        <w:t>[3] H. Li, N. Zeng, P. Wu, and K. Clawson, 'Cov-Net: A computer-aided diagnosis method for recognizing COVID-19 from chest X-ray images via machine vision,' Expert Syst. Appl., vol. 207, Art. no. 118029, Nov. 2022.</w:t>
      </w:r>
    </w:p>
    <w:p>
      <w:pPr>
        <w:pStyle w:val="ListBullet"/>
        <w:spacing w:after="80" w:line="276" w:lineRule="auto"/>
      </w:pPr>
      <w:r>
        <w:rPr>
          <w:rFonts w:ascii="Times New Roman" w:hAnsi="Times New Roman"/>
          <w:sz w:val="24"/>
        </w:rPr>
        <w:t>[4] V. Dremin et al., 'Skin complications of diabetes mellitus revealed by polarized hyperspectral imaging and machine learning,' IEEE Trans. Med. Imag., vol. 40, no. 4, pp. 1207–1216, Apr. 2021.</w:t>
      </w:r>
    </w:p>
    <w:p>
      <w:pPr>
        <w:pStyle w:val="ListBullet"/>
        <w:spacing w:after="80" w:line="276" w:lineRule="auto"/>
      </w:pPr>
      <w:r>
        <w:rPr>
          <w:rFonts w:ascii="Times New Roman" w:hAnsi="Times New Roman"/>
          <w:sz w:val="24"/>
        </w:rPr>
        <w:t>[5] M. Lv, W. Li, T. Chen, J. Zhou, and R. Tao, 'Discriminant tensor-based manifold embedding for medical hyperspectral imagery,' IEEE J. Biomed. Health Informat., vol. 25, no. 9, pp. 3517–3528, Sep. 2021.</w:t>
      </w:r>
    </w:p>
    <w:p>
      <w:pPr>
        <w:pStyle w:val="ListBullet"/>
        <w:spacing w:after="80" w:line="276" w:lineRule="auto"/>
      </w:pPr>
      <w:r>
        <w:rPr>
          <w:rFonts w:ascii="Times New Roman" w:hAnsi="Times New Roman"/>
          <w:sz w:val="24"/>
        </w:rPr>
        <w:t>[6] M. Lv et al., 'Spatial-spectral density peaks-based discriminant analysis for membranous nephropathy classification using microscopic hyperspectral images,' IEEE J. Biomed. Health Informat., vol. 25, no. 8, pp. 3041–3051, Aug. 2021.</w:t>
      </w:r>
    </w:p>
    <w:p>
      <w:pPr>
        <w:pStyle w:val="ListBullet"/>
        <w:spacing w:after="80" w:line="276" w:lineRule="auto"/>
      </w:pPr>
      <w:r>
        <w:rPr>
          <w:rFonts w:ascii="Times New Roman" w:hAnsi="Times New Roman"/>
          <w:sz w:val="24"/>
        </w:rPr>
        <w:t>[7] R. Pike, G. Lu, D. Wang, Z. G. Chen, and B. Fei, 'A minimum spanning forest-based method for noninvasive cancer detection with hyperspectral imaging,' IEEE Trans. Biomed. Eng., vol. 63, no. 3, pp. 653–663, Mar. 2016.</w:t>
      </w:r>
    </w:p>
    <w:p>
      <w:pPr>
        <w:pStyle w:val="ListBullet"/>
        <w:spacing w:after="80" w:line="276" w:lineRule="auto"/>
      </w:pPr>
      <w:r>
        <w:rPr>
          <w:rFonts w:ascii="Times New Roman" w:hAnsi="Times New Roman"/>
          <w:sz w:val="24"/>
        </w:rPr>
        <w:t>[8] H. Akbari, Y. Kosugi, K. Kojima, and N. Tanaka, 'Detection and analysis of the intestinal ischemia using visible and invisible hyperspectral imaging,' IEEE Trans. Biomed. Eng., vol. 57, no. 8, pp. 2011–2017, Aug. 2010.</w:t>
      </w:r>
    </w:p>
    <w:p>
      <w:pPr>
        <w:pStyle w:val="ListBullet"/>
        <w:spacing w:after="80" w:line="276" w:lineRule="auto"/>
      </w:pPr>
      <w:r>
        <w:rPr>
          <w:rFonts w:ascii="Times New Roman" w:hAnsi="Times New Roman"/>
          <w:sz w:val="24"/>
        </w:rPr>
        <w:t>[9] S. Kumar, C. Desmedt, D. Larsimont, C. Sotiriou, and E. Goormaghtigh, 'Change in the microenvironment of breast cancer studied by FTIR imaging,' Analyst, vol. 138, no. 14, pp. 4058–4065, Apr. 2013.</w:t>
      </w:r>
    </w:p>
    <w:p>
      <w:pPr>
        <w:pStyle w:val="ListBullet"/>
        <w:spacing w:after="80" w:line="276" w:lineRule="auto"/>
      </w:pPr>
      <w:r>
        <w:rPr>
          <w:rFonts w:ascii="Times New Roman" w:hAnsi="Times New Roman"/>
          <w:sz w:val="24"/>
        </w:rPr>
        <w:t>[10] Z. Liu, H. Wang, and Q. Li, 'Tongue tumor detection in medical hyperspectral images,' Sensors, vol. 12, no. 1, pp. 162–174, Dec. 2011.</w:t>
      </w:r>
    </w:p>
    <w:p>
      <w:pPr>
        <w:pStyle w:val="ListBullet"/>
        <w:spacing w:after="80" w:line="276" w:lineRule="auto"/>
      </w:pPr>
      <w:r>
        <w:rPr>
          <w:rFonts w:ascii="Times New Roman" w:hAnsi="Times New Roman"/>
          <w:sz w:val="24"/>
        </w:rPr>
        <w:t>[11] D. T. Dicker et al., 'Differentiation of normal skin and melanoma using high resolution hyperspectral imaging,' Cancer Biol. Therapy, vol. 5, no. 8, pp. 1033–1038, Aug. 2006.</w:t>
      </w:r>
    </w:p>
    <w:p>
      <w:pPr>
        <w:pStyle w:val="ListBullet"/>
        <w:spacing w:after="80" w:line="276" w:lineRule="auto"/>
      </w:pPr>
      <w:r>
        <w:rPr>
          <w:rFonts w:ascii="Times New Roman" w:hAnsi="Times New Roman"/>
          <w:sz w:val="24"/>
        </w:rPr>
        <w:t>[12] B. Fei, H. Akbari, and L. V. Halig, 'Hyperspectral imaging and spectral-spatial classification for cancer detection,' in Proc. 5th IEEE Int. Conf. Biomed. Eng. Informat. (BMEI), Oct. 2012, pp. 62–64.</w:t>
      </w:r>
    </w:p>
    <w:p>
      <w:pPr>
        <w:pStyle w:val="ListBullet"/>
        <w:spacing w:after="80" w:line="276" w:lineRule="auto"/>
      </w:pPr>
      <w:r>
        <w:rPr>
          <w:rFonts w:ascii="Times New Roman" w:hAnsi="Times New Roman"/>
          <w:sz w:val="24"/>
        </w:rPr>
        <w:t>[13] H. Akbari, Y. Kosugi, K. Kojima, and N. Tanaka, 'Hyperspectral image segmentation and its application in abdominal surgery,' Int. J. Funct. Inform. Personalised Med., vol. 2, no. 2, pp. 201–216, Aug. 2009.</w:t>
      </w:r>
    </w:p>
    <w:p>
      <w:pPr>
        <w:pStyle w:val="ListBullet"/>
        <w:spacing w:after="80" w:line="276" w:lineRule="auto"/>
      </w:pPr>
      <w:r>
        <w:rPr>
          <w:rFonts w:ascii="Times New Roman" w:hAnsi="Times New Roman"/>
          <w:sz w:val="24"/>
        </w:rPr>
        <w:t>[14] Q. Li, X. He, Y. Wang, H. Liu, D. Xu, and F. Guo, 'Review of spectral imaging technology in biomedical engineering: Achievements and challenges,' J. Biomed. Opt., vol. 18, no. 10, Art. no. 100901, Oct. 2013.</w:t>
      </w:r>
    </w:p>
    <w:p>
      <w:pPr>
        <w:pStyle w:val="ListBullet"/>
        <w:spacing w:after="80" w:line="276" w:lineRule="auto"/>
      </w:pPr>
      <w:r>
        <w:rPr>
          <w:rFonts w:ascii="Times New Roman" w:hAnsi="Times New Roman"/>
          <w:sz w:val="24"/>
        </w:rPr>
        <w:t>[15] G. S. Verebes et al., 'Hyperspectral enhanced dark field microscopy for imaging blood cells,' J. Biophoton., vol. 6, nos. 11–12, pp. 960–967, Aug. 2013.</w:t>
      </w:r>
    </w:p>
    <w:p>
      <w:pPr>
        <w:pStyle w:val="ListBullet"/>
        <w:spacing w:after="80" w:line="276" w:lineRule="auto"/>
      </w:pPr>
      <w:r>
        <w:rPr>
          <w:rFonts w:ascii="Times New Roman" w:hAnsi="Times New Roman"/>
          <w:sz w:val="24"/>
        </w:rPr>
        <w:t>[16] M. Halicek et al., 'Deep convolutional neural networks for classifying head and neck cancer using hyperspectral imaging,' J. Biomed. Opt., vol. 22, no. 6, Art. no. 060503, Jun. 2017.</w:t>
      </w:r>
    </w:p>
    <w:p>
      <w:pPr>
        <w:pStyle w:val="ListBullet"/>
        <w:spacing w:after="80" w:line="276" w:lineRule="auto"/>
      </w:pPr>
      <w:r>
        <w:rPr>
          <w:rFonts w:ascii="Times New Roman" w:hAnsi="Times New Roman"/>
          <w:sz w:val="24"/>
        </w:rPr>
        <w:t>[17] X. Li, W. Li, X. Xu, and W. Hu, 'Cell classification using convolutional neural networks in medical hyperspectral imagery,' in Proc. 2nd Int. Conf. Image, Vis. Comput. (ICIVC), Jun. 2017, pp. 501–504.</w:t>
      </w:r>
    </w:p>
    <w:p>
      <w:pPr>
        <w:pStyle w:val="ListBullet"/>
        <w:spacing w:after="80" w:line="276" w:lineRule="auto"/>
      </w:pPr>
      <w:r>
        <w:rPr>
          <w:rFonts w:ascii="Times New Roman" w:hAnsi="Times New Roman"/>
          <w:sz w:val="24"/>
        </w:rPr>
        <w:t>[18] Q. Wang et al., 'Identification of melanoma from hyperspectral pathology image using 3D convolutional networks,' IEEE Trans. Med. Imag., vol. 40, no. 1, pp. 218–227, Jan. 2021.</w:t>
      </w:r>
    </w:p>
    <w:p>
      <w:pPr>
        <w:pStyle w:val="ListBullet"/>
        <w:spacing w:after="80" w:line="276" w:lineRule="auto"/>
      </w:pPr>
      <w:r>
        <w:rPr>
          <w:rFonts w:ascii="Times New Roman" w:hAnsi="Times New Roman"/>
          <w:sz w:val="24"/>
        </w:rPr>
        <w:t>[19] X. Wei, W. Li, M. Zhang, and Q. Li, 'Medical hyperspectral image classification based on end-to-end fusion deep neural network,' IEEE Trans. Instrum. Meas., vol. 68, no. 11, pp. 4481–4492, Nov. 2019.</w:t>
      </w:r>
    </w:p>
    <w:p>
      <w:pPr>
        <w:pStyle w:val="ListBullet"/>
        <w:spacing w:after="80" w:line="276" w:lineRule="auto"/>
      </w:pPr>
      <w:r>
        <w:rPr>
          <w:rFonts w:ascii="Times New Roman" w:hAnsi="Times New Roman"/>
          <w:sz w:val="24"/>
        </w:rPr>
        <w:t>[20] Q. Hao et al., 'Fusing multiple deep models for in vivo human brain hyperspectral image classification to identify glioblastoma tumor,' IEEE Trans. Instrum. Meas., vol. 70, pp. 1–14, 2021.</w:t>
      </w:r>
    </w:p>
    <w:p>
      <w:pPr>
        <w:pStyle w:val="ListBullet"/>
        <w:spacing w:after="80" w:line="276" w:lineRule="auto"/>
      </w:pPr>
      <w:r>
        <w:rPr>
          <w:rFonts w:ascii="Times New Roman" w:hAnsi="Times New Roman"/>
          <w:sz w:val="24"/>
        </w:rPr>
        <w:t>[21] W. Zeng et al., 'Microscopic hyperspectral image classification based on fusion transformer with parallel CNN,' IEEE J. Biomed. Health Informat., vol. 27, no. 6, pp. 2910–2921, Jun. 2023.</w:t>
      </w:r>
    </w:p>
    <w:p>
      <w:pPr>
        <w:pStyle w:val="ListBullet"/>
        <w:spacing w:after="80" w:line="276" w:lineRule="auto"/>
      </w:pPr>
      <w:r>
        <w:rPr>
          <w:rFonts w:ascii="Times New Roman" w:hAnsi="Times New Roman"/>
          <w:sz w:val="24"/>
        </w:rPr>
        <w:t>[22] H. Fabelo et al., 'In-vivo hyperspectral human brain image database for brain cancer detection,' IEEE Access, vol. 7, pp. 39098–39116, 2019.</w:t>
      </w:r>
    </w:p>
    <w:p>
      <w:pPr>
        <w:pStyle w:val="ListBullet"/>
        <w:spacing w:after="80" w:line="276" w:lineRule="auto"/>
      </w:pPr>
      <w:r>
        <w:rPr>
          <w:rFonts w:ascii="Times New Roman" w:hAnsi="Times New Roman"/>
          <w:sz w:val="24"/>
        </w:rPr>
        <w:t>[23] H. Fabelo et al., 'Spatio-spectral classification of hyperspectral images for brain cancer detection during surgical operations,' PLoS ONE, vol. 13, no. 3, Art. no. e0193721, Mar. 2018.</w:t>
      </w:r>
    </w:p>
    <w:p>
      <w:pPr>
        <w:pStyle w:val="ListBullet"/>
        <w:spacing w:after="80" w:line="276" w:lineRule="auto"/>
      </w:pPr>
      <w:r>
        <w:rPr>
          <w:rFonts w:ascii="Times New Roman" w:hAnsi="Times New Roman"/>
          <w:sz w:val="24"/>
        </w:rPr>
        <w:t>[24] Q. Zhang, Q. Li, G. Yu, L. Sun, M. Zhou, and J. Chu, 'A multidimensional choledoch database and benchmarks for cholangiocarcinoma diagnosis,' IEEE Access, vol. 7, pp. 149414–149421, 2019.</w:t>
      </w:r>
    </w:p>
    <w:p>
      <w:pPr>
        <w:pStyle w:val="ListBullet"/>
        <w:spacing w:after="80" w:line="276" w:lineRule="auto"/>
      </w:pPr>
      <w:r>
        <w:rPr>
          <w:rFonts w:ascii="Times New Roman" w:hAnsi="Times New Roman"/>
          <w:sz w:val="24"/>
        </w:rPr>
        <w:t>[25] L. Sun et al., 'Diagnosis of cholangiocarcinoma from microscopic hyperspectral pathological dataset by deep convolution neural networks,' Methods, vol. 202, pp. 22–30, Jun. 2022.</w:t>
      </w:r>
    </w:p>
    <w:p>
      <w:pPr>
        <w:pStyle w:val="ListBullet"/>
        <w:spacing w:after="80" w:line="276" w:lineRule="auto"/>
      </w:pPr>
      <w:r>
        <w:rPr>
          <w:rFonts w:ascii="Times New Roman" w:hAnsi="Times New Roman"/>
          <w:sz w:val="24"/>
        </w:rPr>
        <w:t>[26] W. Li and Q. Du, 'Gabor-filtering-based nearest regularized subspace for hyperspectral image classification,' IEEE J. Sel. Topics Appl. Earth Observ. Remote Sens., vol. 7, no. 4, pp. 1012–1022, Apr. 2014.</w:t>
      </w:r>
    </w:p>
    <w:p>
      <w:pPr>
        <w:pStyle w:val="ListBullet"/>
        <w:spacing w:after="80" w:line="276" w:lineRule="auto"/>
      </w:pPr>
      <w:r>
        <w:rPr>
          <w:rFonts w:ascii="Times New Roman" w:hAnsi="Times New Roman"/>
          <w:sz w:val="24"/>
        </w:rPr>
        <w:t>[27] L. Fang, C. Wang, S. Li, and J. A. Benediktsson, 'Hyperspectral image classification via multiple-feature-based adaptive sparse representation,' IEEE Trans. Instrum. Meas., vol. 66, no. 7, pp. 1646–1657, Jul. 2017.</w:t>
      </w:r>
    </w:p>
    <w:p>
      <w:pPr>
        <w:pStyle w:val="ListBullet"/>
        <w:spacing w:after="80" w:line="276" w:lineRule="auto"/>
      </w:pPr>
      <w:r>
        <w:rPr>
          <w:rFonts w:ascii="Times New Roman" w:hAnsi="Times New Roman"/>
          <w:sz w:val="24"/>
        </w:rPr>
        <w:t>[28] Y. Chen, Z. Lin, X. Zhao, G. Wang, and Y. Gu, 'Deep learning-based classification of hyperspectral data,' IEEE J. Sel. Topics Appl. Earth Observ. Remote Sens., vol. 7, no. 6, pp. 2094–2107, Jun. 2014.</w:t>
      </w:r>
    </w:p>
    <w:p>
      <w:pPr>
        <w:pStyle w:val="ListBullet"/>
        <w:spacing w:after="80" w:line="276" w:lineRule="auto"/>
      </w:pPr>
      <w:r>
        <w:rPr>
          <w:rFonts w:ascii="Times New Roman" w:hAnsi="Times New Roman"/>
          <w:sz w:val="24"/>
        </w:rPr>
        <w:t>[29] W. Hu, Y. Huang, L. Wei, F. Zhang, and H. Li, 'Deep convolutional neural networks for hyperspectral image classification,' J. Sensors, vol. 2015, Art. no. 258619, Jan. 2015.</w:t>
      </w:r>
    </w:p>
    <w:p>
      <w:pPr>
        <w:pStyle w:val="ListBullet"/>
        <w:spacing w:after="80" w:line="276" w:lineRule="auto"/>
      </w:pPr>
      <w:r>
        <w:rPr>
          <w:rFonts w:ascii="Times New Roman" w:hAnsi="Times New Roman"/>
          <w:sz w:val="24"/>
        </w:rPr>
        <w:t>[30] Y. Xu, B. Du, F. Zhang, and L. Zhang, 'Hyperspectral image classification via a random patches network,' ISPRS J. Photogramm. Remote Sens., vol. 142, pp. 344–357, Aug. 2018.</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77777"/>
        <w:sz w:val="17"/>
      </w:rPr>
      <w:t>Deep Margin Cosine Autoencoder Research Study — IEEE TIM 2023 Analysis Master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77777"/>
        <w:sz w:val="17"/>
      </w:rPr>
      <w:t>Deep Margin Cosine Autoencoder (DMCA) for Tumor Diagnosis | Technical Master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