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Literature Review</w:t>
      </w:r>
    </w:p>
    <w:p>
      <w:pPr>
        <w:spacing w:after="300"/>
        <w:jc w:val="center"/>
      </w:pPr>
      <w:r>
        <w:rPr>
          <w:color w:val="444444"/>
          <w:sz w:val="26"/>
          <w:szCs w:val="26"/>
        </w:rPr>
        <w:t xml:space="preserve">Lightweight Deep Learning Approaches for Real-Time Speech Enhancement</w:t>
      </w:r>
    </w:p>
    <w:p>
      <w:pPr>
        <w:spacing w:after="400"/>
        <w:jc w:val="center"/>
      </w:pPr>
      <w:r>
        <w:rPr>
          <w:i/>
          <w:iCs/>
          <w:color w:val="666666"/>
          <w:sz w:val="20"/>
          <w:szCs w:val="20"/>
        </w:rPr>
        <w:t xml:space="preserve">Prepared for: SIH Problem Statement 26052 — AI/ML Adaptive Noise Cancellation</w:t>
      </w:r>
    </w:p>
    <w:p>
      <w:pPr>
        <w:pStyle w:val="Heading1"/>
        <w:spacing w:after="160" w:before="320"/>
      </w:pPr>
      <w:r>
        <w:t xml:space="preserve">1. Background</w:t>
      </w:r>
    </w:p>
    <w:p>
      <w:pPr>
        <w:spacing w:after="160"/>
      </w:pPr>
      <w:r>
        <w:t xml:space="preserve">Speech enhancement is the task of recovering a clean speech signal from a recording that has been corrupted by background noise. Classical signal-processing methods (spectral subtraction, Wiener filtering, beamforming) work reasonably well in mild noise but degrade quickly as noise levels rise or as the noise becomes non-stationary — i.e., changing character over time, as is common with gunfire, engines, or crowd noise. Deep neural network (DNN) based methods have become the dominant approach because they can learn complex, nonlinear mappings between noisy and clean speech directly from data, rather than relying on hand-crafted assumptions about the noise.</w:t>
      </w:r>
    </w:p>
    <w:p>
      <w:pPr>
        <w:pStyle w:val="Heading2"/>
        <w:spacing w:after="120" w:before="260"/>
      </w:pPr>
      <w:r>
        <w:t xml:space="preserve">1.1 Deep Neural Networks (DNNs) for Speech Enhancement</w:t>
      </w:r>
    </w:p>
    <w:p>
      <w:pPr>
        <w:spacing w:after="160"/>
      </w:pPr>
      <w:r>
        <w:t xml:space="preserve">A DNN-based speech enhancement model is a multi-layered machine learning model trained on large amounts of paired data — noisy audio matched with its corresponding clean audio. During training, the network learns to recognise the patterns that distinguish speech from noise within a spectrogram (a time-frequency representation of the audio). Once trained, it can take unseen noisy audio and output a cleaned estimate.</w:t>
      </w:r>
    </w:p>
    <w:p>
      <w:pPr>
        <w:spacing w:after="160"/>
      </w:pPr>
      <w:r>
        <w:t xml:space="preserve">The core trade-off in this space is accuracy versus cost: larger DNNs are generally more accurate but require significantly more computation. This is a serious constraint for real-time use on small, power- and compute-limited embedded devices — exactly the deployment target relevant to an on-headset or on-edge noise-cancellation system.</w:t>
      </w:r>
    </w:p>
    <w:p>
      <w:pPr>
        <w:pStyle w:val="Heading2"/>
        <w:spacing w:after="120" w:before="260"/>
      </w:pPr>
      <w:r>
        <w:t xml:space="preserve">1.2 Signal-to-Noise Ratio (SNR)</w:t>
      </w:r>
    </w:p>
    <w:p>
      <w:pPr>
        <w:spacing w:after="160"/>
      </w:pPr>
      <w:r>
        <w:t xml:space="preserve">SNR is a measure, expressed in decibels (dB), of how loud the speech signal is relative to the background noise. It is the standard yardstick used to describe how difficult a noise condition is:</w:t>
      </w:r>
    </w:p>
    <w:p>
      <w:pPr>
        <w:pStyle w:val="ListParagraph"/>
        <w:numPr>
          <w:ilvl w:val="0"/>
          <w:numId w:val="2"/>
        </w:numPr>
        <w:spacing w:after="80"/>
      </w:pPr>
      <w:r>
        <w:t xml:space="preserve">High SNR (e.g., +20 dB): a quiet environment; speech is clear and enhancement is comparatively easy.</w:t>
      </w:r>
    </w:p>
    <w:p>
      <w:pPr>
        <w:pStyle w:val="ListParagraph"/>
        <w:numPr>
          <w:ilvl w:val="0"/>
          <w:numId w:val="2"/>
        </w:numPr>
        <w:spacing w:after="80"/>
      </w:pPr>
      <w:r>
        <w:t xml:space="preserve">0 dB: speech and noise are equally loud.</w:t>
      </w:r>
    </w:p>
    <w:p>
      <w:pPr>
        <w:pStyle w:val="ListParagraph"/>
        <w:numPr>
          <w:ilvl w:val="0"/>
          <w:numId w:val="2"/>
        </w:numPr>
        <w:spacing w:after="80"/>
      </w:pPr>
      <w:r>
        <w:t xml:space="preserve">Negative SNR (e.g., −10 dB, −12.5 dB): noise is louder than speech, meaning the speech is largely buried in noise — a very difficult condition for any enhancement system, and the regime most relevant to defence/battlefield acoustic environments.</w:t>
      </w:r>
    </w:p>
    <w:p>
      <w:pPr>
        <w:pStyle w:val="Heading1"/>
        <w:spacing w:after="160" w:before="320"/>
      </w:pPr>
      <w:r>
        <w:t xml:space="preserve">2. Paper 1 — H-GTCRN (Hybrid Dual-Channel Speech Enhancement)</w:t>
      </w:r>
    </w:p>
    <w:p>
      <w:pPr>
        <w:pStyle w:val="Heading2"/>
        <w:spacing w:after="120" w:before="260"/>
      </w:pPr>
      <w:r>
        <w:t xml:space="preserve">2.1 Goal</w:t>
      </w:r>
    </w:p>
    <w:p>
      <w:pPr>
        <w:spacing w:after="160"/>
      </w:pPr>
      <w:r>
        <w:t xml:space="preserve">Enhance speech in very low-SNR conditions, specifically the −12.5 dB to −2.5 dB range, using a lightweight, dual-microphone (two-mic) system suitable for constrained hardware.</w:t>
      </w:r>
    </w:p>
    <w:p>
      <w:pPr>
        <w:pStyle w:val="Heading2"/>
        <w:spacing w:after="120" w:before="260"/>
      </w:pPr>
      <w:r>
        <w:t xml:space="preserve">2.2 Approach</w:t>
      </w:r>
    </w:p>
    <w:p>
      <w:pPr>
        <w:spacing w:after="160"/>
      </w:pPr>
      <w:r>
        <w:t xml:space="preserve">H-GTCRN is a hybrid pipeline that combines a classical signal-processing algorithm with a small DNN, rather than relying on a purely learned model:</w:t>
      </w:r>
    </w:p>
    <w:p>
      <w:pPr>
        <w:pStyle w:val="ListParagraph"/>
        <w:numPr>
          <w:ilvl w:val="0"/>
          <w:numId w:val="2"/>
        </w:numPr>
        <w:spacing w:after="80"/>
      </w:pPr>
      <w:r>
        <w:t xml:space="preserve">A classical algorithm — Independent Vector Analysis, specifically the Aux-IVA variant — runs first as a fast, low-cost blind source separator. Using the two microphone channels, it produces a rough estimate of the separated speech and separated noise.</w:t>
      </w:r>
    </w:p>
    <w:p>
      <w:pPr>
        <w:pStyle w:val="ListParagraph"/>
        <w:numPr>
          <w:ilvl w:val="0"/>
          <w:numId w:val="2"/>
        </w:numPr>
        <w:spacing w:after="80"/>
      </w:pPr>
      <w:r>
        <w:t xml:space="preserve">A modified version of GTCRN (Grouped Temporal Convolutional Recurrent Network), a compact DNN architecture, then refines this rough estimate. Critically, it is given both the raw noisy input and IVA's rough output as extra conditioning information, rather than relying on IVA's output alone.</w:t>
      </w:r>
    </w:p>
    <w:p>
      <w:pPr>
        <w:spacing w:after="160"/>
      </w:pPr>
      <w:r>
        <w:t xml:space="preserve">This two-stage design lets the system lean on cheap, well-understood DSP for a first-pass separation, and reserve the (more expensive) learned component for the harder job of cleaning up IVA's imperfect estimate — which is what keeps the network itself so small.</w:t>
      </w:r>
    </w:p>
    <w:p>
      <w:pPr>
        <w:pStyle w:val="Heading2"/>
        <w:spacing w:after="120" w:before="260"/>
      </w:pPr>
      <w:r>
        <w:t xml:space="preserve">2.3 Key Findings from the Ablation Study</w:t>
      </w:r>
    </w:p>
    <w:p>
      <w:pPr>
        <w:spacing w:after="160"/>
      </w:pPr>
      <w:r>
        <w:t xml:space="preserve">The authors systematically tested individual design choices to see which ones actually mattered. The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shd w:fill="1F4E79" w:color="auto" w:val="clear"/>
            <w:tcMar>
              <w:top w:type="dxa" w:w="100"/>
              <w:left w:type="dxa" w:w="120"/>
              <w:bottom w:type="dxa" w:w="100"/>
              <w:right w:type="dxa" w:w="120"/>
            </w:tcMar>
          </w:tcPr>
          <w:p>
            <w:pPr>
              <w:jc w:val="left"/>
            </w:pPr>
            <w:r>
              <w:rPr>
                <w:b/>
                <w:bCs/>
              </w:rPr>
              <w:t xml:space="preserve">Design choice tested</w:t>
            </w:r>
          </w:p>
        </w:tc>
        <w:tc>
          <w:tcPr>
            <w:tcW w:type="dxa" w:w="5000"/>
            <w:shd w:fill="1F4E79" w:color="auto" w:val="clear"/>
            <w:tcMar>
              <w:top w:type="dxa" w:w="100"/>
              <w:left w:type="dxa" w:w="120"/>
              <w:bottom w:type="dxa" w:w="100"/>
              <w:right w:type="dxa" w:w="120"/>
            </w:tcMar>
          </w:tcPr>
          <w:p>
            <w:pPr>
              <w:jc w:val="left"/>
            </w:pPr>
            <w:r>
              <w:rPr>
                <w:b/>
                <w:bCs/>
              </w:rPr>
              <w:t xml:space="preserve">Finding</w:t>
            </w:r>
          </w:p>
        </w:tc>
      </w:tr>
      <w:tr>
        <w:tc>
          <w:tcPr>
            <w:tcW w:type="dxa" w:w="4600"/>
            <w:tcMar>
              <w:top w:type="dxa" w:w="100"/>
              <w:left w:type="dxa" w:w="120"/>
              <w:bottom w:type="dxa" w:w="100"/>
              <w:right w:type="dxa" w:w="120"/>
            </w:tcMar>
          </w:tcPr>
          <w:p>
            <w:pPr>
              <w:jc w:val="left"/>
            </w:pPr>
            <w:r>
              <w:rPr>
                <w:b w:val="false"/>
                <w:bCs w:val="false"/>
              </w:rPr>
              <w:t xml:space="preserve">Apply mask to noisy input vs. to IVA's output</w:t>
            </w:r>
          </w:p>
        </w:tc>
        <w:tc>
          <w:tcPr>
            <w:tcW w:type="dxa" w:w="5000"/>
            <w:tcMar>
              <w:top w:type="dxa" w:w="100"/>
              <w:left w:type="dxa" w:w="120"/>
              <w:bottom w:type="dxa" w:w="100"/>
              <w:right w:type="dxa" w:w="120"/>
            </w:tcMar>
          </w:tcPr>
          <w:p>
            <w:pPr>
              <w:jc w:val="left"/>
            </w:pPr>
            <w:r>
              <w:rPr>
                <w:b w:val="false"/>
                <w:bCs w:val="false"/>
              </w:rPr>
              <w:t xml:space="preserve">Applying to the original noisy input works better</w:t>
            </w:r>
          </w:p>
        </w:tc>
      </w:tr>
      <w:tr>
        <w:tc>
          <w:tcPr>
            <w:tcW w:type="dxa" w:w="4600"/>
            <w:shd w:fill="DDEBF7" w:color="auto" w:val="clear"/>
            <w:tcMar>
              <w:top w:type="dxa" w:w="100"/>
              <w:left w:type="dxa" w:w="120"/>
              <w:bottom w:type="dxa" w:w="100"/>
              <w:right w:type="dxa" w:w="120"/>
            </w:tcMar>
          </w:tcPr>
          <w:p>
            <w:pPr>
              <w:jc w:val="left"/>
            </w:pPr>
            <w:r>
              <w:rPr>
                <w:b w:val="false"/>
                <w:bCs w:val="false"/>
              </w:rPr>
              <w:t xml:space="preserve">IVA log-power feature vs. full complex (phase-included) feature</w:t>
            </w:r>
          </w:p>
        </w:tc>
        <w:tc>
          <w:tcPr>
            <w:tcW w:type="dxa" w:w="5000"/>
            <w:shd w:fill="DDEBF7" w:color="auto" w:val="clear"/>
            <w:tcMar>
              <w:top w:type="dxa" w:w="100"/>
              <w:left w:type="dxa" w:w="120"/>
              <w:bottom w:type="dxa" w:w="100"/>
              <w:right w:type="dxa" w:w="120"/>
            </w:tcMar>
          </w:tcPr>
          <w:p>
            <w:pPr>
              <w:jc w:val="left"/>
            </w:pPr>
            <w:r>
              <w:rPr>
                <w:b w:val="false"/>
                <w:bCs w:val="false"/>
              </w:rPr>
              <w:t xml:space="preserve">Log-power feature works better</w:t>
            </w:r>
          </w:p>
        </w:tc>
      </w:tr>
      <w:tr>
        <w:tc>
          <w:tcPr>
            <w:tcW w:type="dxa" w:w="4600"/>
            <w:tcMar>
              <w:top w:type="dxa" w:w="100"/>
              <w:left w:type="dxa" w:w="120"/>
              <w:bottom w:type="dxa" w:w="100"/>
              <w:right w:type="dxa" w:w="120"/>
            </w:tcMar>
          </w:tcPr>
          <w:p>
            <w:pPr>
              <w:jc w:val="left"/>
            </w:pPr>
            <w:r>
              <w:rPr>
                <w:b w:val="false"/>
                <w:bCs w:val="false"/>
              </w:rPr>
              <w:t xml:space="preserve">Feed only separated-speech vs. speech + separated-noise channel</w:t>
            </w:r>
          </w:p>
        </w:tc>
        <w:tc>
          <w:tcPr>
            <w:tcW w:type="dxa" w:w="5000"/>
            <w:tcMar>
              <w:top w:type="dxa" w:w="100"/>
              <w:left w:type="dxa" w:w="120"/>
              <w:bottom w:type="dxa" w:w="100"/>
              <w:right w:type="dxa" w:w="120"/>
            </w:tcMar>
          </w:tcPr>
          <w:p>
            <w:pPr>
              <w:jc w:val="left"/>
            </w:pPr>
            <w:r>
              <w:rPr>
                <w:b w:val="false"/>
                <w:bCs w:val="false"/>
              </w:rPr>
              <w:t xml:space="preserve">Feeding both speech and noise channels gives the largest gain</w:t>
            </w:r>
          </w:p>
        </w:tc>
      </w:tr>
    </w:tbl>
    <w:p>
      <w:pPr>
        <w:spacing w:after="160"/>
      </w:pPr>
    </w:p>
    <w:p>
      <w:pPr>
        <w:spacing w:after="160"/>
      </w:pPr>
      <w:r>
        <w:t xml:space="preserve">Taken together, these findings suggest that the network benefits most from seeing the noisy signal directly (rather than working on top of IVA's possibly-distorted output) and from being given a fuller picture of what IVA "thinks" is speech versus noise — rather than a compressed or partial version of that information.</w:t>
      </w:r>
    </w:p>
    <w:p>
      <w:pPr>
        <w:pStyle w:val="Heading2"/>
        <w:spacing w:after="120" w:before="260"/>
      </w:pPr>
      <w:r>
        <w:t xml:space="preserve">2.4 Results</w:t>
      </w:r>
    </w:p>
    <w:p>
      <w:pPr>
        <w:spacing w:after="160"/>
      </w:pPr>
      <w:r>
        <w:t xml:space="preserve">H-GTCRN outperforms both plain GTCRN and larger dual-channel baseline systems at extreme low SNR, while using very few parameters (~24k) and low compute (~43 million operations per second). This combination — state-of-the-art performance in the hardest noise regime, at a fraction of the usual model size — is what makes it notable for embedded, real-time deployment.</w:t>
      </w:r>
    </w:p>
    <w:p>
      <w:pPr>
        <w:pStyle w:val="Heading1"/>
        <w:spacing w:after="160" w:before="320"/>
      </w:pPr>
      <w:r>
        <w:t xml:space="preserve">3. Paper 2 — DeepFilterNet2</w:t>
      </w:r>
    </w:p>
    <w:p>
      <w:pPr>
        <w:pStyle w:val="Heading2"/>
        <w:spacing w:after="120" w:before="260"/>
      </w:pPr>
      <w:r>
        <w:t xml:space="preserve">3.1 Goal</w:t>
      </w:r>
    </w:p>
    <w:p>
      <w:pPr>
        <w:spacing w:after="160"/>
      </w:pPr>
      <w:r>
        <w:t xml:space="preserve">Real-time, high-quality, full-band (48 kHz) speech enhancement that can run on embedded devices such as a Raspberry Pi — i.e., genuinely deployable hardware rather than a GPU server.</w:t>
      </w:r>
    </w:p>
    <w:p>
      <w:pPr>
        <w:pStyle w:val="Heading2"/>
        <w:spacing w:after="120" w:before="260"/>
      </w:pPr>
      <w:r>
        <w:t xml:space="preserve">3.2 Approach</w:t>
      </w:r>
    </w:p>
    <w:p>
      <w:pPr>
        <w:spacing w:after="160"/>
      </w:pPr>
      <w:r>
        <w:t xml:space="preserve">Unlike H-GTCRN, DeepFilterNet2 is a fully learned, single DNN with no classical DSP hybrid. It works in two stages:</w:t>
      </w:r>
    </w:p>
    <w:p>
      <w:pPr>
        <w:pStyle w:val="Heading3"/>
        <w:spacing w:after="100" w:before="200"/>
      </w:pPr>
      <w:r>
        <w:t xml:space="preserve">Stage 1 — Envelope</w:t>
      </w:r>
    </w:p>
    <w:p>
      <w:pPr>
        <w:spacing w:after="160"/>
      </w:pPr>
      <w:r>
        <w:t xml:space="preserve">The frequency spectrum is compressed into 32 ERB (Equivalent Rectangular Bandwidth) bands — a perceptually motivated scale that mirrors how the human ear resolves frequency, giving finer resolution at low frequencies and coarser resolution at high frequencies. The network predicts real-valued gains on these bands for coarse, broad-strokes noise reduction.</w:t>
      </w:r>
    </w:p>
    <w:p>
      <w:pPr>
        <w:pStyle w:val="Heading3"/>
        <w:spacing w:after="100" w:before="200"/>
      </w:pPr>
      <w:r>
        <w:t xml:space="preserve">Stage 2 — Periodicity</w:t>
      </w:r>
    </w:p>
    <w:p>
      <w:pPr>
        <w:spacing w:after="160"/>
      </w:pPr>
      <w:r>
        <w:t xml:space="preserve">This stage operates on the lower part of the complex spectrum, up to 5 kHz, and predicts “Deep Filtering” coefficients that reconstruct fine harmonic and periodic detail in the speech — the kind of structure a coarse gain mask tends to smear away. The authors show this Deep Filtering approach outperforms standard complex ratio masks, especially in high-noise conditions.</w:t>
      </w:r>
    </w:p>
    <w:p>
      <w:pPr>
        <w:pStyle w:val="Heading2"/>
        <w:spacing w:after="120" w:before="260"/>
      </w:pPr>
      <w:r>
        <w:t xml:space="preserve">3.3 Key Improvements over the Original DeepFilterNet</w:t>
      </w:r>
    </w:p>
    <w:p>
      <w:pPr>
        <w:pStyle w:val="ListParagraph"/>
        <w:numPr>
          <w:ilvl w:val="0"/>
          <w:numId w:val="2"/>
        </w:numPr>
        <w:spacing w:after="80"/>
      </w:pPr>
      <w:r>
        <w:t xml:space="preserve">A better training schedule: learning-rate warmup followed by cosine decay, combined with batch-size scheduling.</w:t>
      </w:r>
    </w:p>
    <w:p>
      <w:pPr>
        <w:pStyle w:val="ListParagraph"/>
        <w:numPr>
          <w:ilvl w:val="0"/>
          <w:numId w:val="2"/>
        </w:numPr>
        <w:spacing w:after="80"/>
      </w:pPr>
      <w:r>
        <w:t xml:space="preserve">A multi-resolution spectrogram loss, added to better capture errors across different time-frequency resolutions.</w:t>
      </w:r>
    </w:p>
    <w:p>
      <w:pPr>
        <w:pStyle w:val="ListParagraph"/>
        <w:numPr>
          <w:ilvl w:val="0"/>
          <w:numId w:val="2"/>
        </w:numPr>
        <w:spacing w:after="80"/>
      </w:pPr>
      <w:r>
        <w:t xml:space="preserve">Architecture simplifications: a unified encoder, simplified grouping, and smaller convolution kernels — which reduces the memory footprint needed for real-time streaming.</w:t>
      </w:r>
    </w:p>
    <w:p>
      <w:pPr>
        <w:pStyle w:val="ListParagraph"/>
        <w:numPr>
          <w:ilvl w:val="0"/>
          <w:numId w:val="2"/>
        </w:numPr>
        <w:spacing w:after="80"/>
      </w:pPr>
      <w:r>
        <w:t xml:space="preserve">Grouped 1×1 convolutions, giving a major reduction in parameter count.</w:t>
      </w:r>
    </w:p>
    <w:p>
      <w:pPr>
        <w:pStyle w:val="ListParagraph"/>
        <w:numPr>
          <w:ilvl w:val="0"/>
          <w:numId w:val="2"/>
        </w:numPr>
        <w:spacing w:after="80"/>
      </w:pPr>
      <w:r>
        <w:t xml:space="preserve">A post-filter stage that further suppresses residual noisy frequency bins after the main two-stage prediction.</w:t>
      </w:r>
    </w:p>
    <w:p>
      <w:pPr>
        <w:pStyle w:val="Heading2"/>
        <w:spacing w:after="120" w:before="260"/>
      </w:pPr>
      <w:r>
        <w:t xml:space="preserve">3.4 Results</w:t>
      </w:r>
    </w:p>
    <w:p>
      <w:pPr>
        <w:spacing w:after="160"/>
      </w:pPr>
      <w:r>
        <w:t xml:space="preserve">DeepFilterNet2 achieves a higher PESQ (Perceptual Evaluation of Speech Quality) score than the original DeepFilterNet while running twice as fast, at a similar parameter count and with much lower compute than many competing full-band models. It runs in real time on a Raspberry Pi 4, which is the headline result demonstrating its suitability for embedded, low-power hardware.</w:t>
      </w:r>
    </w:p>
    <w:p>
      <w:pPr>
        <w:pStyle w:val="Heading1"/>
        <w:spacing w:after="160" w:before="320"/>
      </w:pPr>
      <w:r>
        <w:t xml:space="preserve">4. Side-by-Side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4E79" w:color="auto" w:val="clear"/>
            <w:tcMar>
              <w:top w:type="dxa" w:w="100"/>
              <w:left w:type="dxa" w:w="120"/>
              <w:bottom w:type="dxa" w:w="100"/>
              <w:right w:type="dxa" w:w="120"/>
            </w:tcMar>
          </w:tcPr>
          <w:p>
            <w:pPr>
              <w:jc w:val="left"/>
            </w:pPr>
            <w:r>
              <w:rPr>
                <w:b/>
                <w:bCs/>
              </w:rPr>
              <w:t xml:space="preserve">Aspect</w:t>
            </w:r>
          </w:p>
        </w:tc>
        <w:tc>
          <w:tcPr>
            <w:tcW w:type="dxa" w:w="3600"/>
            <w:shd w:fill="1F4E79" w:color="auto" w:val="clear"/>
            <w:tcMar>
              <w:top w:type="dxa" w:w="100"/>
              <w:left w:type="dxa" w:w="120"/>
              <w:bottom w:type="dxa" w:w="100"/>
              <w:right w:type="dxa" w:w="120"/>
            </w:tcMar>
          </w:tcPr>
          <w:p>
            <w:pPr>
              <w:jc w:val="left"/>
            </w:pPr>
            <w:r>
              <w:rPr>
                <w:b/>
                <w:bCs/>
              </w:rPr>
              <w:t xml:space="preserve">Paper 1 — H-GTCRN</w:t>
            </w:r>
          </w:p>
        </w:tc>
        <w:tc>
          <w:tcPr>
            <w:tcW w:type="dxa" w:w="3600"/>
            <w:shd w:fill="1F4E79" w:color="auto" w:val="clear"/>
            <w:tcMar>
              <w:top w:type="dxa" w:w="100"/>
              <w:left w:type="dxa" w:w="120"/>
              <w:bottom w:type="dxa" w:w="100"/>
              <w:right w:type="dxa" w:w="120"/>
            </w:tcMar>
          </w:tcPr>
          <w:p>
            <w:pPr>
              <w:jc w:val="left"/>
            </w:pPr>
            <w:r>
              <w:rPr>
                <w:b/>
                <w:bCs/>
              </w:rPr>
              <w:t xml:space="preserve">Paper 2 — DeepFilterNet2</w:t>
            </w:r>
          </w:p>
        </w:tc>
      </w:tr>
      <w:tr>
        <w:tc>
          <w:tcPr>
            <w:tcW w:type="dxa" w:w="2400"/>
            <w:tcMar>
              <w:top w:type="dxa" w:w="100"/>
              <w:left w:type="dxa" w:w="120"/>
              <w:bottom w:type="dxa" w:w="100"/>
              <w:right w:type="dxa" w:w="120"/>
            </w:tcMar>
          </w:tcPr>
          <w:p>
            <w:pPr>
              <w:jc w:val="left"/>
            </w:pPr>
            <w:r>
              <w:rPr>
                <w:b w:val="false"/>
                <w:bCs w:val="false"/>
              </w:rPr>
              <w:t xml:space="preserve">Target scenario</w:t>
            </w:r>
          </w:p>
        </w:tc>
        <w:tc>
          <w:tcPr>
            <w:tcW w:type="dxa" w:w="3600"/>
            <w:tcMar>
              <w:top w:type="dxa" w:w="100"/>
              <w:left w:type="dxa" w:w="120"/>
              <w:bottom w:type="dxa" w:w="100"/>
              <w:right w:type="dxa" w:w="120"/>
            </w:tcMar>
          </w:tcPr>
          <w:p>
            <w:pPr>
              <w:jc w:val="left"/>
            </w:pPr>
            <w:r>
              <w:rPr>
                <w:b w:val="false"/>
                <w:bCs w:val="false"/>
              </w:rPr>
              <w:t xml:space="preserve">Dual-microphone, very low SNR (−12.5 dB to −2.5 dB)</w:t>
            </w:r>
          </w:p>
        </w:tc>
        <w:tc>
          <w:tcPr>
            <w:tcW w:type="dxa" w:w="3600"/>
            <w:tcMar>
              <w:top w:type="dxa" w:w="100"/>
              <w:left w:type="dxa" w:w="120"/>
              <w:bottom w:type="dxa" w:w="100"/>
              <w:right w:type="dxa" w:w="120"/>
            </w:tcMar>
          </w:tcPr>
          <w:p>
            <w:pPr>
              <w:jc w:val="left"/>
            </w:pPr>
            <w:r>
              <w:rPr>
                <w:b w:val="false"/>
                <w:bCs w:val="false"/>
              </w:rPr>
              <w:t xml:space="preserve">Single-channel, full-band 48 kHz, general real-time use</w:t>
            </w:r>
          </w:p>
        </w:tc>
      </w:tr>
      <w:tr>
        <w:tc>
          <w:tcPr>
            <w:tcW w:type="dxa" w:w="2400"/>
            <w:shd w:fill="DDEBF7" w:color="auto" w:val="clear"/>
            <w:tcMar>
              <w:top w:type="dxa" w:w="100"/>
              <w:left w:type="dxa" w:w="120"/>
              <w:bottom w:type="dxa" w:w="100"/>
              <w:right w:type="dxa" w:w="120"/>
            </w:tcMar>
          </w:tcPr>
          <w:p>
            <w:pPr>
              <w:jc w:val="left"/>
            </w:pPr>
            <w:r>
              <w:rPr>
                <w:b w:val="false"/>
                <w:bCs w:val="false"/>
              </w:rPr>
              <w:t xml:space="preserve">Core idea</w:t>
            </w:r>
          </w:p>
        </w:tc>
        <w:tc>
          <w:tcPr>
            <w:tcW w:type="dxa" w:w="3600"/>
            <w:shd w:fill="DDEBF7" w:color="auto" w:val="clear"/>
            <w:tcMar>
              <w:top w:type="dxa" w:w="100"/>
              <w:left w:type="dxa" w:w="120"/>
              <w:bottom w:type="dxa" w:w="100"/>
              <w:right w:type="dxa" w:w="120"/>
            </w:tcMar>
          </w:tcPr>
          <w:p>
            <w:pPr>
              <w:jc w:val="left"/>
            </w:pPr>
            <w:r>
              <w:rPr>
                <w:b w:val="false"/>
                <w:bCs w:val="false"/>
              </w:rPr>
              <w:t xml:space="preserve">Classical DSP (Aux-IVA) + small DNN (modified GTCRN) hybrid</w:t>
            </w:r>
          </w:p>
        </w:tc>
        <w:tc>
          <w:tcPr>
            <w:tcW w:type="dxa" w:w="3600"/>
            <w:shd w:fill="DDEBF7" w:color="auto" w:val="clear"/>
            <w:tcMar>
              <w:top w:type="dxa" w:w="100"/>
              <w:left w:type="dxa" w:w="120"/>
              <w:bottom w:type="dxa" w:w="100"/>
              <w:right w:type="dxa" w:w="120"/>
            </w:tcMar>
          </w:tcPr>
          <w:p>
            <w:pPr>
              <w:jc w:val="left"/>
            </w:pPr>
            <w:r>
              <w:rPr>
                <w:b w:val="false"/>
                <w:bCs w:val="false"/>
              </w:rPr>
              <w:t xml:space="preserve">Fully learned, two-stage single DNN (no classical DSP)</w:t>
            </w:r>
          </w:p>
        </w:tc>
      </w:tr>
      <w:tr>
        <w:tc>
          <w:tcPr>
            <w:tcW w:type="dxa" w:w="2400"/>
            <w:tcMar>
              <w:top w:type="dxa" w:w="100"/>
              <w:left w:type="dxa" w:w="120"/>
              <w:bottom w:type="dxa" w:w="100"/>
              <w:right w:type="dxa" w:w="120"/>
            </w:tcMar>
          </w:tcPr>
          <w:p>
            <w:pPr>
              <w:jc w:val="left"/>
            </w:pPr>
            <w:r>
              <w:rPr>
                <w:b w:val="false"/>
                <w:bCs w:val="false"/>
              </w:rPr>
              <w:t xml:space="preserve">Stage 1</w:t>
            </w:r>
          </w:p>
        </w:tc>
        <w:tc>
          <w:tcPr>
            <w:tcW w:type="dxa" w:w="3600"/>
            <w:tcMar>
              <w:top w:type="dxa" w:w="100"/>
              <w:left w:type="dxa" w:w="120"/>
              <w:bottom w:type="dxa" w:w="100"/>
              <w:right w:type="dxa" w:w="120"/>
            </w:tcMar>
          </w:tcPr>
          <w:p>
            <w:pPr>
              <w:jc w:val="left"/>
            </w:pPr>
            <w:r>
              <w:rPr>
                <w:b w:val="false"/>
                <w:bCs w:val="false"/>
              </w:rPr>
              <w:t xml:space="preserve">Aux-IVA separates speech/noise roughly from 2 mics</w:t>
            </w:r>
          </w:p>
        </w:tc>
        <w:tc>
          <w:tcPr>
            <w:tcW w:type="dxa" w:w="3600"/>
            <w:tcMar>
              <w:top w:type="dxa" w:w="100"/>
              <w:left w:type="dxa" w:w="120"/>
              <w:bottom w:type="dxa" w:w="100"/>
              <w:right w:type="dxa" w:w="120"/>
            </w:tcMar>
          </w:tcPr>
          <w:p>
            <w:pPr>
              <w:jc w:val="left"/>
            </w:pPr>
            <w:r>
              <w:rPr>
                <w:b w:val="false"/>
                <w:bCs w:val="false"/>
              </w:rPr>
              <w:t xml:space="preserve">ERB-band envelope stage predicts coarse real-valued gains</w:t>
            </w:r>
          </w:p>
        </w:tc>
      </w:tr>
      <w:tr>
        <w:tc>
          <w:tcPr>
            <w:tcW w:type="dxa" w:w="2400"/>
            <w:shd w:fill="DDEBF7" w:color="auto" w:val="clear"/>
            <w:tcMar>
              <w:top w:type="dxa" w:w="100"/>
              <w:left w:type="dxa" w:w="120"/>
              <w:bottom w:type="dxa" w:w="100"/>
              <w:right w:type="dxa" w:w="120"/>
            </w:tcMar>
          </w:tcPr>
          <w:p>
            <w:pPr>
              <w:jc w:val="left"/>
            </w:pPr>
            <w:r>
              <w:rPr>
                <w:b w:val="false"/>
                <w:bCs w:val="false"/>
              </w:rPr>
              <w:t xml:space="preserve">Stage 2</w:t>
            </w:r>
          </w:p>
        </w:tc>
        <w:tc>
          <w:tcPr>
            <w:tcW w:type="dxa" w:w="3600"/>
            <w:shd w:fill="DDEBF7" w:color="auto" w:val="clear"/>
            <w:tcMar>
              <w:top w:type="dxa" w:w="100"/>
              <w:left w:type="dxa" w:w="120"/>
              <w:bottom w:type="dxa" w:w="100"/>
              <w:right w:type="dxa" w:w="120"/>
            </w:tcMar>
          </w:tcPr>
          <w:p>
            <w:pPr>
              <w:jc w:val="left"/>
            </w:pPr>
            <w:r>
              <w:rPr>
                <w:b w:val="false"/>
                <w:bCs w:val="false"/>
              </w:rPr>
              <w:t xml:space="preserve">GTCRN refines IVA's estimate using noisy input + IVA output</w:t>
            </w:r>
          </w:p>
        </w:tc>
        <w:tc>
          <w:tcPr>
            <w:tcW w:type="dxa" w:w="3600"/>
            <w:shd w:fill="DDEBF7" w:color="auto" w:val="clear"/>
            <w:tcMar>
              <w:top w:type="dxa" w:w="100"/>
              <w:left w:type="dxa" w:w="120"/>
              <w:bottom w:type="dxa" w:w="100"/>
              <w:right w:type="dxa" w:w="120"/>
            </w:tcMar>
          </w:tcPr>
          <w:p>
            <w:pPr>
              <w:jc w:val="left"/>
            </w:pPr>
            <w:r>
              <w:rPr>
                <w:b w:val="false"/>
                <w:bCs w:val="false"/>
              </w:rPr>
              <w:t xml:space="preserve">Deep Filtering stage rebuilds periodicity up to 5 kHz</w:t>
            </w:r>
          </w:p>
        </w:tc>
      </w:tr>
      <w:tr>
        <w:tc>
          <w:tcPr>
            <w:tcW w:type="dxa" w:w="2400"/>
            <w:tcMar>
              <w:top w:type="dxa" w:w="100"/>
              <w:left w:type="dxa" w:w="120"/>
              <w:bottom w:type="dxa" w:w="100"/>
              <w:right w:type="dxa" w:w="120"/>
            </w:tcMar>
          </w:tcPr>
          <w:p>
            <w:pPr>
              <w:jc w:val="left"/>
            </w:pPr>
            <w:r>
              <w:rPr>
                <w:b w:val="false"/>
                <w:bCs w:val="false"/>
              </w:rPr>
              <w:t xml:space="preserve">Parameters</w:t>
            </w:r>
          </w:p>
        </w:tc>
        <w:tc>
          <w:tcPr>
            <w:tcW w:type="dxa" w:w="3600"/>
            <w:tcMar>
              <w:top w:type="dxa" w:w="100"/>
              <w:left w:type="dxa" w:w="120"/>
              <w:bottom w:type="dxa" w:w="100"/>
              <w:right w:type="dxa" w:w="120"/>
            </w:tcMar>
          </w:tcPr>
          <w:p>
            <w:pPr>
              <w:jc w:val="left"/>
            </w:pPr>
            <w:r>
              <w:rPr>
                <w:b w:val="false"/>
                <w:bCs w:val="false"/>
              </w:rPr>
              <w:t xml:space="preserve">~24k (extremely small)</w:t>
            </w:r>
          </w:p>
        </w:tc>
        <w:tc>
          <w:tcPr>
            <w:tcW w:type="dxa" w:w="3600"/>
            <w:tcMar>
              <w:top w:type="dxa" w:w="100"/>
              <w:left w:type="dxa" w:w="120"/>
              <w:bottom w:type="dxa" w:w="100"/>
              <w:right w:type="dxa" w:w="120"/>
            </w:tcMar>
          </w:tcPr>
          <w:p>
            <w:pPr>
              <w:jc w:val="left"/>
            </w:pPr>
            <w:r>
              <w:rPr>
                <w:b w:val="false"/>
                <w:bCs w:val="false"/>
              </w:rPr>
              <w:t xml:space="preserve">Small, further reduced via grouped 1×1 convolutions</w:t>
            </w:r>
          </w:p>
        </w:tc>
      </w:tr>
      <w:tr>
        <w:tc>
          <w:tcPr>
            <w:tcW w:type="dxa" w:w="2400"/>
            <w:shd w:fill="DDEBF7" w:color="auto" w:val="clear"/>
            <w:tcMar>
              <w:top w:type="dxa" w:w="100"/>
              <w:left w:type="dxa" w:w="120"/>
              <w:bottom w:type="dxa" w:w="100"/>
              <w:right w:type="dxa" w:w="120"/>
            </w:tcMar>
          </w:tcPr>
          <w:p>
            <w:pPr>
              <w:jc w:val="left"/>
            </w:pPr>
            <w:r>
              <w:rPr>
                <w:b w:val="false"/>
                <w:bCs w:val="false"/>
              </w:rPr>
              <w:t xml:space="preserve">Compute</w:t>
            </w:r>
          </w:p>
        </w:tc>
        <w:tc>
          <w:tcPr>
            <w:tcW w:type="dxa" w:w="3600"/>
            <w:shd w:fill="DDEBF7" w:color="auto" w:val="clear"/>
            <w:tcMar>
              <w:top w:type="dxa" w:w="100"/>
              <w:left w:type="dxa" w:w="120"/>
              <w:bottom w:type="dxa" w:w="100"/>
              <w:right w:type="dxa" w:w="120"/>
            </w:tcMar>
          </w:tcPr>
          <w:p>
            <w:pPr>
              <w:jc w:val="left"/>
            </w:pPr>
            <w:r>
              <w:rPr>
                <w:b w:val="false"/>
                <w:bCs w:val="false"/>
              </w:rPr>
              <w:t xml:space="preserve">~43 M operations/second</w:t>
            </w:r>
          </w:p>
        </w:tc>
        <w:tc>
          <w:tcPr>
            <w:tcW w:type="dxa" w:w="3600"/>
            <w:shd w:fill="DDEBF7" w:color="auto" w:val="clear"/>
            <w:tcMar>
              <w:top w:type="dxa" w:w="100"/>
              <w:left w:type="dxa" w:w="120"/>
              <w:bottom w:type="dxa" w:w="100"/>
              <w:right w:type="dxa" w:w="120"/>
            </w:tcMar>
          </w:tcPr>
          <w:p>
            <w:pPr>
              <w:jc w:val="left"/>
            </w:pPr>
            <w:r>
              <w:rPr>
                <w:b w:val="false"/>
                <w:bCs w:val="false"/>
              </w:rPr>
              <w:t xml:space="preserve">Runs 2× faster than DeepFilterNet v1; real time on Raspberry Pi 4</w:t>
            </w:r>
          </w:p>
        </w:tc>
      </w:tr>
      <w:tr>
        <w:tc>
          <w:tcPr>
            <w:tcW w:type="dxa" w:w="2400"/>
            <w:tcMar>
              <w:top w:type="dxa" w:w="100"/>
              <w:left w:type="dxa" w:w="120"/>
              <w:bottom w:type="dxa" w:w="100"/>
              <w:right w:type="dxa" w:w="120"/>
            </w:tcMar>
          </w:tcPr>
          <w:p>
            <w:pPr>
              <w:jc w:val="left"/>
            </w:pPr>
            <w:r>
              <w:rPr>
                <w:b w:val="false"/>
                <w:bCs w:val="false"/>
              </w:rPr>
              <w:t xml:space="preserve">Key strength</w:t>
            </w:r>
          </w:p>
        </w:tc>
        <w:tc>
          <w:tcPr>
            <w:tcW w:type="dxa" w:w="3600"/>
            <w:tcMar>
              <w:top w:type="dxa" w:w="100"/>
              <w:left w:type="dxa" w:w="120"/>
              <w:bottom w:type="dxa" w:w="100"/>
              <w:right w:type="dxa" w:w="120"/>
            </w:tcMar>
          </w:tcPr>
          <w:p>
            <w:pPr>
              <w:jc w:val="left"/>
            </w:pPr>
            <w:r>
              <w:rPr>
                <w:b w:val="false"/>
                <w:bCs w:val="false"/>
              </w:rPr>
              <w:t xml:space="preserve">Best-in-class at extreme low SNR with a tiny footprint</w:t>
            </w:r>
          </w:p>
        </w:tc>
        <w:tc>
          <w:tcPr>
            <w:tcW w:type="dxa" w:w="3600"/>
            <w:tcMar>
              <w:top w:type="dxa" w:w="100"/>
              <w:left w:type="dxa" w:w="120"/>
              <w:bottom w:type="dxa" w:w="100"/>
              <w:right w:type="dxa" w:w="120"/>
            </w:tcMar>
          </w:tcPr>
          <w:p>
            <w:pPr>
              <w:jc w:val="left"/>
            </w:pPr>
            <w:r>
              <w:rPr>
                <w:b w:val="false"/>
                <w:bCs w:val="false"/>
              </w:rPr>
              <w:t xml:space="preserve">High PESQ, full-band quality with embedded-friendly speed</w:t>
            </w:r>
          </w:p>
        </w:tc>
      </w:tr>
    </w:tbl>
    <w:p>
      <w:pPr>
        <w:spacing w:after="160"/>
      </w:pPr>
    </w:p>
    <w:p>
      <w:pPr>
        <w:pStyle w:val="Heading1"/>
        <w:spacing w:after="160" w:before="320"/>
      </w:pPr>
      <w:r>
        <w:t xml:space="preserve">5. Common Thread</w:t>
      </w:r>
    </w:p>
    <w:p>
      <w:pPr>
        <w:spacing w:after="160"/>
      </w:pPr>
      <w:r>
        <w:t xml:space="preserve">Both papers pursue the same underlying goal from different directions: making speech-enhancement DNNs small and fast enough for real-world, resource-limited devices, without sacrificing too much quality — especially in difficult noise conditions.</w:t>
      </w:r>
    </w:p>
    <w:p>
      <w:pPr>
        <w:pStyle w:val="ListParagraph"/>
        <w:numPr>
          <w:ilvl w:val="0"/>
          <w:numId w:val="2"/>
        </w:numPr>
        <w:spacing w:after="80"/>
      </w:pPr>
      <w:r>
        <w:t xml:space="preserve">H-GTCRN reaches this goal by hybridising a classical DSP algorithm (Aux-IVA) with a very small refinement network, trading a second microphone and some algorithmic complexity for an extremely tiny (~24k parameter) learned component that excels specifically at extreme low SNR.</w:t>
      </w:r>
    </w:p>
    <w:p>
      <w:pPr>
        <w:pStyle w:val="ListParagraph"/>
        <w:numPr>
          <w:ilvl w:val="0"/>
          <w:numId w:val="2"/>
        </w:numPr>
        <w:spacing w:after="80"/>
      </w:pPr>
      <w:r>
        <w:t xml:space="preserve">DeepFilterNet2 reaches it by staying fully learned but restructuring the problem into a cheap coarse-gain stage plus a targeted fine-detail (periodicity) stage, plus a raft of training and architecture optimisations, to hit real-time performance on general-purpose embedded hardware like a Raspberry Pi.</w:t>
      </w:r>
    </w:p>
    <w:p>
      <w:pPr>
        <w:spacing w:after="160"/>
      </w:pPr>
      <w:r>
        <w:t xml:space="preserve">For an adaptive noise-cancellation system aimed at defence-relevant, embedded, real-time deployment, the two papers are complementary reference points: H-GTCRN is the stronger reference for behaviour in extreme, negative-SNR conditions (e.g., gunfire, blasts) if a dual-microphone setup is feasible; DeepFilterNet2 is the stronger reference for a single-microphone, full-band, general-purpose real-time pipeline with a well-documented path to running on constrained embedded hardware.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2026-09-03T16:13:13.640Z</dcterms:created>
  <dcterms:modified xsi:type="dcterms:W3CDTF">2026-09-03T16:13:13.653Z</dcterms:modified>
</cp:coreProperties>
</file>

<file path=docProps/custom.xml><?xml version="1.0" encoding="utf-8"?>
<Properties xmlns="http://schemas.openxmlformats.org/officeDocument/2006/custom-properties" xmlns:vt="http://schemas.openxmlformats.org/officeDocument/2006/docPropsVTypes"/>
</file>