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Software Requirements Specification (SRS)</w:t>
      </w:r>
    </w:p>
    <w:p>
      <w:r>
        <w:t>E-Commerce Financial Data Engineering Platform | Databricks</w:t>
      </w:r>
    </w:p>
    <w:p>
      <w:r>
        <w:t>Version 1.0 | September 2026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r>
        <w:t>Cloud Object Storage → Databricks Auto Loader → Bronze Delta → Silver Data Quality &amp; Standardization → MERGE/Incremental Processing → Gold Financial Marts → Power BI</w:t>
      </w:r>
    </w:p>
    <w:p>
      <w:pPr>
        <w:pStyle w:val="Heading1"/>
      </w:pPr>
      <w:r>
        <w:t>2. Source File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Expected Key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Required Business Fields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Incremental Field</w:t>
            </w:r>
          </w:p>
        </w:tc>
      </w:tr>
      <w:tr>
        <w:tc>
          <w:tcPr>
            <w:tcW w:type="dxa" w:w="2520"/>
          </w:tcPr>
          <w:p>
            <w:r>
              <w:t>customers.csv</w:t>
            </w:r>
          </w:p>
        </w:tc>
        <w:tc>
          <w:tcPr>
            <w:tcW w:type="dxa" w:w="2520"/>
          </w:tcPr>
          <w:p>
            <w:r>
              <w:t>customer_id</w:t>
            </w:r>
          </w:p>
        </w:tc>
        <w:tc>
          <w:tcPr>
            <w:tcW w:type="dxa" w:w="2520"/>
          </w:tcPr>
          <w:p>
            <w:r>
              <w:t>customer_id, customer_name, city, state, customer_segment</w:t>
            </w:r>
          </w:p>
        </w:tc>
        <w:tc>
          <w:tcPr>
            <w:tcW w:type="dxa" w:w="2520"/>
          </w:tcPr>
          <w:p>
            <w:r>
              <w:t>updated_at</w:t>
            </w:r>
          </w:p>
        </w:tc>
      </w:tr>
      <w:tr>
        <w:tc>
          <w:tcPr>
            <w:tcW w:type="dxa" w:w="2520"/>
          </w:tcPr>
          <w:p>
            <w:r>
              <w:t>orders.csv</w:t>
            </w:r>
          </w:p>
        </w:tc>
        <w:tc>
          <w:tcPr>
            <w:tcW w:type="dxa" w:w="2520"/>
          </w:tcPr>
          <w:p>
            <w:r>
              <w:t>order_id</w:t>
            </w:r>
          </w:p>
        </w:tc>
        <w:tc>
          <w:tcPr>
            <w:tcW w:type="dxa" w:w="2520"/>
          </w:tcPr>
          <w:p>
            <w:r>
              <w:t>order_id, customer_id, order_status, gross_amount, discount_amount, net_amount</w:t>
            </w:r>
          </w:p>
        </w:tc>
        <w:tc>
          <w:tcPr>
            <w:tcW w:type="dxa" w:w="2520"/>
          </w:tcPr>
          <w:p>
            <w:r>
              <w:t>updated_at</w:t>
            </w:r>
          </w:p>
        </w:tc>
      </w:tr>
      <w:tr>
        <w:tc>
          <w:tcPr>
            <w:tcW w:type="dxa" w:w="2520"/>
          </w:tcPr>
          <w:p>
            <w:r>
              <w:t>order_items.csv</w:t>
            </w:r>
          </w:p>
        </w:tc>
        <w:tc>
          <w:tcPr>
            <w:tcW w:type="dxa" w:w="2520"/>
          </w:tcPr>
          <w:p>
            <w:r>
              <w:t>order_item_id</w:t>
            </w:r>
          </w:p>
        </w:tc>
        <w:tc>
          <w:tcPr>
            <w:tcW w:type="dxa" w:w="2520"/>
          </w:tcPr>
          <w:p>
            <w:r>
              <w:t>order_item_id, order_id, product_id, quantity, unit_price, item_total</w:t>
            </w:r>
          </w:p>
        </w:tc>
        <w:tc>
          <w:tcPr>
            <w:tcW w:type="dxa" w:w="2520"/>
          </w:tcPr>
          <w:p>
            <w:r>
              <w:t>updated_at</w:t>
            </w:r>
          </w:p>
        </w:tc>
      </w:tr>
      <w:tr>
        <w:tc>
          <w:tcPr>
            <w:tcW w:type="dxa" w:w="2520"/>
          </w:tcPr>
          <w:p>
            <w:r>
              <w:t>payments.csv</w:t>
            </w:r>
          </w:p>
        </w:tc>
        <w:tc>
          <w:tcPr>
            <w:tcW w:type="dxa" w:w="2520"/>
          </w:tcPr>
          <w:p>
            <w:r>
              <w:t>payment_id</w:t>
            </w:r>
          </w:p>
        </w:tc>
        <w:tc>
          <w:tcPr>
            <w:tcW w:type="dxa" w:w="2520"/>
          </w:tcPr>
          <w:p>
            <w:r>
              <w:t>payment_id, order_id, payment_status, amount, payment_gateway</w:t>
            </w:r>
          </w:p>
        </w:tc>
        <w:tc>
          <w:tcPr>
            <w:tcW w:type="dxa" w:w="2520"/>
          </w:tcPr>
          <w:p>
            <w:r>
              <w:t>updated_at</w:t>
            </w:r>
          </w:p>
        </w:tc>
      </w:tr>
    </w:tbl>
    <w:p/>
    <w:p>
      <w:pPr>
        <w:pStyle w:val="Heading1"/>
      </w:pPr>
      <w:r>
        <w:t>3. Bronze Requirements</w:t>
      </w:r>
    </w:p>
    <w:p>
      <w:pPr>
        <w:pStyle w:val="ListBullet"/>
      </w:pPr>
      <w:r>
        <w:t>Use Auto Loader cloudFiles format for incremental file discovery.</w:t>
      </w:r>
    </w:p>
    <w:p>
      <w:pPr>
        <w:pStyle w:val="ListBullet"/>
      </w:pPr>
      <w:r>
        <w:t>Persist raw columns with minimal transformation.</w:t>
      </w:r>
    </w:p>
    <w:p>
      <w:pPr>
        <w:pStyle w:val="ListBullet"/>
      </w:pPr>
      <w:r>
        <w:t>Add source_file, ingestion_timestamp and batch/run metadata.</w:t>
      </w:r>
    </w:p>
    <w:p>
      <w:pPr>
        <w:pStyle w:val="ListBullet"/>
      </w:pPr>
      <w:r>
        <w:t>Allow schema evolution only under controlled review.</w:t>
      </w:r>
    </w:p>
    <w:p>
      <w:pPr>
        <w:pStyle w:val="ListBullet"/>
      </w:pPr>
      <w:r>
        <w:t>Store Bronze as Delta tables.</w:t>
      </w:r>
    </w:p>
    <w:p>
      <w:pPr>
        <w:pStyle w:val="Heading1"/>
      </w:pPr>
      <w:r>
        <w:t>4. Silver Transformation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</w:tcPr>
          <w:p>
            <w:r>
              <w:t>Customer normalization</w:t>
            </w:r>
          </w:p>
        </w:tc>
        <w:tc>
          <w:tcPr>
            <w:tcW w:type="dxa" w:w="5040"/>
          </w:tcPr>
          <w:p>
            <w:r>
              <w:t>Trim strings; standardize segment values; validate email; handle null city/email.</w:t>
            </w:r>
          </w:p>
        </w:tc>
      </w:tr>
      <w:tr>
        <w:tc>
          <w:tcPr>
            <w:tcW w:type="dxa" w:w="5040"/>
          </w:tcPr>
          <w:p>
            <w:r>
              <w:t>Order normalization</w:t>
            </w:r>
          </w:p>
        </w:tc>
        <w:tc>
          <w:tcPr>
            <w:tcW w:type="dxa" w:w="5040"/>
          </w:tcPr>
          <w:p>
            <w:r>
              <w:t>Trim status/payment method/currency; standardize status values; validate amounts.</w:t>
            </w:r>
          </w:p>
        </w:tc>
      </w:tr>
      <w:tr>
        <w:tc>
          <w:tcPr>
            <w:tcW w:type="dxa" w:w="5040"/>
          </w:tcPr>
          <w:p>
            <w:r>
              <w:t>Item normalization</w:t>
            </w:r>
          </w:p>
        </w:tc>
        <w:tc>
          <w:tcPr>
            <w:tcW w:type="dxa" w:w="5040"/>
          </w:tcPr>
          <w:p>
            <w:r>
              <w:t>Trim category; standardize category names; validate quantity and price.</w:t>
            </w:r>
          </w:p>
        </w:tc>
      </w:tr>
      <w:tr>
        <w:tc>
          <w:tcPr>
            <w:tcW w:type="dxa" w:w="5040"/>
          </w:tcPr>
          <w:p>
            <w:r>
              <w:t>Payment normalization</w:t>
            </w:r>
          </w:p>
        </w:tc>
        <w:tc>
          <w:tcPr>
            <w:tcW w:type="dxa" w:w="5040"/>
          </w:tcPr>
          <w:p>
            <w:r>
              <w:t>Normalize gateway/status/currency; validate amount and transaction fee.</w:t>
            </w:r>
          </w:p>
        </w:tc>
      </w:tr>
      <w:tr>
        <w:tc>
          <w:tcPr>
            <w:tcW w:type="dxa" w:w="5040"/>
          </w:tcPr>
          <w:p>
            <w:r>
              <w:t>Deduplication</w:t>
            </w:r>
          </w:p>
        </w:tc>
        <w:tc>
          <w:tcPr>
            <w:tcW w:type="dxa" w:w="5040"/>
          </w:tcPr>
          <w:p>
            <w:r>
              <w:t>Partition by business key and retain the latest updated_at.</w:t>
            </w:r>
          </w:p>
        </w:tc>
      </w:tr>
      <w:tr>
        <w:tc>
          <w:tcPr>
            <w:tcW w:type="dxa" w:w="5040"/>
          </w:tcPr>
          <w:p>
            <w:r>
              <w:t>Referential integrity</w:t>
            </w:r>
          </w:p>
        </w:tc>
        <w:tc>
          <w:tcPr>
            <w:tcW w:type="dxa" w:w="5040"/>
          </w:tcPr>
          <w:p>
            <w:r>
              <w:t>Flag orders whose customer_id is absent and payments/items whose order_id is absent.</w:t>
            </w:r>
          </w:p>
        </w:tc>
      </w:tr>
      <w:tr>
        <w:tc>
          <w:tcPr>
            <w:tcW w:type="dxa" w:w="5040"/>
          </w:tcPr>
          <w:p>
            <w:r>
              <w:t>Financial validation</w:t>
            </w:r>
          </w:p>
        </w:tc>
        <w:tc>
          <w:tcPr>
            <w:tcW w:type="dxa" w:w="5040"/>
          </w:tcPr>
          <w:p>
            <w:r>
              <w:t>Flag negative amounts, impossible totals and inconsistent monetary relationships.</w:t>
            </w:r>
          </w:p>
        </w:tc>
      </w:tr>
      <w:tr>
        <w:tc>
          <w:tcPr>
            <w:tcW w:type="dxa" w:w="5040"/>
          </w:tcPr>
          <w:p>
            <w:r>
              <w:t>Quarantine</w:t>
            </w:r>
          </w:p>
        </w:tc>
        <w:tc>
          <w:tcPr>
            <w:tcW w:type="dxa" w:w="5040"/>
          </w:tcPr>
          <w:p>
            <w:r>
              <w:t>Write invalid records and reason codes to DQ/quarantine tables.</w:t>
            </w:r>
          </w:p>
        </w:tc>
      </w:tr>
    </w:tbl>
    <w:p/>
    <w:p>
      <w:pPr>
        <w:pStyle w:val="Heading1"/>
      </w:pPr>
      <w:r>
        <w:t>5. Incremental Processing / MERGE</w:t>
      </w:r>
    </w:p>
    <w:p>
      <w:r>
        <w:t>For each entity, the pipeline compares the incoming business key with Silver. If the key exists and incoming.updated_at is newer, update the record. If the key does not exist, insert it. Older incoming versions must not overwrite newer records.</w:t>
      </w:r>
    </w:p>
    <w:p>
      <w:pPr>
        <w:pStyle w:val="Heading1"/>
      </w:pPr>
      <w:r>
        <w:t>6. Data Quality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Expected Action</w:t>
            </w:r>
          </w:p>
        </w:tc>
      </w:tr>
      <w:tr>
        <w:tc>
          <w:tcPr>
            <w:tcW w:type="dxa" w:w="3360"/>
          </w:tcPr>
          <w:p>
            <w:r>
              <w:t>Primary key null</w:t>
            </w:r>
          </w:p>
        </w:tc>
        <w:tc>
          <w:tcPr>
            <w:tcW w:type="dxa" w:w="3360"/>
          </w:tcPr>
          <w:p>
            <w:r>
              <w:t>Critical</w:t>
            </w:r>
          </w:p>
        </w:tc>
        <w:tc>
          <w:tcPr>
            <w:tcW w:type="dxa" w:w="3360"/>
          </w:tcPr>
          <w:p>
            <w:r>
              <w:t>Quarantine</w:t>
            </w:r>
          </w:p>
        </w:tc>
      </w:tr>
      <w:tr>
        <w:tc>
          <w:tcPr>
            <w:tcW w:type="dxa" w:w="3360"/>
          </w:tcPr>
          <w:p>
            <w:r>
              <w:t>Duplicate primary key/version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Keep latest; log duplicate</w:t>
            </w:r>
          </w:p>
        </w:tc>
      </w:tr>
      <w:tr>
        <w:tc>
          <w:tcPr>
            <w:tcW w:type="dxa" w:w="3360"/>
          </w:tcPr>
          <w:p>
            <w:r>
              <w:t>updated_at null/invalid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Quarantine or default only by approved rule</w:t>
            </w:r>
          </w:p>
        </w:tc>
      </w:tr>
      <w:tr>
        <w:tc>
          <w:tcPr>
            <w:tcW w:type="dxa" w:w="3360"/>
          </w:tcPr>
          <w:p>
            <w:r>
              <w:t>Negative financial amount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Quarantine</w:t>
            </w:r>
          </w:p>
        </w:tc>
      </w:tr>
      <w:tr>
        <w:tc>
          <w:tcPr>
            <w:tcW w:type="dxa" w:w="3360"/>
          </w:tcPr>
          <w:p>
            <w:r>
              <w:t>Unknown currency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Normalize or quarantine</w:t>
            </w:r>
          </w:p>
        </w:tc>
      </w:tr>
      <w:tr>
        <w:tc>
          <w:tcPr>
            <w:tcW w:type="dxa" w:w="3360"/>
          </w:tcPr>
          <w:p>
            <w:r>
              <w:t>Unknown status/gateway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Map to standard value or quarantine</w:t>
            </w:r>
          </w:p>
        </w:tc>
      </w:tr>
      <w:tr>
        <w:tc>
          <w:tcPr>
            <w:tcW w:type="dxa" w:w="3360"/>
          </w:tcPr>
          <w:p>
            <w:r>
              <w:t>Missing foreign key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Flag/quarantine based on business rule</w:t>
            </w:r>
          </w:p>
        </w:tc>
      </w:tr>
      <w:tr>
        <w:tc>
          <w:tcPr>
            <w:tcW w:type="dxa" w:w="3360"/>
          </w:tcPr>
          <w:p>
            <w:r>
              <w:t>Whitespace/case inconsistency</w:t>
            </w:r>
          </w:p>
        </w:tc>
        <w:tc>
          <w:tcPr>
            <w:tcW w:type="dxa" w:w="3360"/>
          </w:tcPr>
          <w:p>
            <w:r>
              <w:t>Low</w:t>
            </w:r>
          </w:p>
        </w:tc>
        <w:tc>
          <w:tcPr>
            <w:tcW w:type="dxa" w:w="3360"/>
          </w:tcPr>
          <w:p>
            <w:r>
              <w:t>Standardize</w:t>
            </w:r>
          </w:p>
        </w:tc>
      </w:tr>
    </w:tbl>
    <w:p/>
    <w:p>
      <w:pPr>
        <w:pStyle w:val="Heading1"/>
      </w:pPr>
      <w:r>
        <w:t>7. Gold Data Model</w:t>
      </w:r>
    </w:p>
    <w:p>
      <w:pPr>
        <w:pStyle w:val="ListBullet"/>
      </w:pPr>
      <w:r>
        <w:t>fact_orders: order-level financial facts.</w:t>
      </w:r>
    </w:p>
    <w:p>
      <w:pPr>
        <w:pStyle w:val="ListBullet"/>
      </w:pPr>
      <w:r>
        <w:t>fact_payments: payment-level financial facts.</w:t>
      </w:r>
    </w:p>
    <w:p>
      <w:pPr>
        <w:pStyle w:val="ListBullet"/>
      </w:pPr>
      <w:r>
        <w:t>fact_order_items: line-item facts.</w:t>
      </w:r>
    </w:p>
    <w:p>
      <w:pPr>
        <w:pStyle w:val="ListBullet"/>
      </w:pPr>
      <w:r>
        <w:t>dim_customer: customer attributes.</w:t>
      </w:r>
    </w:p>
    <w:p>
      <w:pPr>
        <w:pStyle w:val="ListBullet"/>
      </w:pPr>
      <w:r>
        <w:t>gold_daily_financials: daily GMV, net revenue, discounts, taxes, shipping, payment metrics.</w:t>
      </w:r>
    </w:p>
    <w:p>
      <w:pPr>
        <w:pStyle w:val="ListBullet"/>
      </w:pPr>
      <w:r>
        <w:t>gold_gateway_performance: gateway-level attempts, success, failure, refund and fees.</w:t>
      </w:r>
    </w:p>
    <w:p>
      <w:pPr>
        <w:pStyle w:val="ListBullet"/>
      </w:pPr>
      <w:r>
        <w:t>gold_customer_value: customer-level order count, revenue and average order value.</w:t>
      </w:r>
    </w:p>
    <w:p>
      <w:pPr>
        <w:pStyle w:val="Heading1"/>
      </w:pPr>
      <w:r>
        <w:t>8. Error Handling</w:t>
      </w:r>
    </w:p>
    <w:p>
      <w:pPr>
        <w:pStyle w:val="ListBullet"/>
      </w:pPr>
      <w:r>
        <w:t>Auto Loader ingestion errors must be observable.</w:t>
      </w:r>
    </w:p>
    <w:p>
      <w:pPr>
        <w:pStyle w:val="ListBullet"/>
      </w:pPr>
      <w:r>
        <w:t>Malformed records should be isolated where supported.</w:t>
      </w:r>
    </w:p>
    <w:p>
      <w:pPr>
        <w:pStyle w:val="ListBullet"/>
      </w:pPr>
      <w:r>
        <w:t>Transformation errors should be written to DQ tables with rule name and source metadata.</w:t>
      </w:r>
    </w:p>
    <w:p>
      <w:pPr>
        <w:pStyle w:val="ListBullet"/>
      </w:pPr>
      <w:r>
        <w:t>Job failures should trigger an alert through the selected orchestration/monitoring mechanism.</w:t>
      </w:r>
    </w:p>
    <w:p>
      <w:pPr>
        <w:pStyle w:val="ListBullet"/>
      </w:pPr>
      <w:r>
        <w:t>Rerunning a failed batch must be safe and idempotent.</w:t>
      </w:r>
    </w:p>
    <w:p>
      <w:pPr>
        <w:pStyle w:val="Heading1"/>
      </w:pPr>
      <w:r>
        <w:t>9. Security Requirements</w:t>
      </w:r>
    </w:p>
    <w:p>
      <w:pPr>
        <w:pStyle w:val="ListBullet"/>
      </w:pPr>
      <w:r>
        <w:t>Use Unity Catalog for governance.</w:t>
      </w:r>
    </w:p>
    <w:p>
      <w:pPr>
        <w:pStyle w:val="ListBullet"/>
      </w:pPr>
      <w:r>
        <w:t>Use cloud IAM/service principals for storage access.</w:t>
      </w:r>
    </w:p>
    <w:p>
      <w:pPr>
        <w:pStyle w:val="ListBullet"/>
      </w:pPr>
      <w:r>
        <w:t>Use Databricks Secrets for credentials.</w:t>
      </w:r>
    </w:p>
    <w:p>
      <w:pPr>
        <w:pStyle w:val="ListBullet"/>
      </w:pPr>
      <w:r>
        <w:t>Apply least-privilege permissions.</w:t>
      </w:r>
    </w:p>
    <w:p>
      <w:pPr>
        <w:pStyle w:val="ListBullet"/>
      </w:pPr>
      <w:r>
        <w:t>Do not expose customer PII unnecessarily in Gold tables.</w:t>
      </w:r>
    </w:p>
    <w:p>
      <w:pPr>
        <w:pStyle w:val="Heading1"/>
      </w:pPr>
      <w:r>
        <w:t>10. Testing Requirements</w:t>
      </w:r>
    </w:p>
    <w:p>
      <w:pPr>
        <w:pStyle w:val="ListBullet"/>
      </w:pPr>
      <w:r>
        <w:t>Unit-test transformation functions.</w:t>
      </w:r>
    </w:p>
    <w:p>
      <w:pPr>
        <w:pStyle w:val="ListBullet"/>
      </w:pPr>
      <w:r>
        <w:t>Test duplicate handling.</w:t>
      </w:r>
    </w:p>
    <w:p>
      <w:pPr>
        <w:pStyle w:val="ListBullet"/>
      </w:pPr>
      <w:r>
        <w:t>Test late-arriving updates.</w:t>
      </w:r>
    </w:p>
    <w:p>
      <w:pPr>
        <w:pStyle w:val="ListBullet"/>
      </w:pPr>
      <w:r>
        <w:t>Test null and invalid-value rules.</w:t>
      </w:r>
    </w:p>
    <w:p>
      <w:pPr>
        <w:pStyle w:val="ListBullet"/>
      </w:pPr>
      <w:r>
        <w:t>Test MERGE behavior for insert/update/no-op scenarios.</w:t>
      </w:r>
    </w:p>
    <w:p>
      <w:pPr>
        <w:pStyle w:val="ListBullet"/>
      </w:pPr>
      <w:r>
        <w:t>Reconcile Gold metrics against controlled SQL calculations.</w:t>
      </w:r>
    </w:p>
    <w:p>
      <w:pPr>
        <w:pStyle w:val="ListBullet"/>
      </w:pPr>
      <w:r>
        <w:t>Test pipeline rerun/idempotency.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